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EF" w:rsidRPr="002276B8" w:rsidRDefault="00974AEF" w:rsidP="00594ECA">
      <w:pPr>
        <w:jc w:val="right"/>
        <w:rPr>
          <w:b/>
          <w:color w:val="000000" w:themeColor="text1"/>
          <w:lang w:val="ru-RU"/>
        </w:rPr>
      </w:pPr>
      <w:r w:rsidRPr="002276B8">
        <w:rPr>
          <w:b/>
          <w:color w:val="000000" w:themeColor="text1"/>
          <w:lang w:val="ru-RU"/>
        </w:rPr>
        <w:t>Буй Тхи Тхао Хыонг</w:t>
      </w:r>
    </w:p>
    <w:p w:rsidR="00974AEF" w:rsidRPr="002276B8" w:rsidRDefault="00974AEF" w:rsidP="00930D41">
      <w:pPr>
        <w:jc w:val="right"/>
        <w:rPr>
          <w:color w:val="000000" w:themeColor="text1"/>
          <w:lang w:val="ru-RU"/>
        </w:rPr>
      </w:pPr>
      <w:r w:rsidRPr="002276B8">
        <w:rPr>
          <w:color w:val="000000" w:themeColor="text1"/>
          <w:lang w:val="ru-RU"/>
        </w:rPr>
        <w:t>студентка 4 курса финансового факультета,</w:t>
      </w:r>
    </w:p>
    <w:p w:rsidR="00974AEF" w:rsidRPr="002276B8" w:rsidRDefault="00974AEF" w:rsidP="00930D41">
      <w:pPr>
        <w:jc w:val="right"/>
        <w:rPr>
          <w:color w:val="000000" w:themeColor="text1"/>
          <w:lang w:val="ru-RU"/>
        </w:rPr>
      </w:pPr>
      <w:r w:rsidRPr="002276B8">
        <w:rPr>
          <w:color w:val="000000" w:themeColor="text1"/>
          <w:lang w:val="ru-RU"/>
        </w:rPr>
        <w:t>ФГБОУ ВО «РЭУ имени Г.В. Плеханова»,</w:t>
      </w:r>
    </w:p>
    <w:p w:rsidR="00974AEF" w:rsidRPr="002276B8" w:rsidRDefault="00974AEF" w:rsidP="00930D41">
      <w:pPr>
        <w:jc w:val="right"/>
        <w:rPr>
          <w:color w:val="000000" w:themeColor="text1"/>
          <w:lang w:val="ru-RU"/>
        </w:rPr>
      </w:pPr>
      <w:r w:rsidRPr="002276B8">
        <w:rPr>
          <w:color w:val="000000" w:themeColor="text1"/>
          <w:lang w:val="ru-RU"/>
        </w:rPr>
        <w:t xml:space="preserve">e-mail: </w:t>
      </w:r>
      <w:hyperlink r:id="rId7" w:history="1">
        <w:r w:rsidRPr="002276B8">
          <w:rPr>
            <w:rStyle w:val="Hyperlink"/>
          </w:rPr>
          <w:t>buithaohuong</w:t>
        </w:r>
        <w:r w:rsidRPr="002276B8">
          <w:rPr>
            <w:rStyle w:val="Hyperlink"/>
            <w:lang w:val="ru-RU"/>
          </w:rPr>
          <w:t>2012@</w:t>
        </w:r>
        <w:r w:rsidRPr="002276B8">
          <w:rPr>
            <w:rStyle w:val="Hyperlink"/>
          </w:rPr>
          <w:t>mail</w:t>
        </w:r>
        <w:r w:rsidRPr="002276B8">
          <w:rPr>
            <w:rStyle w:val="Hyperlink"/>
            <w:lang w:val="ru-RU"/>
          </w:rPr>
          <w:t>.</w:t>
        </w:r>
        <w:r w:rsidRPr="002276B8">
          <w:rPr>
            <w:rStyle w:val="Hyperlink"/>
          </w:rPr>
          <w:t>ru</w:t>
        </w:r>
      </w:hyperlink>
    </w:p>
    <w:p w:rsidR="00974AEF" w:rsidRPr="002276B8" w:rsidRDefault="00974AEF" w:rsidP="00930D41">
      <w:pPr>
        <w:jc w:val="right"/>
        <w:rPr>
          <w:rFonts w:eastAsia="Arial Unicode MS"/>
          <w:b/>
          <w:color w:val="000000"/>
          <w:lang w:val="ru-RU"/>
        </w:rPr>
      </w:pPr>
      <w:r w:rsidRPr="002276B8">
        <w:rPr>
          <w:rFonts w:eastAsia="Arial Unicode MS"/>
          <w:color w:val="000000"/>
          <w:lang w:val="ru-RU"/>
        </w:rPr>
        <w:t>Научный руководитель:</w:t>
      </w:r>
      <w:r w:rsidRPr="002276B8">
        <w:rPr>
          <w:rFonts w:eastAsia="Arial Unicode MS"/>
          <w:b/>
          <w:color w:val="000000"/>
          <w:lang w:val="ru-RU"/>
        </w:rPr>
        <w:t xml:space="preserve"> </w:t>
      </w:r>
      <w:r w:rsidR="00E60E0C" w:rsidRPr="002276B8">
        <w:rPr>
          <w:rFonts w:eastAsia="Arial Unicode MS"/>
          <w:b/>
          <w:color w:val="000000"/>
          <w:lang w:val="ru-RU"/>
        </w:rPr>
        <w:t>Ефремова Елена Ильинична</w:t>
      </w:r>
    </w:p>
    <w:p w:rsidR="00974AEF" w:rsidRPr="002276B8" w:rsidRDefault="00404C49" w:rsidP="00930D41">
      <w:pPr>
        <w:jc w:val="right"/>
        <w:rPr>
          <w:color w:val="000000"/>
          <w:lang w:val="ru-RU"/>
        </w:rPr>
      </w:pPr>
      <w:r w:rsidRPr="002276B8">
        <w:rPr>
          <w:rFonts w:eastAsia="Arial Unicode MS"/>
          <w:color w:val="000000"/>
          <w:lang w:val="ru-RU"/>
        </w:rPr>
        <w:t>к</w:t>
      </w:r>
      <w:r w:rsidR="00974AEF" w:rsidRPr="002276B8">
        <w:rPr>
          <w:rFonts w:eastAsia="Arial Unicode MS"/>
          <w:color w:val="000000"/>
          <w:lang w:val="ru-RU"/>
        </w:rPr>
        <w:t xml:space="preserve">. э. н., </w:t>
      </w:r>
      <w:r w:rsidRPr="002276B8">
        <w:rPr>
          <w:rFonts w:eastAsia="Arial Unicode MS"/>
          <w:color w:val="000000"/>
          <w:lang w:val="ru-RU"/>
        </w:rPr>
        <w:t>доцент</w:t>
      </w:r>
    </w:p>
    <w:p w:rsidR="00974AEF" w:rsidRPr="002276B8" w:rsidRDefault="00974AEF" w:rsidP="00930D41">
      <w:pPr>
        <w:jc w:val="right"/>
        <w:rPr>
          <w:rFonts w:eastAsia="Arial Unicode MS"/>
          <w:color w:val="000000"/>
          <w:lang w:val="ru-RU"/>
        </w:rPr>
      </w:pPr>
      <w:r w:rsidRPr="002276B8">
        <w:rPr>
          <w:rFonts w:eastAsia="Arial Unicode MS"/>
          <w:color w:val="000000"/>
          <w:lang w:val="ru-RU"/>
        </w:rPr>
        <w:t>Базовой кафедры финансового контроля, анализа и аудита</w:t>
      </w:r>
      <w:r w:rsidRPr="002276B8">
        <w:rPr>
          <w:rFonts w:eastAsia="Arial Unicode MS"/>
          <w:color w:val="000000"/>
          <w:lang w:val="ru-RU"/>
        </w:rPr>
        <w:br/>
        <w:t>Главного контрольного управления города Москва</w:t>
      </w:r>
    </w:p>
    <w:p w:rsidR="00974AEF" w:rsidRPr="002276B8" w:rsidRDefault="00974AEF" w:rsidP="00930D41">
      <w:pPr>
        <w:jc w:val="right"/>
        <w:rPr>
          <w:color w:val="000000" w:themeColor="text1"/>
          <w:lang w:val="ru-RU"/>
        </w:rPr>
      </w:pPr>
      <w:r w:rsidRPr="002276B8">
        <w:rPr>
          <w:color w:val="000000" w:themeColor="text1"/>
          <w:lang w:val="ru-RU"/>
        </w:rPr>
        <w:t>ФГБОУ ВО «РЭУ имени Г.В. Плеханова», г. Москва</w:t>
      </w:r>
    </w:p>
    <w:p w:rsidR="00974AEF" w:rsidRPr="002276B8" w:rsidRDefault="00974AEF" w:rsidP="00930D41">
      <w:pPr>
        <w:jc w:val="right"/>
        <w:rPr>
          <w:rStyle w:val="Hyperlink"/>
        </w:rPr>
      </w:pPr>
      <w:r w:rsidRPr="002276B8">
        <w:rPr>
          <w:color w:val="000000" w:themeColor="text1"/>
        </w:rPr>
        <w:t>e-mail:</w:t>
      </w:r>
      <w:r w:rsidR="007B168A" w:rsidRPr="002276B8">
        <w:rPr>
          <w:color w:val="000000" w:themeColor="text1"/>
        </w:rPr>
        <w:t xml:space="preserve"> </w:t>
      </w:r>
      <w:hyperlink r:id="rId8" w:history="1">
        <w:r w:rsidR="00500B3B" w:rsidRPr="002276B8">
          <w:rPr>
            <w:rStyle w:val="Hyperlink"/>
          </w:rPr>
          <w:t>es-audit@mail.ru</w:t>
        </w:r>
      </w:hyperlink>
    </w:p>
    <w:p w:rsidR="00594ECA" w:rsidRPr="002276B8" w:rsidRDefault="00594ECA" w:rsidP="002B461C">
      <w:pPr>
        <w:spacing w:before="240" w:after="240" w:line="240" w:lineRule="auto"/>
        <w:ind w:firstLine="0"/>
        <w:jc w:val="center"/>
        <w:rPr>
          <w:b/>
          <w:color w:val="000000" w:themeColor="text1"/>
          <w:lang w:val="ru-RU"/>
        </w:rPr>
      </w:pPr>
      <w:r w:rsidRPr="002276B8">
        <w:rPr>
          <w:b/>
          <w:lang w:val="ru-RU"/>
        </w:rPr>
        <w:t>ВАЛЮТНЫ</w:t>
      </w:r>
      <w:r w:rsidR="002B461C">
        <w:rPr>
          <w:b/>
          <w:lang w:val="ru-RU"/>
        </w:rPr>
        <w:t>Е</w:t>
      </w:r>
      <w:r w:rsidRPr="007474F8">
        <w:rPr>
          <w:b/>
        </w:rPr>
        <w:t xml:space="preserve"> </w:t>
      </w:r>
      <w:r w:rsidRPr="002276B8">
        <w:rPr>
          <w:b/>
          <w:lang w:val="ru-RU"/>
        </w:rPr>
        <w:t>ОПЕРАЦИ</w:t>
      </w:r>
      <w:r w:rsidR="002B461C">
        <w:rPr>
          <w:b/>
          <w:lang w:val="ru-RU"/>
        </w:rPr>
        <w:t>И</w:t>
      </w:r>
      <w:r w:rsidR="002B461C" w:rsidRPr="007474F8">
        <w:rPr>
          <w:b/>
        </w:rPr>
        <w:t xml:space="preserve">: </w:t>
      </w:r>
      <w:r w:rsidR="002B461C" w:rsidRPr="002276B8">
        <w:rPr>
          <w:b/>
          <w:lang w:val="ru-RU"/>
        </w:rPr>
        <w:t>РИСКИ</w:t>
      </w:r>
      <w:r w:rsidR="002B461C" w:rsidRPr="007474F8">
        <w:rPr>
          <w:b/>
        </w:rPr>
        <w:t xml:space="preserve"> </w:t>
      </w:r>
      <w:r w:rsidR="002B461C">
        <w:rPr>
          <w:b/>
          <w:lang w:val="ru-RU"/>
        </w:rPr>
        <w:t>В</w:t>
      </w:r>
      <w:r w:rsidR="002B461C" w:rsidRPr="007474F8">
        <w:rPr>
          <w:b/>
        </w:rPr>
        <w:t xml:space="preserve"> </w:t>
      </w:r>
      <w:bookmarkStart w:id="0" w:name="_GoBack"/>
      <w:r w:rsidR="002B461C" w:rsidRPr="002B461C">
        <w:rPr>
          <w:b/>
          <w:lang w:val="ru-RU"/>
        </w:rPr>
        <w:t>МЕЖДУНАРОДНЫ</w:t>
      </w:r>
      <w:r w:rsidR="007474F8">
        <w:rPr>
          <w:b/>
          <w:lang w:val="ru-RU"/>
        </w:rPr>
        <w:t>Х</w:t>
      </w:r>
      <w:r w:rsidR="007474F8" w:rsidRPr="007474F8">
        <w:rPr>
          <w:b/>
        </w:rPr>
        <w:t xml:space="preserve"> </w:t>
      </w:r>
      <w:r w:rsidR="007474F8">
        <w:rPr>
          <w:b/>
          <w:lang w:val="ru-RU"/>
        </w:rPr>
        <w:t>СДЕЛКАХ</w:t>
      </w:r>
      <w:bookmarkEnd w:id="0"/>
    </w:p>
    <w:p w:rsidR="000B2F7D" w:rsidRPr="002276B8" w:rsidRDefault="00974AEF" w:rsidP="00703D08">
      <w:pPr>
        <w:rPr>
          <w:rStyle w:val="Bodytext2Bold"/>
          <w:rFonts w:eastAsiaTheme="minorHAnsi"/>
          <w:sz w:val="28"/>
          <w:szCs w:val="28"/>
          <w:lang w:val="ru-RU"/>
        </w:rPr>
      </w:pPr>
      <w:r w:rsidRPr="002276B8">
        <w:rPr>
          <w:rStyle w:val="Bodytext2Bold"/>
          <w:rFonts w:eastAsiaTheme="minorHAnsi"/>
          <w:sz w:val="28"/>
          <w:szCs w:val="28"/>
          <w:lang w:val="ru-RU"/>
        </w:rPr>
        <w:t xml:space="preserve">Аннотация. </w:t>
      </w:r>
      <w:r w:rsidR="002D3C81" w:rsidRPr="002276B8">
        <w:rPr>
          <w:rStyle w:val="Bodytext2Bold"/>
          <w:rFonts w:eastAsiaTheme="minorHAnsi"/>
          <w:b w:val="0"/>
          <w:sz w:val="28"/>
          <w:szCs w:val="28"/>
          <w:lang w:val="ru-RU"/>
        </w:rPr>
        <w:t>Данная статья</w:t>
      </w:r>
      <w:r w:rsidR="000B2F7D" w:rsidRPr="002276B8">
        <w:rPr>
          <w:rStyle w:val="Bodytext2Bold"/>
          <w:rFonts w:eastAsiaTheme="minorHAnsi"/>
          <w:b w:val="0"/>
          <w:sz w:val="28"/>
          <w:szCs w:val="28"/>
          <w:lang w:val="ru-RU"/>
        </w:rPr>
        <w:t xml:space="preserve"> сосредоточи</w:t>
      </w:r>
      <w:r w:rsidR="002D3C81" w:rsidRPr="002276B8">
        <w:rPr>
          <w:rStyle w:val="Bodytext2Bold"/>
          <w:rFonts w:eastAsiaTheme="minorHAnsi"/>
          <w:b w:val="0"/>
          <w:sz w:val="28"/>
          <w:szCs w:val="28"/>
          <w:lang w:val="ru-RU"/>
        </w:rPr>
        <w:t>т</w:t>
      </w:r>
      <w:r w:rsidR="000B2F7D" w:rsidRPr="002276B8">
        <w:rPr>
          <w:rStyle w:val="Bodytext2Bold"/>
          <w:rFonts w:eastAsiaTheme="minorHAnsi"/>
          <w:b w:val="0"/>
          <w:sz w:val="28"/>
          <w:szCs w:val="28"/>
          <w:lang w:val="ru-RU"/>
        </w:rPr>
        <w:t>ся на форвардных и фьючерсных контрактах на управление риском</w:t>
      </w:r>
      <w:r w:rsidR="00867367" w:rsidRPr="002276B8">
        <w:rPr>
          <w:rStyle w:val="Bodytext2Bold"/>
          <w:rFonts w:eastAsiaTheme="minorHAnsi"/>
          <w:b w:val="0"/>
          <w:sz w:val="28"/>
          <w:szCs w:val="28"/>
          <w:lang w:val="ru-RU"/>
        </w:rPr>
        <w:t xml:space="preserve"> валютных операций</w:t>
      </w:r>
      <w:r w:rsidR="000B2F7D" w:rsidRPr="002276B8">
        <w:rPr>
          <w:rStyle w:val="Bodytext2Bold"/>
          <w:rFonts w:eastAsiaTheme="minorHAnsi"/>
          <w:b w:val="0"/>
          <w:sz w:val="28"/>
          <w:szCs w:val="28"/>
          <w:lang w:val="ru-RU"/>
        </w:rPr>
        <w:t>. Форвард - это контракт на покупку или продажу валюты по согласованному обменному курсу на определенную дату в будущем. Фьючерс</w:t>
      </w:r>
      <w:r w:rsidR="009A2A0C">
        <w:rPr>
          <w:rStyle w:val="Bodytext2Bold"/>
          <w:rFonts w:eastAsiaTheme="minorHAnsi"/>
          <w:b w:val="0"/>
          <w:sz w:val="28"/>
          <w:szCs w:val="28"/>
          <w:lang w:val="ru-RU"/>
        </w:rPr>
        <w:t>ные контракты</w:t>
      </w:r>
      <w:r w:rsidR="000B2F7D" w:rsidRPr="002276B8">
        <w:rPr>
          <w:rStyle w:val="Bodytext2Bold"/>
          <w:rFonts w:eastAsiaTheme="minorHAnsi"/>
          <w:b w:val="0"/>
          <w:sz w:val="28"/>
          <w:szCs w:val="28"/>
          <w:lang w:val="ru-RU"/>
        </w:rPr>
        <w:t xml:space="preserve"> похожи на форвард</w:t>
      </w:r>
      <w:r w:rsidR="009A2A0C">
        <w:rPr>
          <w:rStyle w:val="Bodytext2Bold"/>
          <w:rFonts w:eastAsiaTheme="minorHAnsi"/>
          <w:b w:val="0"/>
          <w:sz w:val="28"/>
          <w:szCs w:val="28"/>
          <w:lang w:val="ru-RU"/>
        </w:rPr>
        <w:t>ные</w:t>
      </w:r>
      <w:r w:rsidR="000B2F7D" w:rsidRPr="002276B8">
        <w:rPr>
          <w:rStyle w:val="Bodytext2Bold"/>
          <w:rFonts w:eastAsiaTheme="minorHAnsi"/>
          <w:b w:val="0"/>
          <w:sz w:val="28"/>
          <w:szCs w:val="28"/>
          <w:lang w:val="ru-RU"/>
        </w:rPr>
        <w:t xml:space="preserve">, за исключением того, что они торгуются на биржах, в которых указаны даты расчетов. Также </w:t>
      </w:r>
      <w:r w:rsidR="00B0165A" w:rsidRPr="002276B8">
        <w:rPr>
          <w:rStyle w:val="Bodytext2Bold"/>
          <w:rFonts w:eastAsiaTheme="minorHAnsi"/>
          <w:b w:val="0"/>
          <w:sz w:val="28"/>
          <w:szCs w:val="28"/>
          <w:lang w:val="ru-RU"/>
        </w:rPr>
        <w:t>приведены</w:t>
      </w:r>
      <w:r w:rsidR="000B2F7D" w:rsidRPr="002276B8">
        <w:rPr>
          <w:rStyle w:val="Bodytext2Bold"/>
          <w:rFonts w:eastAsiaTheme="minorHAnsi"/>
          <w:b w:val="0"/>
          <w:sz w:val="28"/>
          <w:szCs w:val="28"/>
          <w:lang w:val="ru-RU"/>
        </w:rPr>
        <w:t xml:space="preserve"> некоторые рекомендации, касающиеся практики управления </w:t>
      </w:r>
      <w:r w:rsidR="0058736E" w:rsidRPr="002276B8">
        <w:rPr>
          <w:rStyle w:val="Bodytext2Bold"/>
          <w:rFonts w:eastAsiaTheme="minorHAnsi"/>
          <w:b w:val="0"/>
          <w:sz w:val="28"/>
          <w:szCs w:val="28"/>
          <w:lang w:val="ru-RU"/>
        </w:rPr>
        <w:t xml:space="preserve">валютным </w:t>
      </w:r>
      <w:r w:rsidR="000B2F7D" w:rsidRPr="002276B8">
        <w:rPr>
          <w:rStyle w:val="Bodytext2Bold"/>
          <w:rFonts w:eastAsiaTheme="minorHAnsi"/>
          <w:b w:val="0"/>
          <w:sz w:val="28"/>
          <w:szCs w:val="28"/>
          <w:lang w:val="ru-RU"/>
        </w:rPr>
        <w:t>риском, которые полезны для компаний, вовлеченных в международную торговлю, и для финансовых учреждений, заинтересованных в предоставлении продуктов хеджирования для этих компаний.</w:t>
      </w:r>
    </w:p>
    <w:p w:rsidR="00974AEF" w:rsidRPr="00686875" w:rsidRDefault="00974AEF" w:rsidP="00686875">
      <w:pPr>
        <w:rPr>
          <w:lang w:val="ru-RU"/>
        </w:rPr>
      </w:pPr>
      <w:r w:rsidRPr="002276B8">
        <w:rPr>
          <w:b/>
          <w:lang w:val="ru-RU"/>
        </w:rPr>
        <w:t>Ключевые слова:</w:t>
      </w:r>
      <w:r w:rsidRPr="002276B8">
        <w:rPr>
          <w:lang w:val="ru-RU"/>
        </w:rPr>
        <w:t xml:space="preserve"> </w:t>
      </w:r>
      <w:r w:rsidR="002340CB" w:rsidRPr="002276B8">
        <w:rPr>
          <w:lang w:val="ru-RU"/>
        </w:rPr>
        <w:t xml:space="preserve">валютные </w:t>
      </w:r>
      <w:r w:rsidR="00EC2393" w:rsidRPr="002276B8">
        <w:rPr>
          <w:lang w:val="ru-RU"/>
        </w:rPr>
        <w:t>операции</w:t>
      </w:r>
      <w:r w:rsidR="00162809" w:rsidRPr="002276B8">
        <w:rPr>
          <w:lang w:val="ru-RU"/>
        </w:rPr>
        <w:t xml:space="preserve">, риски, </w:t>
      </w:r>
      <w:r w:rsidR="00EC2393" w:rsidRPr="002276B8">
        <w:rPr>
          <w:lang w:val="ru-RU"/>
        </w:rPr>
        <w:t>международные сделки</w:t>
      </w:r>
      <w:r w:rsidR="00E0113F" w:rsidRPr="002276B8">
        <w:rPr>
          <w:lang w:val="ru-RU"/>
        </w:rPr>
        <w:t>, хеджирования</w:t>
      </w:r>
      <w:r w:rsidR="00CE0276" w:rsidRPr="002276B8">
        <w:rPr>
          <w:lang w:val="ru-RU"/>
        </w:rPr>
        <w:t xml:space="preserve">, </w:t>
      </w:r>
      <w:r w:rsidR="00686875">
        <w:rPr>
          <w:lang w:val="ru-RU"/>
        </w:rPr>
        <w:t>ф</w:t>
      </w:r>
      <w:r w:rsidR="00686875" w:rsidRPr="00686875">
        <w:rPr>
          <w:lang w:val="ru-RU"/>
        </w:rPr>
        <w:t>ьючерсные контракты</w:t>
      </w:r>
      <w:r w:rsidR="00686875">
        <w:rPr>
          <w:lang w:val="ru-RU"/>
        </w:rPr>
        <w:t xml:space="preserve">, </w:t>
      </w:r>
      <w:r w:rsidR="00686875" w:rsidRPr="002276B8">
        <w:rPr>
          <w:rStyle w:val="Bodytext2Bold"/>
          <w:rFonts w:eastAsiaTheme="minorHAnsi"/>
          <w:b w:val="0"/>
          <w:sz w:val="28"/>
          <w:szCs w:val="28"/>
          <w:lang w:val="ru-RU"/>
        </w:rPr>
        <w:t>форвард</w:t>
      </w:r>
      <w:r w:rsidR="00686875">
        <w:rPr>
          <w:rStyle w:val="Bodytext2Bold"/>
          <w:rFonts w:eastAsiaTheme="minorHAnsi"/>
          <w:b w:val="0"/>
          <w:sz w:val="28"/>
          <w:szCs w:val="28"/>
          <w:lang w:val="ru-RU"/>
        </w:rPr>
        <w:t>ные контракты</w:t>
      </w:r>
    </w:p>
    <w:p w:rsidR="00974AEF" w:rsidRPr="002276B8" w:rsidRDefault="00A15B7F" w:rsidP="00A15B7F">
      <w:pPr>
        <w:spacing w:before="240" w:after="240"/>
        <w:ind w:right="-143" w:firstLine="0"/>
        <w:jc w:val="center"/>
        <w:rPr>
          <w:rStyle w:val="alt-edited"/>
          <w:b/>
          <w:lang w:val="en"/>
        </w:rPr>
      </w:pPr>
      <w:r w:rsidRPr="00A15B7F">
        <w:rPr>
          <w:rStyle w:val="alt-edited"/>
          <w:b/>
          <w:lang w:val="en"/>
        </w:rPr>
        <w:t>CURRENCY OPERATIONS: RISKS IN INTERNATIONAL TRANSACTIONS</w:t>
      </w:r>
    </w:p>
    <w:p w:rsidR="00974AEF" w:rsidRPr="002276B8" w:rsidRDefault="00974AEF" w:rsidP="00974AEF">
      <w:r w:rsidRPr="002276B8">
        <w:rPr>
          <w:rStyle w:val="Bodytext2Bold"/>
          <w:rFonts w:eastAsiaTheme="minorHAnsi"/>
          <w:sz w:val="28"/>
          <w:szCs w:val="28"/>
        </w:rPr>
        <w:t xml:space="preserve">Abstract. </w:t>
      </w:r>
      <w:r w:rsidR="00686875" w:rsidRPr="00686875">
        <w:t xml:space="preserve">This article will focus on forward and futures contracts to manage the risk of foreign exchange transactions. A forward is a contract to buy or sell a currency at an agreed exchange rate on a specific date in the future. Futures contracts are similar to forward contracts, except that they are traded on exchanges that show settlement dates. There are also some recommendations regarding currency risk management </w:t>
      </w:r>
      <w:r w:rsidR="00686875" w:rsidRPr="00686875">
        <w:lastRenderedPageBreak/>
        <w:t>practices that are useful for companies involved in international trade and for financial institutions interested in providing hedging products for these companies.</w:t>
      </w:r>
    </w:p>
    <w:p w:rsidR="00974AEF" w:rsidRPr="002276B8" w:rsidRDefault="00974AEF" w:rsidP="00974AEF">
      <w:pPr>
        <w:rPr>
          <w:b/>
        </w:rPr>
      </w:pPr>
      <w:r w:rsidRPr="002276B8">
        <w:rPr>
          <w:b/>
        </w:rPr>
        <w:t xml:space="preserve">Keywords: </w:t>
      </w:r>
      <w:r w:rsidR="00686875" w:rsidRPr="00686875">
        <w:t>currency transactions, risks, international transactions, hedging, futures contracts, forward contracts</w:t>
      </w:r>
    </w:p>
    <w:p w:rsidR="002340CB" w:rsidRPr="002276B8" w:rsidRDefault="002340CB" w:rsidP="00A03AC8">
      <w:pPr>
        <w:rPr>
          <w:color w:val="000000" w:themeColor="text1"/>
        </w:rPr>
      </w:pPr>
    </w:p>
    <w:p w:rsidR="008B40BE" w:rsidRPr="002276B8" w:rsidRDefault="002340CB" w:rsidP="00A03AC8">
      <w:pPr>
        <w:rPr>
          <w:color w:val="000000" w:themeColor="text1"/>
          <w:lang w:val="ru-RU"/>
        </w:rPr>
      </w:pPr>
      <w:r w:rsidRPr="002276B8">
        <w:rPr>
          <w:color w:val="000000" w:themeColor="text1"/>
          <w:lang w:val="ru-RU"/>
        </w:rPr>
        <w:t>На каждый международный бизнес влияет постоянно меняющаяся стоимость валют, подразумеваемых в контрактах. Хотя многие из нас считают эту непредсказуемость неприятностью, нестабильность валют во всем мире может означать разницу между успехом и провалом для многих экспортеров / импортеров. Обменные курсы между одной валютой и другой могут резко измениться за короткий период времени, оставляя неподготовленный бизнес подверженным потенциально разрушительным убыткам. Эффективное управление этим риском имеет важное значение для выживания компании, и любой бизнес, подверженный такому риску, должен убедиться, что он полностью готов к управлению им. Старые резервы и недавние прорывы в области управления финансовыми рисками могут устранить большую часть риска от изменений валютных курсов. Ассортимент таких продуктов огромен, с постоянно добавляющимися изощренными технологиями. Среди самых современных методов управления валютным риском есть четыре основных класса производных продуктов, таких как: форварды, фьючерсы, опционы и свопы. Помимо четырех основных типов инструментов управления рисками, существует ряд других продуктов, включая «свопционы» (опционы на свопы), опционы «мстители», свопы на кривой доходности, фьючерсы на спреды и опционы на портфели. Сложные математические инструменты и высокоскоростные компьютеры необходимы для расчета цены этих инструментов и определения их общего влияния на компанию.</w:t>
      </w:r>
    </w:p>
    <w:p w:rsidR="00A6463C" w:rsidRPr="006278F3" w:rsidRDefault="0058736E" w:rsidP="00A03AC8">
      <w:pPr>
        <w:rPr>
          <w:b/>
          <w:color w:val="000000" w:themeColor="text1"/>
          <w:lang w:val="ru-RU"/>
        </w:rPr>
      </w:pPr>
      <w:r w:rsidRPr="006278F3">
        <w:rPr>
          <w:b/>
          <w:color w:val="000000" w:themeColor="text1"/>
          <w:lang w:val="ru-RU"/>
        </w:rPr>
        <w:t>Валютный риск в международных сделках</w:t>
      </w:r>
    </w:p>
    <w:p w:rsidR="0058736E" w:rsidRPr="002276B8" w:rsidRDefault="00BC15E3" w:rsidP="00A03AC8">
      <w:pPr>
        <w:rPr>
          <w:color w:val="000000" w:themeColor="text1"/>
          <w:lang w:val="ru-RU"/>
        </w:rPr>
      </w:pPr>
      <w:r w:rsidRPr="002276B8">
        <w:rPr>
          <w:color w:val="000000" w:themeColor="text1"/>
          <w:lang w:val="ru-RU"/>
        </w:rPr>
        <w:t xml:space="preserve">Разнообразие международных транзакций и лиц, вовлеченных в их развитие, определяют риск постоянного постоянства, которое нельзя игнорировать вообще. В условиях перехода к экономике, основанной на </w:t>
      </w:r>
      <w:r w:rsidRPr="002276B8">
        <w:rPr>
          <w:color w:val="000000" w:themeColor="text1"/>
          <w:lang w:val="ru-RU"/>
        </w:rPr>
        <w:lastRenderedPageBreak/>
        <w:t>либеральных принципах, принципах саморегулирования и конкуренции, особую важность и значение приобретает вопрос знания, расчета, предотвращения риска и моделирования.</w:t>
      </w:r>
    </w:p>
    <w:p w:rsidR="00BC15E3" w:rsidRPr="002276B8" w:rsidRDefault="00E531B6" w:rsidP="00A03AC8">
      <w:pPr>
        <w:rPr>
          <w:color w:val="000000" w:themeColor="text1"/>
          <w:lang w:val="ru-RU"/>
        </w:rPr>
      </w:pPr>
      <w:r w:rsidRPr="002276B8">
        <w:rPr>
          <w:color w:val="000000" w:themeColor="text1"/>
          <w:lang w:val="ru-RU"/>
        </w:rPr>
        <w:t>Как правило, экономические явления и процессы, и особенно те, которые относятся к внешней торговле, представляют собой алеаторные процессы, подверженные опасности и рискам. Опасность управляет более чем половиной наших действий, а остальное мы возглавляем.</w:t>
      </w:r>
    </w:p>
    <w:p w:rsidR="006207A3" w:rsidRPr="002276B8" w:rsidRDefault="006207A3" w:rsidP="00A03AC8">
      <w:pPr>
        <w:rPr>
          <w:color w:val="000000" w:themeColor="text1"/>
          <w:lang w:val="ru-RU"/>
        </w:rPr>
      </w:pPr>
      <w:r w:rsidRPr="002276B8">
        <w:rPr>
          <w:color w:val="000000" w:themeColor="text1"/>
          <w:lang w:val="ru-RU"/>
        </w:rPr>
        <w:t>Действительно, риски сильно привязаны к современности, выражая многочисленные аспекты экономической деятельности, более заметной в деловом мире и особенно в международных экономических отношениях.</w:t>
      </w:r>
      <w:r w:rsidR="00D37AFC" w:rsidRPr="002276B8">
        <w:rPr>
          <w:lang w:val="ru-RU"/>
        </w:rPr>
        <w:t xml:space="preserve"> </w:t>
      </w:r>
      <w:r w:rsidR="00D37AFC" w:rsidRPr="002276B8">
        <w:rPr>
          <w:color w:val="000000" w:themeColor="text1"/>
          <w:lang w:val="ru-RU"/>
        </w:rPr>
        <w:t>Поэтому любая деятельность предполагает риск. Риск является постоянным и сопутствует бизнесу компании, и возникает он или нет в зависимости от создаваемых условий.</w:t>
      </w:r>
      <w:r w:rsidR="008F57D9" w:rsidRPr="008F57D9">
        <w:rPr>
          <w:lang w:val="ru-RU"/>
        </w:rPr>
        <w:t xml:space="preserve"> </w:t>
      </w:r>
      <w:r w:rsidR="008F57D9" w:rsidRPr="008F57D9">
        <w:rPr>
          <w:color w:val="000000" w:themeColor="text1"/>
          <w:lang w:val="ru-RU"/>
        </w:rPr>
        <w:t>Эволюция мировой экономики определяет осторожную политику измерения риска, чтобы получить приемлемую прибыль в будущем.</w:t>
      </w:r>
    </w:p>
    <w:p w:rsidR="00E202D8" w:rsidRPr="002276B8" w:rsidRDefault="00E202D8" w:rsidP="00A03AC8">
      <w:pPr>
        <w:rPr>
          <w:color w:val="000000" w:themeColor="text1"/>
          <w:lang w:val="ru-RU"/>
        </w:rPr>
      </w:pPr>
      <w:r w:rsidRPr="002276B8">
        <w:rPr>
          <w:color w:val="000000" w:themeColor="text1"/>
          <w:lang w:val="ru-RU"/>
        </w:rPr>
        <w:t>Участники международных экономических обменов сталкиваются с различными рисками, которые могут негативно повлиять на их деятельность.</w:t>
      </w:r>
      <w:r w:rsidR="00200217" w:rsidRPr="002276B8">
        <w:rPr>
          <w:lang w:val="ru-RU"/>
        </w:rPr>
        <w:t xml:space="preserve"> </w:t>
      </w:r>
      <w:r w:rsidR="00200217" w:rsidRPr="002276B8">
        <w:rPr>
          <w:color w:val="000000" w:themeColor="text1"/>
          <w:lang w:val="ru-RU"/>
        </w:rPr>
        <w:t>Среди них две категории более важных рисков могут возникать во время международных финансовых сделок: с одной стороны, риск процентной ставки, характерной для финансовых сделок, и он становится более усиленным одновременно с увеличением волатильности ставок. С другой стороны, валютный риск, гораздо более специфичный для международных финансовых отношений и возросший одновременно с появлением плавающих ставок.</w:t>
      </w:r>
    </w:p>
    <w:p w:rsidR="005E1EAD" w:rsidRPr="002276B8" w:rsidRDefault="005E1EAD" w:rsidP="00A03AC8">
      <w:pPr>
        <w:rPr>
          <w:color w:val="000000" w:themeColor="text1"/>
          <w:lang w:val="ru-RU"/>
        </w:rPr>
      </w:pPr>
      <w:r w:rsidRPr="002276B8">
        <w:rPr>
          <w:color w:val="000000" w:themeColor="text1"/>
          <w:lang w:val="ru-RU"/>
        </w:rPr>
        <w:t>Валютный риск - это риск в определенной валюте, умноженный на изменение во времени иностранной валюты.</w:t>
      </w:r>
      <w:r w:rsidRPr="002276B8">
        <w:rPr>
          <w:lang w:val="ru-RU"/>
        </w:rPr>
        <w:t xml:space="preserve"> </w:t>
      </w:r>
      <w:r w:rsidRPr="002276B8">
        <w:rPr>
          <w:color w:val="000000" w:themeColor="text1"/>
          <w:lang w:val="ru-RU"/>
        </w:rPr>
        <w:t>Одна из фундаментальных проблем в этой области - неточность любого измерения риска, связанного с комплексом возможностей и вероятностей, вызванных трудностями в прогнозировании эволюции валютных курсов.</w:t>
      </w:r>
      <w:r w:rsidR="00917341" w:rsidRPr="002276B8">
        <w:rPr>
          <w:lang w:val="ru-RU"/>
        </w:rPr>
        <w:t xml:space="preserve"> </w:t>
      </w:r>
      <w:r w:rsidR="00917341" w:rsidRPr="002276B8">
        <w:rPr>
          <w:color w:val="000000" w:themeColor="text1"/>
          <w:lang w:val="ru-RU"/>
        </w:rPr>
        <w:t xml:space="preserve">Валютный риск для экспортеров возникает в ситуации, когда в день платежа валюта транзакции - валюта </w:t>
      </w:r>
      <w:r w:rsidR="00615BBB" w:rsidRPr="002276B8">
        <w:rPr>
          <w:color w:val="000000" w:themeColor="text1"/>
          <w:lang w:val="ru-RU"/>
        </w:rPr>
        <w:t>договор</w:t>
      </w:r>
      <w:r w:rsidR="00917341" w:rsidRPr="002276B8">
        <w:rPr>
          <w:color w:val="000000" w:themeColor="text1"/>
          <w:lang w:val="ru-RU"/>
        </w:rPr>
        <w:t xml:space="preserve">а - имеет покупательную способность ниже, чем в момент заключения </w:t>
      </w:r>
      <w:r w:rsidR="00615BBB" w:rsidRPr="002276B8">
        <w:rPr>
          <w:color w:val="000000" w:themeColor="text1"/>
          <w:lang w:val="ru-RU"/>
        </w:rPr>
        <w:t>договора</w:t>
      </w:r>
      <w:r w:rsidR="00917341" w:rsidRPr="002276B8">
        <w:rPr>
          <w:color w:val="000000" w:themeColor="text1"/>
          <w:lang w:val="ru-RU"/>
        </w:rPr>
        <w:t>, поэтому валюта контракта подверглась обесценению.</w:t>
      </w:r>
      <w:r w:rsidR="00917341" w:rsidRPr="002276B8">
        <w:rPr>
          <w:lang w:val="ru-RU"/>
        </w:rPr>
        <w:t xml:space="preserve"> </w:t>
      </w:r>
      <w:r w:rsidR="00917341" w:rsidRPr="002276B8">
        <w:rPr>
          <w:color w:val="000000" w:themeColor="text1"/>
          <w:lang w:val="ru-RU"/>
        </w:rPr>
        <w:t xml:space="preserve">Валютный риск для импортеров </w:t>
      </w:r>
      <w:r w:rsidR="00917341" w:rsidRPr="002276B8">
        <w:rPr>
          <w:color w:val="000000" w:themeColor="text1"/>
          <w:lang w:val="ru-RU"/>
        </w:rPr>
        <w:lastRenderedPageBreak/>
        <w:t>возникает в ситуации, когда в день платежа валюта сделки обладает покупательной способностью выше, чем в момент заключения договора.</w:t>
      </w:r>
    </w:p>
    <w:p w:rsidR="00901DBF" w:rsidRPr="002276B8" w:rsidRDefault="00901DBF" w:rsidP="00901DBF">
      <w:pPr>
        <w:rPr>
          <w:color w:val="000000" w:themeColor="text1"/>
          <w:lang w:val="ru-RU"/>
        </w:rPr>
      </w:pPr>
      <w:r w:rsidRPr="002276B8">
        <w:rPr>
          <w:color w:val="000000" w:themeColor="text1"/>
          <w:lang w:val="ru-RU"/>
        </w:rPr>
        <w:t>Интернационализация экономической жизни, конкуренция между странами за увеличение доли в международной торговле, кардинальные структурные изменения в системах производства и распределения товаров, а также в управлении на фоне турбулентности на финансовых рынках, представляют факторы риска, а также управленческие проблемы.</w:t>
      </w:r>
    </w:p>
    <w:p w:rsidR="00901DBF" w:rsidRPr="002276B8" w:rsidRDefault="00901DBF" w:rsidP="00901DBF">
      <w:pPr>
        <w:rPr>
          <w:color w:val="000000" w:themeColor="text1"/>
          <w:lang w:val="ru-RU"/>
        </w:rPr>
      </w:pPr>
      <w:r w:rsidRPr="002276B8">
        <w:rPr>
          <w:color w:val="000000" w:themeColor="text1"/>
          <w:lang w:val="ru-RU"/>
        </w:rPr>
        <w:t xml:space="preserve">Валютный риск представляет возможность возникновения убытков в результате неблагоприятного изменения </w:t>
      </w:r>
      <w:r w:rsidR="00E01C00" w:rsidRPr="002276B8">
        <w:rPr>
          <w:color w:val="000000" w:themeColor="text1"/>
          <w:lang w:val="ru-RU"/>
        </w:rPr>
        <w:t>валютн</w:t>
      </w:r>
      <w:r w:rsidRPr="002276B8">
        <w:rPr>
          <w:color w:val="000000" w:themeColor="text1"/>
          <w:lang w:val="ru-RU"/>
        </w:rPr>
        <w:t>ого курса.</w:t>
      </w:r>
      <w:r w:rsidR="00E01C00" w:rsidRPr="002276B8">
        <w:rPr>
          <w:lang w:val="ru-RU"/>
        </w:rPr>
        <w:t xml:space="preserve"> </w:t>
      </w:r>
      <w:r w:rsidR="00E01C00" w:rsidRPr="002276B8">
        <w:rPr>
          <w:color w:val="000000" w:themeColor="text1"/>
          <w:lang w:val="ru-RU"/>
        </w:rPr>
        <w:t>На микроэкономическом уровне валютный курс имеет три формы:</w:t>
      </w:r>
    </w:p>
    <w:p w:rsidR="00E01C00" w:rsidRPr="002276B8" w:rsidRDefault="00E01C00" w:rsidP="00901DBF">
      <w:pPr>
        <w:rPr>
          <w:color w:val="000000" w:themeColor="text1"/>
          <w:lang w:val="ru-RU"/>
        </w:rPr>
      </w:pPr>
      <w:r w:rsidRPr="002276B8">
        <w:rPr>
          <w:color w:val="000000" w:themeColor="text1"/>
          <w:lang w:val="ru-RU"/>
        </w:rPr>
        <w:t>- операционный риск, связанный с коммерческой или международной финансовой деятельностью компании;</w:t>
      </w:r>
    </w:p>
    <w:p w:rsidR="00E01C00" w:rsidRPr="002276B8" w:rsidRDefault="00E01C00" w:rsidP="00901DBF">
      <w:pPr>
        <w:rPr>
          <w:color w:val="000000" w:themeColor="text1"/>
          <w:lang w:val="ru-RU"/>
        </w:rPr>
      </w:pPr>
      <w:r w:rsidRPr="002276B8">
        <w:rPr>
          <w:color w:val="000000" w:themeColor="text1"/>
          <w:lang w:val="ru-RU"/>
        </w:rPr>
        <w:t>- балансовый риск, связанный с конвертацией позиций в балансе в иностранную валюту;</w:t>
      </w:r>
    </w:p>
    <w:p w:rsidR="00E01C00" w:rsidRPr="002276B8" w:rsidRDefault="00DC5A3A" w:rsidP="00901DBF">
      <w:pPr>
        <w:rPr>
          <w:color w:val="000000" w:themeColor="text1"/>
          <w:lang w:val="ru-RU"/>
        </w:rPr>
      </w:pPr>
      <w:r w:rsidRPr="002276B8">
        <w:rPr>
          <w:color w:val="000000" w:themeColor="text1"/>
          <w:lang w:val="ru-RU"/>
        </w:rPr>
        <w:t>- риск конкурентоспособности, связанный с отношениями компании с иностранными компаниями-конкурентами.</w:t>
      </w:r>
    </w:p>
    <w:p w:rsidR="00DC5A3A" w:rsidRPr="002276B8" w:rsidRDefault="002276B8" w:rsidP="00901DBF">
      <w:pPr>
        <w:rPr>
          <w:b/>
          <w:color w:val="000000" w:themeColor="text1"/>
          <w:lang w:val="ru-RU"/>
        </w:rPr>
      </w:pPr>
      <w:r w:rsidRPr="002276B8">
        <w:rPr>
          <w:b/>
          <w:color w:val="000000" w:themeColor="text1"/>
          <w:lang w:val="ru-RU"/>
        </w:rPr>
        <w:t>Методы управления иностранной валютой</w:t>
      </w:r>
    </w:p>
    <w:p w:rsidR="002276B8" w:rsidRDefault="002276B8" w:rsidP="00901DBF">
      <w:pPr>
        <w:rPr>
          <w:color w:val="000000" w:themeColor="text1"/>
          <w:lang w:val="ru-RU"/>
        </w:rPr>
      </w:pPr>
      <w:r w:rsidRPr="002276B8">
        <w:rPr>
          <w:color w:val="000000" w:themeColor="text1"/>
          <w:lang w:val="ru-RU"/>
        </w:rPr>
        <w:t>Управление иностранной валютой включает длительный процесс принятия решений, который синтетически представлен в рисунке 1 ниже.</w:t>
      </w:r>
    </w:p>
    <w:p w:rsidR="002276B8" w:rsidRDefault="00150A3D" w:rsidP="00901DBF">
      <w:pPr>
        <w:rPr>
          <w:color w:val="000000" w:themeColor="text1"/>
          <w:lang w:val="ru-RU"/>
        </w:rPr>
      </w:pPr>
      <w:r w:rsidRPr="00150A3D">
        <w:rPr>
          <w:color w:val="000000" w:themeColor="text1"/>
          <w:lang w:val="ru-RU"/>
        </w:rPr>
        <w:t>Покрытие валютного риска для каждой транзак</w:t>
      </w:r>
      <w:r w:rsidR="00B41644">
        <w:rPr>
          <w:color w:val="000000" w:themeColor="text1"/>
          <w:lang w:val="ru-RU"/>
        </w:rPr>
        <w:t>ции может осуществляться двумя метод</w:t>
      </w:r>
      <w:r w:rsidRPr="00150A3D">
        <w:rPr>
          <w:color w:val="000000" w:themeColor="text1"/>
          <w:lang w:val="ru-RU"/>
        </w:rPr>
        <w:t>ами: договорным и внедоговорным.</w:t>
      </w:r>
    </w:p>
    <w:p w:rsidR="00B41644" w:rsidRPr="002276B8" w:rsidRDefault="00B41644" w:rsidP="00901DBF">
      <w:pPr>
        <w:rPr>
          <w:color w:val="000000" w:themeColor="text1"/>
          <w:lang w:val="ru-RU"/>
        </w:rPr>
      </w:pPr>
      <w:r w:rsidRPr="00B41644">
        <w:rPr>
          <w:color w:val="000000" w:themeColor="text1"/>
          <w:lang w:val="ru-RU"/>
        </w:rPr>
        <w:t>Договорные методы - международные коммерческие договоры содержат положения, позволяющие частично или полностью восстановить убытки, причиненные другой стороной.</w:t>
      </w:r>
      <w:r w:rsidRPr="00B41644">
        <w:rPr>
          <w:lang w:val="ru-RU"/>
        </w:rPr>
        <w:t xml:space="preserve"> </w:t>
      </w:r>
      <w:r w:rsidRPr="00B41644">
        <w:rPr>
          <w:color w:val="000000" w:themeColor="text1"/>
          <w:lang w:val="ru-RU"/>
        </w:rPr>
        <w:t xml:space="preserve">Эти положения относятся главным образом к перерасчету стоимости контракта в день платежа в связи с изменением цены, </w:t>
      </w:r>
      <w:r w:rsidR="00F011A2">
        <w:rPr>
          <w:color w:val="000000" w:themeColor="text1"/>
          <w:lang w:val="ru-RU"/>
        </w:rPr>
        <w:t>валютн</w:t>
      </w:r>
      <w:r w:rsidRPr="00B41644">
        <w:rPr>
          <w:color w:val="000000" w:themeColor="text1"/>
          <w:lang w:val="ru-RU"/>
        </w:rPr>
        <w:t>ого курса или процентных ставок.</w:t>
      </w:r>
    </w:p>
    <w:p w:rsidR="00C8535C" w:rsidRPr="00C8535C" w:rsidRDefault="00C8535C" w:rsidP="00C8535C">
      <w:pPr>
        <w:rPr>
          <w:color w:val="000000" w:themeColor="text1"/>
          <w:lang w:val="ru-RU"/>
        </w:rPr>
      </w:pPr>
      <w:r w:rsidRPr="00C8535C">
        <w:rPr>
          <w:color w:val="000000" w:themeColor="text1"/>
          <w:lang w:val="ru-RU"/>
        </w:rPr>
        <w:t>Там может быть включено:</w:t>
      </w:r>
    </w:p>
    <w:p w:rsidR="00C8535C" w:rsidRPr="00C8535C" w:rsidRDefault="00C8535C" w:rsidP="00C8535C">
      <w:pPr>
        <w:rPr>
          <w:color w:val="000000" w:themeColor="text1"/>
          <w:lang w:val="ru-RU"/>
        </w:rPr>
      </w:pPr>
      <w:r w:rsidRPr="00C8535C">
        <w:rPr>
          <w:color w:val="000000" w:themeColor="text1"/>
          <w:lang w:val="ru-RU"/>
        </w:rPr>
        <w:t>- простая валютная оговорка;</w:t>
      </w:r>
    </w:p>
    <w:p w:rsidR="00C8535C" w:rsidRPr="00C8535C" w:rsidRDefault="00C8535C" w:rsidP="00C8535C">
      <w:pPr>
        <w:rPr>
          <w:color w:val="000000" w:themeColor="text1"/>
          <w:lang w:val="ru-RU"/>
        </w:rPr>
      </w:pPr>
      <w:r w:rsidRPr="00C8535C">
        <w:rPr>
          <w:color w:val="000000" w:themeColor="text1"/>
          <w:lang w:val="ru-RU"/>
        </w:rPr>
        <w:t>- оговорка о простой валютной корзине;</w:t>
      </w:r>
    </w:p>
    <w:p w:rsidR="00705C0F" w:rsidRPr="00705C0F" w:rsidRDefault="00C8535C" w:rsidP="00C8535C">
      <w:pPr>
        <w:rPr>
          <w:b/>
          <w:color w:val="000000" w:themeColor="text1"/>
          <w:lang w:val="ru-RU"/>
        </w:rPr>
      </w:pPr>
      <w:r w:rsidRPr="00C8535C">
        <w:rPr>
          <w:color w:val="000000" w:themeColor="text1"/>
          <w:lang w:val="ru-RU"/>
        </w:rPr>
        <w:t xml:space="preserve">- </w:t>
      </w:r>
      <w:r w:rsidR="00705C0F" w:rsidRPr="00C8535C">
        <w:rPr>
          <w:color w:val="000000" w:themeColor="text1"/>
          <w:lang w:val="ru-RU"/>
        </w:rPr>
        <w:t xml:space="preserve">оговорка </w:t>
      </w:r>
      <w:r w:rsidRPr="00C8535C">
        <w:rPr>
          <w:color w:val="000000" w:themeColor="text1"/>
          <w:lang w:val="ru-RU"/>
        </w:rPr>
        <w:t xml:space="preserve">о сбалансированной </w:t>
      </w:r>
      <w:r w:rsidR="00705C0F" w:rsidRPr="00C8535C">
        <w:rPr>
          <w:color w:val="000000" w:themeColor="text1"/>
          <w:lang w:val="ru-RU"/>
        </w:rPr>
        <w:t>валютной корзине</w:t>
      </w:r>
      <w:r w:rsidR="00705C0F" w:rsidRPr="00705C0F">
        <w:rPr>
          <w:b/>
          <w:color w:val="000000" w:themeColor="text1"/>
          <w:lang w:val="ru-RU"/>
        </w:rPr>
        <w:t>.</w:t>
      </w:r>
    </w:p>
    <w:p w:rsidR="00705C0F" w:rsidRDefault="00D25893" w:rsidP="00C8535C">
      <w:pPr>
        <w:rPr>
          <w:color w:val="000000" w:themeColor="text1"/>
          <w:lang w:val="ru-RU"/>
        </w:rPr>
      </w:pPr>
      <w:r>
        <w:rPr>
          <w:noProof/>
          <w:color w:val="000000" w:themeColor="text1"/>
        </w:rPr>
        <w:lastRenderedPageBreak/>
        <mc:AlternateContent>
          <mc:Choice Requires="wpg">
            <w:drawing>
              <wp:anchor distT="0" distB="0" distL="114300" distR="114300" simplePos="0" relativeHeight="251716608" behindDoc="0" locked="0" layoutInCell="1" allowOverlap="1">
                <wp:simplePos x="0" y="0"/>
                <wp:positionH relativeFrom="column">
                  <wp:posOffset>-5715</wp:posOffset>
                </wp:positionH>
                <wp:positionV relativeFrom="paragraph">
                  <wp:posOffset>3810</wp:posOffset>
                </wp:positionV>
                <wp:extent cx="6147435" cy="5229225"/>
                <wp:effectExtent l="0" t="0" r="24765" b="47625"/>
                <wp:wrapNone/>
                <wp:docPr id="45" name="Group 45"/>
                <wp:cNvGraphicFramePr/>
                <a:graphic xmlns:a="http://schemas.openxmlformats.org/drawingml/2006/main">
                  <a:graphicData uri="http://schemas.microsoft.com/office/word/2010/wordprocessingGroup">
                    <wpg:wgp>
                      <wpg:cNvGrpSpPr/>
                      <wpg:grpSpPr>
                        <a:xfrm>
                          <a:off x="0" y="0"/>
                          <a:ext cx="6147435" cy="5229225"/>
                          <a:chOff x="0" y="0"/>
                          <a:chExt cx="6147435" cy="5229225"/>
                        </a:xfrm>
                      </wpg:grpSpPr>
                      <wps:wsp>
                        <wps:cNvPr id="1" name="Text Box 1"/>
                        <wps:cNvSpPr txBox="1"/>
                        <wps:spPr>
                          <a:xfrm>
                            <a:off x="1609725" y="0"/>
                            <a:ext cx="2840990" cy="288000"/>
                          </a:xfrm>
                          <a:prstGeom prst="rect">
                            <a:avLst/>
                          </a:prstGeom>
                          <a:solidFill>
                            <a:schemeClr val="lt1"/>
                          </a:solidFill>
                          <a:ln w="6350">
                            <a:solidFill>
                              <a:prstClr val="black"/>
                            </a:solidFill>
                          </a:ln>
                        </wps:spPr>
                        <wps:txbx>
                          <w:txbxContent>
                            <w:p w:rsidR="001A5808" w:rsidRPr="00F737CA" w:rsidRDefault="001A5808" w:rsidP="0061426D">
                              <w:pPr>
                                <w:spacing w:line="240" w:lineRule="auto"/>
                                <w:ind w:firstLine="0"/>
                                <w:rPr>
                                  <w:sz w:val="24"/>
                                </w:rPr>
                              </w:pPr>
                              <w:r w:rsidRPr="0061426D">
                                <w:rPr>
                                  <w:sz w:val="24"/>
                                </w:rPr>
                                <w:t>Политика в отношении валютного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962025"/>
                            <a:ext cx="1329690" cy="485775"/>
                          </a:xfrm>
                          <a:prstGeom prst="rect">
                            <a:avLst/>
                          </a:prstGeom>
                          <a:solidFill>
                            <a:schemeClr val="lt1"/>
                          </a:solidFill>
                          <a:ln w="6350">
                            <a:solidFill>
                              <a:prstClr val="black"/>
                            </a:solidFill>
                          </a:ln>
                        </wps:spPr>
                        <wps:txbx>
                          <w:txbxContent>
                            <w:p w:rsidR="001A5808" w:rsidRPr="0054289E" w:rsidRDefault="001A5808" w:rsidP="0054289E">
                              <w:pPr>
                                <w:spacing w:line="240" w:lineRule="auto"/>
                                <w:ind w:firstLine="0"/>
                                <w:jc w:val="center"/>
                                <w:rPr>
                                  <w:sz w:val="24"/>
                                  <w:lang w:val="ru-RU"/>
                                </w:rPr>
                              </w:pPr>
                              <w:r>
                                <w:rPr>
                                  <w:sz w:val="24"/>
                                  <w:lang w:val="ru-RU"/>
                                </w:rPr>
                                <w:t>Ожидание валютного курса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00200" y="962025"/>
                            <a:ext cx="3310890" cy="485775"/>
                          </a:xfrm>
                          <a:prstGeom prst="rect">
                            <a:avLst/>
                          </a:prstGeom>
                          <a:solidFill>
                            <a:schemeClr val="lt1"/>
                          </a:solidFill>
                          <a:ln w="6350">
                            <a:solidFill>
                              <a:prstClr val="black"/>
                            </a:solidFill>
                          </a:ln>
                        </wps:spPr>
                        <wps:txbx>
                          <w:txbxContent>
                            <w:p w:rsidR="001A5808" w:rsidRPr="0054289E" w:rsidRDefault="001A5808" w:rsidP="00395276">
                              <w:pPr>
                                <w:spacing w:line="240" w:lineRule="auto"/>
                                <w:ind w:firstLine="0"/>
                                <w:jc w:val="center"/>
                                <w:rPr>
                                  <w:sz w:val="24"/>
                                  <w:lang w:val="ru-RU"/>
                                </w:rPr>
                              </w:pPr>
                              <w:r w:rsidRPr="00395276">
                                <w:rPr>
                                  <w:sz w:val="24"/>
                                  <w:lang w:val="ru-RU"/>
                                </w:rPr>
                                <w:t>Мо</w:t>
                              </w:r>
                              <w:r>
                                <w:rPr>
                                  <w:sz w:val="24"/>
                                  <w:lang w:val="ru-RU"/>
                                </w:rPr>
                                <w:t xml:space="preserve">делирование возможных стратегий: </w:t>
                              </w:r>
                              <w:r w:rsidRPr="00395276">
                                <w:rPr>
                                  <w:sz w:val="24"/>
                                  <w:lang w:val="ru-RU"/>
                                </w:rPr>
                                <w:t>Микрохеджирование или макрохеджирование?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5162550" y="962025"/>
                            <a:ext cx="889000" cy="485775"/>
                          </a:xfrm>
                          <a:prstGeom prst="rect">
                            <a:avLst/>
                          </a:prstGeom>
                          <a:solidFill>
                            <a:schemeClr val="lt1"/>
                          </a:solidFill>
                          <a:ln w="6350">
                            <a:solidFill>
                              <a:prstClr val="black"/>
                            </a:solidFill>
                          </a:ln>
                        </wps:spPr>
                        <wps:txbx>
                          <w:txbxContent>
                            <w:p w:rsidR="001A5808" w:rsidRPr="0054289E" w:rsidRDefault="001A5808" w:rsidP="00395276">
                              <w:pPr>
                                <w:spacing w:line="240" w:lineRule="auto"/>
                                <w:ind w:firstLine="0"/>
                                <w:jc w:val="center"/>
                                <w:rPr>
                                  <w:sz w:val="24"/>
                                  <w:lang w:val="ru-RU"/>
                                </w:rPr>
                              </w:pPr>
                              <w:r w:rsidRPr="00395276">
                                <w:rPr>
                                  <w:sz w:val="24"/>
                                  <w:lang w:val="ru-RU"/>
                                </w:rPr>
                                <w:t>Рыночные условия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525" y="1933575"/>
                            <a:ext cx="1590675" cy="288000"/>
                          </a:xfrm>
                          <a:prstGeom prst="rect">
                            <a:avLst/>
                          </a:prstGeom>
                          <a:solidFill>
                            <a:schemeClr val="lt1"/>
                          </a:solidFill>
                          <a:ln w="6350">
                            <a:solidFill>
                              <a:prstClr val="black"/>
                            </a:solidFill>
                          </a:ln>
                        </wps:spPr>
                        <wps:txbx>
                          <w:txbxContent>
                            <w:p w:rsidR="001A5808" w:rsidRPr="00F737CA" w:rsidRDefault="001A5808" w:rsidP="005C42A1">
                              <w:pPr>
                                <w:spacing w:line="240" w:lineRule="auto"/>
                                <w:ind w:firstLine="0"/>
                                <w:rPr>
                                  <w:sz w:val="24"/>
                                </w:rPr>
                              </w:pPr>
                              <w:r w:rsidRPr="005C42A1">
                                <w:rPr>
                                  <w:sz w:val="24"/>
                                </w:rPr>
                                <w:t>Сохранение позиции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676525" y="1933575"/>
                            <a:ext cx="888365" cy="288000"/>
                          </a:xfrm>
                          <a:prstGeom prst="rect">
                            <a:avLst/>
                          </a:prstGeom>
                          <a:solidFill>
                            <a:schemeClr val="lt1"/>
                          </a:solidFill>
                          <a:ln w="6350">
                            <a:solidFill>
                              <a:prstClr val="black"/>
                            </a:solidFill>
                          </a:ln>
                        </wps:spPr>
                        <wps:txbx>
                          <w:txbxContent>
                            <w:p w:rsidR="001A5808" w:rsidRPr="00F737CA" w:rsidRDefault="001A5808" w:rsidP="00AA171A">
                              <w:pPr>
                                <w:spacing w:line="240" w:lineRule="auto"/>
                                <w:ind w:firstLine="0"/>
                                <w:rPr>
                                  <w:sz w:val="24"/>
                                </w:rPr>
                              </w:pPr>
                              <w:r>
                                <w:rPr>
                                  <w:sz w:val="24"/>
                                  <w:lang w:val="ru-RU"/>
                                </w:rPr>
                                <w:t>П</w:t>
                              </w:r>
                              <w:r w:rsidRPr="00336ED9">
                                <w:rPr>
                                  <w:sz w:val="24"/>
                                </w:rPr>
                                <w:t>окрытие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52850" y="1933575"/>
                            <a:ext cx="2313305" cy="288000"/>
                          </a:xfrm>
                          <a:prstGeom prst="rect">
                            <a:avLst/>
                          </a:prstGeom>
                          <a:solidFill>
                            <a:schemeClr val="lt1"/>
                          </a:solidFill>
                          <a:ln w="6350">
                            <a:solidFill>
                              <a:prstClr val="black"/>
                            </a:solidFill>
                          </a:ln>
                        </wps:spPr>
                        <wps:txbx>
                          <w:txbxContent>
                            <w:p w:rsidR="001A5808" w:rsidRPr="00F737CA" w:rsidRDefault="001A5808" w:rsidP="00336ED9">
                              <w:pPr>
                                <w:spacing w:line="240" w:lineRule="auto"/>
                                <w:ind w:firstLine="0"/>
                                <w:rPr>
                                  <w:sz w:val="24"/>
                                </w:rPr>
                              </w:pPr>
                              <w:r w:rsidRPr="00336ED9">
                                <w:rPr>
                                  <w:sz w:val="24"/>
                                </w:rPr>
                                <w:t>Р</w:t>
                              </w:r>
                              <w:r>
                                <w:rPr>
                                  <w:sz w:val="24"/>
                                  <w:lang w:val="ru-RU"/>
                                </w:rPr>
                                <w:t>азвитие</w:t>
                              </w:r>
                              <w:r w:rsidRPr="00336ED9">
                                <w:rPr>
                                  <w:sz w:val="24"/>
                                </w:rPr>
                                <w:t xml:space="preserve"> позици</w:t>
                              </w:r>
                              <w:r>
                                <w:rPr>
                                  <w:sz w:val="24"/>
                                  <w:lang w:val="ru-RU"/>
                                </w:rPr>
                                <w:t>м</w:t>
                              </w:r>
                              <w:r w:rsidRPr="00336ED9">
                                <w:rPr>
                                  <w:sz w:val="24"/>
                                </w:rPr>
                                <w:t xml:space="preserve"> (спекуляция)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33775" y="2419350"/>
                            <a:ext cx="1215390" cy="288000"/>
                          </a:xfrm>
                          <a:prstGeom prst="rect">
                            <a:avLst/>
                          </a:prstGeom>
                          <a:solidFill>
                            <a:schemeClr val="lt1"/>
                          </a:solidFill>
                          <a:ln w="6350">
                            <a:solidFill>
                              <a:prstClr val="black"/>
                            </a:solidFill>
                          </a:ln>
                        </wps:spPr>
                        <wps:txbx>
                          <w:txbxContent>
                            <w:p w:rsidR="001A5808" w:rsidRPr="00F737CA" w:rsidRDefault="001A5808" w:rsidP="0044168A">
                              <w:pPr>
                                <w:spacing w:line="240" w:lineRule="auto"/>
                                <w:ind w:firstLine="0"/>
                                <w:rPr>
                                  <w:sz w:val="24"/>
                                </w:rPr>
                              </w:pPr>
                              <w:r w:rsidRPr="0044168A">
                                <w:rPr>
                                  <w:sz w:val="24"/>
                                </w:rPr>
                                <w:t>Выбор техники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133600" y="2857500"/>
                            <a:ext cx="2152650" cy="287655"/>
                          </a:xfrm>
                          <a:prstGeom prst="rect">
                            <a:avLst/>
                          </a:prstGeom>
                          <a:solidFill>
                            <a:schemeClr val="lt1"/>
                          </a:solidFill>
                          <a:ln w="6350">
                            <a:solidFill>
                              <a:prstClr val="black"/>
                            </a:solidFill>
                          </a:ln>
                        </wps:spPr>
                        <wps:txbx>
                          <w:txbxContent>
                            <w:p w:rsidR="001A5808" w:rsidRPr="00F737CA" w:rsidRDefault="001A5808" w:rsidP="00F3059E">
                              <w:pPr>
                                <w:spacing w:line="240" w:lineRule="auto"/>
                                <w:ind w:firstLine="0"/>
                                <w:rPr>
                                  <w:sz w:val="24"/>
                                </w:rPr>
                              </w:pPr>
                              <w:r w:rsidRPr="00BE0AF3">
                                <w:rPr>
                                  <w:sz w:val="24"/>
                                </w:rPr>
                                <w:t>Анализ результатов стратегий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525" y="3381375"/>
                            <a:ext cx="1951990" cy="485775"/>
                          </a:xfrm>
                          <a:prstGeom prst="rect">
                            <a:avLst/>
                          </a:prstGeom>
                          <a:solidFill>
                            <a:schemeClr val="lt1"/>
                          </a:solidFill>
                          <a:ln w="6350">
                            <a:solidFill>
                              <a:prstClr val="black"/>
                            </a:solidFill>
                          </a:ln>
                        </wps:spPr>
                        <wps:txbx>
                          <w:txbxContent>
                            <w:p w:rsidR="001A5808" w:rsidRPr="00F737CA" w:rsidRDefault="001A5808" w:rsidP="005937AA">
                              <w:pPr>
                                <w:spacing w:line="240" w:lineRule="auto"/>
                                <w:ind w:firstLine="0"/>
                                <w:jc w:val="center"/>
                                <w:rPr>
                                  <w:sz w:val="24"/>
                                </w:rPr>
                              </w:pPr>
                              <w:r w:rsidRPr="005937AA">
                                <w:rPr>
                                  <w:sz w:val="24"/>
                                </w:rPr>
                                <w:t>Аспекты, связанные с эксплуатацией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314575" y="3352800"/>
                            <a:ext cx="1780540" cy="514350"/>
                          </a:xfrm>
                          <a:prstGeom prst="rect">
                            <a:avLst/>
                          </a:prstGeom>
                          <a:solidFill>
                            <a:schemeClr val="lt1"/>
                          </a:solidFill>
                          <a:ln w="6350">
                            <a:solidFill>
                              <a:prstClr val="black"/>
                            </a:solidFill>
                          </a:ln>
                        </wps:spPr>
                        <wps:txbx>
                          <w:txbxContent>
                            <w:p w:rsidR="001A5808" w:rsidRPr="00F737CA" w:rsidRDefault="001A5808" w:rsidP="005937AA">
                              <w:pPr>
                                <w:spacing w:line="240" w:lineRule="auto"/>
                                <w:ind w:firstLine="0"/>
                                <w:jc w:val="center"/>
                                <w:rPr>
                                  <w:sz w:val="24"/>
                                </w:rPr>
                              </w:pPr>
                              <w:r w:rsidRPr="005937AA">
                                <w:rPr>
                                  <w:sz w:val="24"/>
                                </w:rPr>
                                <w:t>Бухгалтерские аспекты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448175" y="3381375"/>
                            <a:ext cx="1600200" cy="485775"/>
                          </a:xfrm>
                          <a:prstGeom prst="rect">
                            <a:avLst/>
                          </a:prstGeom>
                          <a:solidFill>
                            <a:schemeClr val="lt1"/>
                          </a:solidFill>
                          <a:ln w="6350">
                            <a:solidFill>
                              <a:prstClr val="black"/>
                            </a:solidFill>
                          </a:ln>
                        </wps:spPr>
                        <wps:txbx>
                          <w:txbxContent>
                            <w:p w:rsidR="001A5808" w:rsidRPr="00F737CA" w:rsidRDefault="001A5808" w:rsidP="0056040E">
                              <w:pPr>
                                <w:spacing w:line="240" w:lineRule="auto"/>
                                <w:ind w:firstLine="0"/>
                                <w:jc w:val="center"/>
                                <w:rPr>
                                  <w:sz w:val="24"/>
                                </w:rPr>
                              </w:pPr>
                              <w:r w:rsidRPr="0056040E">
                                <w:rPr>
                                  <w:sz w:val="24"/>
                                </w:rPr>
                                <w:t>Финансовые аспекты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76425" y="4067175"/>
                            <a:ext cx="2663190" cy="287655"/>
                          </a:xfrm>
                          <a:prstGeom prst="rect">
                            <a:avLst/>
                          </a:prstGeom>
                          <a:solidFill>
                            <a:schemeClr val="lt1"/>
                          </a:solidFill>
                          <a:ln w="6350">
                            <a:solidFill>
                              <a:prstClr val="black"/>
                            </a:solidFill>
                          </a:ln>
                        </wps:spPr>
                        <wps:txbx>
                          <w:txbxContent>
                            <w:p w:rsidR="001A5808" w:rsidRPr="00C857F2" w:rsidRDefault="001A5808" w:rsidP="00C857F2">
                              <w:pPr>
                                <w:spacing w:line="240" w:lineRule="auto"/>
                                <w:ind w:firstLine="0"/>
                                <w:rPr>
                                  <w:sz w:val="24"/>
                                  <w:lang w:val="ru-RU"/>
                                </w:rPr>
                              </w:pPr>
                              <w:r w:rsidRPr="00C857F2">
                                <w:rPr>
                                  <w:sz w:val="24"/>
                                  <w:lang w:val="ru-RU"/>
                                </w:rPr>
                                <w:t>Оценка результатов в связи с целями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Flowchart: Decision 15"/>
                        <wps:cNvSpPr/>
                        <wps:spPr>
                          <a:xfrm>
                            <a:off x="2419350" y="4591050"/>
                            <a:ext cx="1543050" cy="63817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5808" w:rsidRDefault="001A5808" w:rsidP="00447A85">
                              <w:pPr>
                                <w:spacing w:line="240" w:lineRule="auto"/>
                                <w:ind w:firstLine="0"/>
                                <w:jc w:val="center"/>
                              </w:pPr>
                              <w:r>
                                <w:rPr>
                                  <w:sz w:val="24"/>
                                </w:rPr>
                                <w:t>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3028950" y="285750"/>
                            <a:ext cx="0" cy="1885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3028950" y="76200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333500" y="1209675"/>
                            <a:ext cx="2800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a:off x="4914900" y="1209675"/>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809625" y="1685925"/>
                            <a:ext cx="4105275"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3114675" y="1447800"/>
                            <a:ext cx="0" cy="483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809625" y="1685925"/>
                            <a:ext cx="0"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4914900" y="1685925"/>
                            <a:ext cx="0"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4181475" y="2219325"/>
                            <a:ext cx="0" cy="194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3114675" y="2219325"/>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3114675" y="2562225"/>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3952875" y="2705100"/>
                            <a:ext cx="0" cy="150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3209925" y="314325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H="1">
                            <a:off x="981075" y="3000375"/>
                            <a:ext cx="114998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981075" y="3000375"/>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4286250" y="3000375"/>
                            <a:ext cx="952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5238750" y="3000375"/>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981075" y="3867150"/>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981075" y="4210050"/>
                            <a:ext cx="895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3190875" y="386715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5238750" y="3867150"/>
                            <a:ext cx="381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flipH="1">
                            <a:off x="4543425" y="4210050"/>
                            <a:ext cx="6991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3190875" y="4352925"/>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3962400" y="4905375"/>
                            <a:ext cx="2177415" cy="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V="1">
                            <a:off x="6143625" y="123825"/>
                            <a:ext cx="0" cy="478155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flipH="1">
                            <a:off x="4448175" y="123825"/>
                            <a:ext cx="16929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flipH="1">
                            <a:off x="4629150" y="609600"/>
                            <a:ext cx="1518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5" o:spid="_x0000_s1026" style="position:absolute;left:0;text-align:left;margin-left:-.45pt;margin-top:.3pt;width:484.05pt;height:411.75pt;z-index:251716608" coordsize="61474,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">
                <v:shapetype id="_x0000_t202" coordsize="21600,21600" o:spt="202" path="m,l,21600r21600,l21600,xe">
                  <v:stroke joinstyle="miter"/>
                  <v:path gradientshapeok="t" o:connecttype="rect"/>
                </v:shapetype>
                <v:shape id="Text Box 1" o:spid="_x0000_s1027" type="#_x0000_t202" style="position:absolute;left:16097;width:2841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1A5808" w:rsidRPr="00F737CA" w:rsidRDefault="001A5808" w:rsidP="0061426D">
                        <w:pPr>
                          <w:spacing w:line="240" w:lineRule="auto"/>
                          <w:ind w:firstLine="0"/>
                          <w:rPr>
                            <w:sz w:val="24"/>
                          </w:rPr>
                        </w:pPr>
                        <w:proofErr w:type="spellStart"/>
                        <w:r w:rsidRPr="0061426D">
                          <w:rPr>
                            <w:sz w:val="24"/>
                          </w:rPr>
                          <w:t>Политика</w:t>
                        </w:r>
                        <w:proofErr w:type="spellEnd"/>
                        <w:r w:rsidRPr="0061426D">
                          <w:rPr>
                            <w:sz w:val="24"/>
                          </w:rPr>
                          <w:t xml:space="preserve"> в </w:t>
                        </w:r>
                        <w:proofErr w:type="spellStart"/>
                        <w:r w:rsidRPr="0061426D">
                          <w:rPr>
                            <w:sz w:val="24"/>
                          </w:rPr>
                          <w:t>отношении</w:t>
                        </w:r>
                        <w:proofErr w:type="spellEnd"/>
                        <w:r w:rsidRPr="0061426D">
                          <w:rPr>
                            <w:sz w:val="24"/>
                          </w:rPr>
                          <w:t xml:space="preserve"> </w:t>
                        </w:r>
                        <w:proofErr w:type="spellStart"/>
                        <w:r w:rsidRPr="0061426D">
                          <w:rPr>
                            <w:sz w:val="24"/>
                          </w:rPr>
                          <w:t>валютного</w:t>
                        </w:r>
                        <w:proofErr w:type="spellEnd"/>
                        <w:r w:rsidRPr="0061426D">
                          <w:rPr>
                            <w:sz w:val="24"/>
                          </w:rPr>
                          <w:t xml:space="preserve"> </w:t>
                        </w:r>
                        <w:proofErr w:type="spellStart"/>
                        <w:r w:rsidRPr="0061426D">
                          <w:rPr>
                            <w:sz w:val="24"/>
                          </w:rPr>
                          <w:t>риска</w:t>
                        </w:r>
                        <w:proofErr w:type="spellEnd"/>
                      </w:p>
                    </w:txbxContent>
                  </v:textbox>
                </v:shape>
                <v:shape id="Text Box 3" o:spid="_x0000_s1028" type="#_x0000_t202" style="position:absolute;top:9620;width:1329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1A5808" w:rsidRPr="0054289E" w:rsidRDefault="001A5808" w:rsidP="0054289E">
                        <w:pPr>
                          <w:spacing w:line="240" w:lineRule="auto"/>
                          <w:ind w:firstLine="0"/>
                          <w:jc w:val="center"/>
                          <w:rPr>
                            <w:sz w:val="24"/>
                            <w:lang w:val="ru-RU"/>
                          </w:rPr>
                        </w:pPr>
                        <w:r>
                          <w:rPr>
                            <w:sz w:val="24"/>
                            <w:lang w:val="ru-RU"/>
                          </w:rPr>
                          <w:t>Ожидание валютного курса</w:t>
                        </w:r>
                      </w:p>
                    </w:txbxContent>
                  </v:textbox>
                </v:shape>
                <v:shape id="Text Box 4" o:spid="_x0000_s1029" type="#_x0000_t202" style="position:absolute;left:16002;top:9620;width:3310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1A5808" w:rsidRPr="0054289E" w:rsidRDefault="001A5808" w:rsidP="00395276">
                        <w:pPr>
                          <w:spacing w:line="240" w:lineRule="auto"/>
                          <w:ind w:firstLine="0"/>
                          <w:jc w:val="center"/>
                          <w:rPr>
                            <w:sz w:val="24"/>
                            <w:lang w:val="ru-RU"/>
                          </w:rPr>
                        </w:pPr>
                        <w:r w:rsidRPr="00395276">
                          <w:rPr>
                            <w:sz w:val="24"/>
                            <w:lang w:val="ru-RU"/>
                          </w:rPr>
                          <w:t>Мо</w:t>
                        </w:r>
                        <w:r>
                          <w:rPr>
                            <w:sz w:val="24"/>
                            <w:lang w:val="ru-RU"/>
                          </w:rPr>
                          <w:t xml:space="preserve">делирование возможных стратегий: </w:t>
                        </w:r>
                        <w:proofErr w:type="spellStart"/>
                        <w:r w:rsidRPr="00395276">
                          <w:rPr>
                            <w:sz w:val="24"/>
                            <w:lang w:val="ru-RU"/>
                          </w:rPr>
                          <w:t>Микрохеджирование</w:t>
                        </w:r>
                        <w:proofErr w:type="spellEnd"/>
                        <w:r w:rsidRPr="00395276">
                          <w:rPr>
                            <w:sz w:val="24"/>
                            <w:lang w:val="ru-RU"/>
                          </w:rPr>
                          <w:t xml:space="preserve"> или </w:t>
                        </w:r>
                        <w:proofErr w:type="spellStart"/>
                        <w:r w:rsidRPr="00395276">
                          <w:rPr>
                            <w:sz w:val="24"/>
                            <w:lang w:val="ru-RU"/>
                          </w:rPr>
                          <w:t>макрохеджирование</w:t>
                        </w:r>
                        <w:proofErr w:type="spellEnd"/>
                        <w:r w:rsidRPr="00395276">
                          <w:rPr>
                            <w:sz w:val="24"/>
                            <w:lang w:val="ru-RU"/>
                          </w:rPr>
                          <w:t>?</w:t>
                        </w:r>
                      </w:p>
                    </w:txbxContent>
                  </v:textbox>
                </v:shape>
                <v:shape id="Text Box 5" o:spid="_x0000_s1030" type="#_x0000_t202" style="position:absolute;left:51625;top:9620;width:889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1A5808" w:rsidRPr="0054289E" w:rsidRDefault="001A5808" w:rsidP="00395276">
                        <w:pPr>
                          <w:spacing w:line="240" w:lineRule="auto"/>
                          <w:ind w:firstLine="0"/>
                          <w:jc w:val="center"/>
                          <w:rPr>
                            <w:sz w:val="24"/>
                            <w:lang w:val="ru-RU"/>
                          </w:rPr>
                        </w:pPr>
                        <w:r w:rsidRPr="00395276">
                          <w:rPr>
                            <w:sz w:val="24"/>
                            <w:lang w:val="ru-RU"/>
                          </w:rPr>
                          <w:t>Рыночные условия</w:t>
                        </w:r>
                      </w:p>
                    </w:txbxContent>
                  </v:textbox>
                </v:shape>
                <v:shape id="Text Box 6" o:spid="_x0000_s1031" type="#_x0000_t202" style="position:absolute;left:95;top:19335;width:15907;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1A5808" w:rsidRPr="00F737CA" w:rsidRDefault="001A5808" w:rsidP="005C42A1">
                        <w:pPr>
                          <w:spacing w:line="240" w:lineRule="auto"/>
                          <w:ind w:firstLine="0"/>
                          <w:rPr>
                            <w:sz w:val="24"/>
                          </w:rPr>
                        </w:pPr>
                        <w:proofErr w:type="spellStart"/>
                        <w:r w:rsidRPr="005C42A1">
                          <w:rPr>
                            <w:sz w:val="24"/>
                          </w:rPr>
                          <w:t>Сохранение</w:t>
                        </w:r>
                        <w:proofErr w:type="spellEnd"/>
                        <w:r w:rsidRPr="005C42A1">
                          <w:rPr>
                            <w:sz w:val="24"/>
                          </w:rPr>
                          <w:t xml:space="preserve"> </w:t>
                        </w:r>
                        <w:proofErr w:type="spellStart"/>
                        <w:r w:rsidRPr="005C42A1">
                          <w:rPr>
                            <w:sz w:val="24"/>
                          </w:rPr>
                          <w:t>позиции</w:t>
                        </w:r>
                        <w:proofErr w:type="spellEnd"/>
                      </w:p>
                    </w:txbxContent>
                  </v:textbox>
                </v:shape>
                <v:shape id="Text Box 7" o:spid="_x0000_s1032" type="#_x0000_t202" style="position:absolute;left:26765;top:19335;width:888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1A5808" w:rsidRPr="00F737CA" w:rsidRDefault="001A5808" w:rsidP="00AA171A">
                        <w:pPr>
                          <w:spacing w:line="240" w:lineRule="auto"/>
                          <w:ind w:firstLine="0"/>
                          <w:rPr>
                            <w:sz w:val="24"/>
                          </w:rPr>
                        </w:pPr>
                        <w:r>
                          <w:rPr>
                            <w:sz w:val="24"/>
                            <w:lang w:val="ru-RU"/>
                          </w:rPr>
                          <w:t>П</w:t>
                        </w:r>
                        <w:proofErr w:type="spellStart"/>
                        <w:r w:rsidRPr="00336ED9">
                          <w:rPr>
                            <w:sz w:val="24"/>
                          </w:rPr>
                          <w:t>окрытие</w:t>
                        </w:r>
                        <w:proofErr w:type="spellEnd"/>
                      </w:p>
                    </w:txbxContent>
                  </v:textbox>
                </v:shape>
                <v:shape id="Text Box 8" o:spid="_x0000_s1033" type="#_x0000_t202" style="position:absolute;left:37528;top:19335;width:2313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1A5808" w:rsidRPr="00F737CA" w:rsidRDefault="001A5808" w:rsidP="00336ED9">
                        <w:pPr>
                          <w:spacing w:line="240" w:lineRule="auto"/>
                          <w:ind w:firstLine="0"/>
                          <w:rPr>
                            <w:sz w:val="24"/>
                          </w:rPr>
                        </w:pPr>
                        <w:r w:rsidRPr="00336ED9">
                          <w:rPr>
                            <w:sz w:val="24"/>
                          </w:rPr>
                          <w:t>Р</w:t>
                        </w:r>
                        <w:proofErr w:type="spellStart"/>
                        <w:r>
                          <w:rPr>
                            <w:sz w:val="24"/>
                            <w:lang w:val="ru-RU"/>
                          </w:rPr>
                          <w:t>азвитие</w:t>
                        </w:r>
                        <w:proofErr w:type="spellEnd"/>
                        <w:r w:rsidRPr="00336ED9">
                          <w:rPr>
                            <w:sz w:val="24"/>
                          </w:rPr>
                          <w:t xml:space="preserve"> </w:t>
                        </w:r>
                        <w:proofErr w:type="spellStart"/>
                        <w:r w:rsidRPr="00336ED9">
                          <w:rPr>
                            <w:sz w:val="24"/>
                          </w:rPr>
                          <w:t>позици</w:t>
                        </w:r>
                        <w:proofErr w:type="spellEnd"/>
                        <w:r>
                          <w:rPr>
                            <w:sz w:val="24"/>
                            <w:lang w:val="ru-RU"/>
                          </w:rPr>
                          <w:t>м</w:t>
                        </w:r>
                        <w:r w:rsidRPr="00336ED9">
                          <w:rPr>
                            <w:sz w:val="24"/>
                          </w:rPr>
                          <w:t xml:space="preserve"> (</w:t>
                        </w:r>
                        <w:proofErr w:type="spellStart"/>
                        <w:r w:rsidRPr="00336ED9">
                          <w:rPr>
                            <w:sz w:val="24"/>
                          </w:rPr>
                          <w:t>спекуляция</w:t>
                        </w:r>
                        <w:proofErr w:type="spellEnd"/>
                        <w:r w:rsidRPr="00336ED9">
                          <w:rPr>
                            <w:sz w:val="24"/>
                          </w:rPr>
                          <w:t>)</w:t>
                        </w:r>
                      </w:p>
                    </w:txbxContent>
                  </v:textbox>
                </v:shape>
                <v:shape id="Text Box 9" o:spid="_x0000_s1034" type="#_x0000_t202" style="position:absolute;left:35337;top:24193;width:1215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1A5808" w:rsidRPr="00F737CA" w:rsidRDefault="001A5808" w:rsidP="0044168A">
                        <w:pPr>
                          <w:spacing w:line="240" w:lineRule="auto"/>
                          <w:ind w:firstLine="0"/>
                          <w:rPr>
                            <w:sz w:val="24"/>
                          </w:rPr>
                        </w:pPr>
                        <w:proofErr w:type="spellStart"/>
                        <w:r w:rsidRPr="0044168A">
                          <w:rPr>
                            <w:sz w:val="24"/>
                          </w:rPr>
                          <w:t>Выбор</w:t>
                        </w:r>
                        <w:proofErr w:type="spellEnd"/>
                        <w:r w:rsidRPr="0044168A">
                          <w:rPr>
                            <w:sz w:val="24"/>
                          </w:rPr>
                          <w:t xml:space="preserve"> </w:t>
                        </w:r>
                        <w:proofErr w:type="spellStart"/>
                        <w:r w:rsidRPr="0044168A">
                          <w:rPr>
                            <w:sz w:val="24"/>
                          </w:rPr>
                          <w:t>техники</w:t>
                        </w:r>
                        <w:proofErr w:type="spellEnd"/>
                      </w:p>
                    </w:txbxContent>
                  </v:textbox>
                </v:shape>
                <v:shape id="Text Box 10" o:spid="_x0000_s1035" type="#_x0000_t202" style="position:absolute;left:21336;top:28575;width:21526;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1A5808" w:rsidRPr="00F737CA" w:rsidRDefault="001A5808" w:rsidP="00F3059E">
                        <w:pPr>
                          <w:spacing w:line="240" w:lineRule="auto"/>
                          <w:ind w:firstLine="0"/>
                          <w:rPr>
                            <w:sz w:val="24"/>
                          </w:rPr>
                        </w:pPr>
                        <w:proofErr w:type="spellStart"/>
                        <w:r w:rsidRPr="00BE0AF3">
                          <w:rPr>
                            <w:sz w:val="24"/>
                          </w:rPr>
                          <w:t>Анализ</w:t>
                        </w:r>
                        <w:proofErr w:type="spellEnd"/>
                        <w:r w:rsidRPr="00BE0AF3">
                          <w:rPr>
                            <w:sz w:val="24"/>
                          </w:rPr>
                          <w:t xml:space="preserve"> </w:t>
                        </w:r>
                        <w:proofErr w:type="spellStart"/>
                        <w:r w:rsidRPr="00BE0AF3">
                          <w:rPr>
                            <w:sz w:val="24"/>
                          </w:rPr>
                          <w:t>результатов</w:t>
                        </w:r>
                        <w:proofErr w:type="spellEnd"/>
                        <w:r w:rsidRPr="00BE0AF3">
                          <w:rPr>
                            <w:sz w:val="24"/>
                          </w:rPr>
                          <w:t xml:space="preserve"> </w:t>
                        </w:r>
                        <w:proofErr w:type="spellStart"/>
                        <w:r w:rsidRPr="00BE0AF3">
                          <w:rPr>
                            <w:sz w:val="24"/>
                          </w:rPr>
                          <w:t>стратегий</w:t>
                        </w:r>
                        <w:proofErr w:type="spellEnd"/>
                      </w:p>
                    </w:txbxContent>
                  </v:textbox>
                </v:shape>
                <v:shape id="Text Box 11" o:spid="_x0000_s1036" type="#_x0000_t202" style="position:absolute;left:95;top:33813;width:1952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1A5808" w:rsidRPr="00F737CA" w:rsidRDefault="001A5808" w:rsidP="005937AA">
                        <w:pPr>
                          <w:spacing w:line="240" w:lineRule="auto"/>
                          <w:ind w:firstLine="0"/>
                          <w:jc w:val="center"/>
                          <w:rPr>
                            <w:sz w:val="24"/>
                          </w:rPr>
                        </w:pPr>
                        <w:proofErr w:type="spellStart"/>
                        <w:r w:rsidRPr="005937AA">
                          <w:rPr>
                            <w:sz w:val="24"/>
                          </w:rPr>
                          <w:t>Аспекты</w:t>
                        </w:r>
                        <w:proofErr w:type="spellEnd"/>
                        <w:r w:rsidRPr="005937AA">
                          <w:rPr>
                            <w:sz w:val="24"/>
                          </w:rPr>
                          <w:t xml:space="preserve">, </w:t>
                        </w:r>
                        <w:proofErr w:type="spellStart"/>
                        <w:r w:rsidRPr="005937AA">
                          <w:rPr>
                            <w:sz w:val="24"/>
                          </w:rPr>
                          <w:t>связанные</w:t>
                        </w:r>
                        <w:proofErr w:type="spellEnd"/>
                        <w:r w:rsidRPr="005937AA">
                          <w:rPr>
                            <w:sz w:val="24"/>
                          </w:rPr>
                          <w:t xml:space="preserve"> с </w:t>
                        </w:r>
                        <w:proofErr w:type="spellStart"/>
                        <w:r w:rsidRPr="005937AA">
                          <w:rPr>
                            <w:sz w:val="24"/>
                          </w:rPr>
                          <w:t>эксплуатацией</w:t>
                        </w:r>
                        <w:proofErr w:type="spellEnd"/>
                      </w:p>
                    </w:txbxContent>
                  </v:textbox>
                </v:shape>
                <v:shape id="Text Box 12" o:spid="_x0000_s1037" type="#_x0000_t202" style="position:absolute;left:23145;top:33528;width:1780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1A5808" w:rsidRPr="00F737CA" w:rsidRDefault="001A5808" w:rsidP="005937AA">
                        <w:pPr>
                          <w:spacing w:line="240" w:lineRule="auto"/>
                          <w:ind w:firstLine="0"/>
                          <w:jc w:val="center"/>
                          <w:rPr>
                            <w:sz w:val="24"/>
                          </w:rPr>
                        </w:pPr>
                        <w:proofErr w:type="spellStart"/>
                        <w:r w:rsidRPr="005937AA">
                          <w:rPr>
                            <w:sz w:val="24"/>
                          </w:rPr>
                          <w:t>Бухгалтерские</w:t>
                        </w:r>
                        <w:proofErr w:type="spellEnd"/>
                        <w:r w:rsidRPr="005937AA">
                          <w:rPr>
                            <w:sz w:val="24"/>
                          </w:rPr>
                          <w:t xml:space="preserve"> </w:t>
                        </w:r>
                        <w:proofErr w:type="spellStart"/>
                        <w:r w:rsidRPr="005937AA">
                          <w:rPr>
                            <w:sz w:val="24"/>
                          </w:rPr>
                          <w:t>аспекты</w:t>
                        </w:r>
                        <w:proofErr w:type="spellEnd"/>
                      </w:p>
                    </w:txbxContent>
                  </v:textbox>
                </v:shape>
                <v:shape id="Text Box 13" o:spid="_x0000_s1038" type="#_x0000_t202" style="position:absolute;left:44481;top:33813;width:1600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1A5808" w:rsidRPr="00F737CA" w:rsidRDefault="001A5808" w:rsidP="0056040E">
                        <w:pPr>
                          <w:spacing w:line="240" w:lineRule="auto"/>
                          <w:ind w:firstLine="0"/>
                          <w:jc w:val="center"/>
                          <w:rPr>
                            <w:sz w:val="24"/>
                          </w:rPr>
                        </w:pPr>
                        <w:proofErr w:type="spellStart"/>
                        <w:r w:rsidRPr="0056040E">
                          <w:rPr>
                            <w:sz w:val="24"/>
                          </w:rPr>
                          <w:t>Финансовые</w:t>
                        </w:r>
                        <w:proofErr w:type="spellEnd"/>
                        <w:r w:rsidRPr="0056040E">
                          <w:rPr>
                            <w:sz w:val="24"/>
                          </w:rPr>
                          <w:t xml:space="preserve"> </w:t>
                        </w:r>
                        <w:proofErr w:type="spellStart"/>
                        <w:r w:rsidRPr="0056040E">
                          <w:rPr>
                            <w:sz w:val="24"/>
                          </w:rPr>
                          <w:t>аспекты</w:t>
                        </w:r>
                        <w:proofErr w:type="spellEnd"/>
                      </w:p>
                    </w:txbxContent>
                  </v:textbox>
                </v:shape>
                <v:shape id="Text Box 14" o:spid="_x0000_s1039" type="#_x0000_t202" style="position:absolute;left:18764;top:40671;width:26632;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1A5808" w:rsidRPr="00C857F2" w:rsidRDefault="001A5808" w:rsidP="00C857F2">
                        <w:pPr>
                          <w:spacing w:line="240" w:lineRule="auto"/>
                          <w:ind w:firstLine="0"/>
                          <w:rPr>
                            <w:sz w:val="24"/>
                            <w:lang w:val="ru-RU"/>
                          </w:rPr>
                        </w:pPr>
                        <w:r w:rsidRPr="00C857F2">
                          <w:rPr>
                            <w:sz w:val="24"/>
                            <w:lang w:val="ru-RU"/>
                          </w:rPr>
                          <w:t>Оценка результатов в связи с целями</w:t>
                        </w:r>
                      </w:p>
                    </w:txbxContent>
                  </v:textbox>
                </v:shape>
                <v:shapetype id="_x0000_t110" coordsize="21600,21600" o:spt="110" path="m10800,l,10800,10800,21600,21600,10800xe">
                  <v:stroke joinstyle="miter"/>
                  <v:path gradientshapeok="t" o:connecttype="rect" textboxrect="5400,5400,16200,16200"/>
                </v:shapetype>
                <v:shape id="Flowchart: Decision 15" o:spid="_x0000_s1040" type="#_x0000_t110" style="position:absolute;left:24193;top:45910;width:15431;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" fillcolor="white [3201]" strokecolor="black [3213]" strokeweight="1pt">
                  <v:textbox>
                    <w:txbxContent>
                      <w:p w:rsidR="001A5808" w:rsidRDefault="001A5808" w:rsidP="00447A85">
                        <w:pPr>
                          <w:spacing w:line="240" w:lineRule="auto"/>
                          <w:ind w:firstLine="0"/>
                          <w:jc w:val="center"/>
                        </w:pPr>
                        <w:proofErr w:type="spellStart"/>
                        <w:r>
                          <w:rPr>
                            <w:sz w:val="24"/>
                          </w:rPr>
                          <w:t>Решения</w:t>
                        </w:r>
                        <w:proofErr w:type="spellEnd"/>
                      </w:p>
                    </w:txbxContent>
                  </v:textbox>
                </v:shape>
                <v:shapetype id="_x0000_t32" coordsize="21600,21600" o:spt="32" o:oned="t" path="m,l21600,21600e" filled="f">
                  <v:path arrowok="t" fillok="f" o:connecttype="none"/>
                  <o:lock v:ext="edit" shapetype="t"/>
                </v:shapetype>
                <v:shape id="Straight Arrow Connector 16" o:spid="_x0000_s1041" type="#_x0000_t32" style="position:absolute;left:30289;top:2857;width:0;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7" o:spid="_x0000_s1042" type="#_x0000_t32" style="position:absolute;left:30289;top:7620;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43" type="#_x0000_t32" style="position:absolute;left:13335;top:12096;width:2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44" type="#_x0000_t32" style="position:absolute;left:49149;top:12096;width:25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line id="Straight Connector 22" o:spid="_x0000_s1045" style="position:absolute;visibility:visible;mso-wrap-style:square" from="8096,16859" to="49149,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shape id="Straight Arrow Connector 23" o:spid="_x0000_s1046" type="#_x0000_t32" style="position:absolute;left:31146;top:14478;width:0;height:4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Straight Arrow Connector 24" o:spid="_x0000_s1047" type="#_x0000_t32" style="position:absolute;left:8096;top:16859;width:0;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48" type="#_x0000_t32" style="position:absolute;left:49149;top:16859;width:0;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49" type="#_x0000_t32" style="position:absolute;left:41814;top:22193;width:0;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line id="Straight Connector 27" o:spid="_x0000_s1050" style="position:absolute;visibility:visible;mso-wrap-style:square" from="31146,22193" to="31146,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shape id="Straight Arrow Connector 28" o:spid="_x0000_s1051" type="#_x0000_t32" style="position:absolute;left:31146;top:25622;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52" type="#_x0000_t32" style="position:absolute;left:39528;top:27051;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Straight Arrow Connector 30" o:spid="_x0000_s1053" type="#_x0000_t32" style="position:absolute;left:32099;top:31432;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line id="Straight Connector 31" o:spid="_x0000_s1054" style="position:absolute;flip:x;visibility:visible;mso-wrap-style:square" from="9810,30003" to="21310,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shape id="Straight Arrow Connector 32" o:spid="_x0000_s1055" type="#_x0000_t32" style="position:absolute;left:9810;top:30003;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line id="Straight Connector 33" o:spid="_x0000_s1056" style="position:absolute;visibility:visible;mso-wrap-style:square" from="42862,30003" to="52387,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shape id="Straight Arrow Connector 34" o:spid="_x0000_s1057" type="#_x0000_t32" style="position:absolute;left:52387;top:30003;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line id="Straight Connector 35" o:spid="_x0000_s1058" style="position:absolute;visibility:visible;mso-wrap-style:square" from="9810,38671" to="9810,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shape id="Straight Arrow Connector 36" o:spid="_x0000_s1059" type="#_x0000_t32" style="position:absolute;left:9810;top:42100;width:8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60" type="#_x0000_t32" style="position:absolute;left:31908;top:38671;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line id="Straight Connector 38" o:spid="_x0000_s1061" style="position:absolute;visibility:visible;mso-wrap-style:square" from="52387,38671" to="52425,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shape id="Straight Arrow Connector 39" o:spid="_x0000_s1062" type="#_x0000_t32" style="position:absolute;left:45434;top:42100;width:6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" strokecolor="black [3200]" strokeweight=".5pt">
                  <v:stroke endarrow="block" joinstyle="miter"/>
                </v:shape>
                <v:shape id="Straight Arrow Connector 40" o:spid="_x0000_s1063" type="#_x0000_t32" style="position:absolute;left:31908;top:43529;width:0;height:2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line id="Straight Connector 41" o:spid="_x0000_s1064" style="position:absolute;visibility:visible;mso-wrap-style:square" from="39624,49053" to="61398,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U1xQAAANsAAAAPAAAAZHJzL2Rvd25yZXYueG1sRI9Ba8JA&#10;FITvgv9heUIvUje2Im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BtPvU1xQAAANsAAAAP&#10;AAAAAAAAAAAAAAAAAAcCAABkcnMvZG93bnJldi54bWxQSwUGAAAAAAMAAwC3AAAA+QIAAAAA&#10;" strokecolor="black [3200]" strokeweight=".5pt">
                  <v:stroke joinstyle="miter"/>
                </v:line>
                <v:line id="Straight Connector 42" o:spid="_x0000_s1065" style="position:absolute;flip:y;visibility:visible;mso-wrap-style:square" from="61436,1238" to="61436,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shape id="Straight Arrow Connector 43" o:spid="_x0000_s1066" type="#_x0000_t32" style="position:absolute;left:44481;top:1238;width:169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" strokecolor="black [3200]" strokeweight=".5pt">
                  <v:stroke endarrow="block" joinstyle="miter"/>
                </v:shape>
                <v:shape id="Straight Arrow Connector 44" o:spid="_x0000_s1067" type="#_x0000_t32" style="position:absolute;left:46291;top:6096;width:151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" strokecolor="black [3200]" strokeweight=".5pt">
                  <v:stroke endarrow="block" joinstyle="miter"/>
                </v:shape>
              </v:group>
            </w:pict>
          </mc:Fallback>
        </mc:AlternateContent>
      </w:r>
    </w:p>
    <w:p w:rsidR="00705C0F" w:rsidRDefault="0061426D" w:rsidP="00C8535C">
      <w:pPr>
        <w:rPr>
          <w:color w:val="000000" w:themeColor="text1"/>
          <w:lang w:val="ru-RU"/>
        </w:rPr>
      </w:pPr>
      <w:r>
        <w:rPr>
          <w:noProof/>
          <w:color w:val="000000" w:themeColor="text1"/>
        </w:rPr>
        <mc:AlternateContent>
          <mc:Choice Requires="wps">
            <w:drawing>
              <wp:anchor distT="0" distB="0" distL="114300" distR="114300" simplePos="0" relativeHeight="251660288" behindDoc="0" locked="0" layoutInCell="1" allowOverlap="1" wp14:anchorId="548997A2" wp14:editId="3D8AFD0A">
                <wp:simplePos x="0" y="0"/>
                <wp:positionH relativeFrom="column">
                  <wp:posOffset>1422400</wp:posOffset>
                </wp:positionH>
                <wp:positionV relativeFrom="paragraph">
                  <wp:posOffset>173355</wp:posOffset>
                </wp:positionV>
                <wp:extent cx="3196590" cy="288000"/>
                <wp:effectExtent l="0" t="0" r="22860" b="17145"/>
                <wp:wrapNone/>
                <wp:docPr id="2" name="Text Box 2"/>
                <wp:cNvGraphicFramePr/>
                <a:graphic xmlns:a="http://schemas.openxmlformats.org/drawingml/2006/main">
                  <a:graphicData uri="http://schemas.microsoft.com/office/word/2010/wordprocessingShape">
                    <wps:wsp>
                      <wps:cNvSpPr txBox="1"/>
                      <wps:spPr>
                        <a:xfrm>
                          <a:off x="0" y="0"/>
                          <a:ext cx="3196590" cy="288000"/>
                        </a:xfrm>
                        <a:prstGeom prst="rect">
                          <a:avLst/>
                        </a:prstGeom>
                        <a:solidFill>
                          <a:schemeClr val="lt1"/>
                        </a:solidFill>
                        <a:ln w="6350">
                          <a:solidFill>
                            <a:prstClr val="black"/>
                          </a:solidFill>
                        </a:ln>
                      </wps:spPr>
                      <wps:txbx>
                        <w:txbxContent>
                          <w:p w:rsidR="001A5808" w:rsidRPr="00F737CA" w:rsidRDefault="001A5808" w:rsidP="0061426D">
                            <w:pPr>
                              <w:spacing w:line="240" w:lineRule="auto"/>
                              <w:ind w:firstLine="0"/>
                              <w:rPr>
                                <w:sz w:val="24"/>
                              </w:rPr>
                            </w:pPr>
                            <w:r w:rsidRPr="0054289E">
                              <w:rPr>
                                <w:sz w:val="24"/>
                              </w:rPr>
                              <w:t>Определение валютной позиции по стоимости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997A2" id="Text Box 2" o:spid="_x0000_s1068" type="#_x0000_t202" style="position:absolute;left:0;text-align:left;margin-left:112pt;margin-top:13.65pt;width:251.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" fillcolor="white [3201]" strokeweight=".5pt">
                <v:textbox>
                  <w:txbxContent>
                    <w:p w:rsidR="001A5808" w:rsidRPr="00F737CA" w:rsidRDefault="001A5808" w:rsidP="0061426D">
                      <w:pPr>
                        <w:spacing w:line="240" w:lineRule="auto"/>
                        <w:ind w:firstLine="0"/>
                        <w:rPr>
                          <w:sz w:val="24"/>
                        </w:rPr>
                      </w:pPr>
                      <w:proofErr w:type="spellStart"/>
                      <w:r w:rsidRPr="0054289E">
                        <w:rPr>
                          <w:sz w:val="24"/>
                        </w:rPr>
                        <w:t>Определение</w:t>
                      </w:r>
                      <w:proofErr w:type="spellEnd"/>
                      <w:r w:rsidRPr="0054289E">
                        <w:rPr>
                          <w:sz w:val="24"/>
                        </w:rPr>
                        <w:t xml:space="preserve"> </w:t>
                      </w:r>
                      <w:proofErr w:type="spellStart"/>
                      <w:r w:rsidRPr="0054289E">
                        <w:rPr>
                          <w:sz w:val="24"/>
                        </w:rPr>
                        <w:t>валютной</w:t>
                      </w:r>
                      <w:proofErr w:type="spellEnd"/>
                      <w:r w:rsidRPr="0054289E">
                        <w:rPr>
                          <w:sz w:val="24"/>
                        </w:rPr>
                        <w:t xml:space="preserve"> </w:t>
                      </w:r>
                      <w:proofErr w:type="spellStart"/>
                      <w:r w:rsidRPr="0054289E">
                        <w:rPr>
                          <w:sz w:val="24"/>
                        </w:rPr>
                        <w:t>позиции</w:t>
                      </w:r>
                      <w:proofErr w:type="spellEnd"/>
                      <w:r w:rsidRPr="0054289E">
                        <w:rPr>
                          <w:sz w:val="24"/>
                        </w:rPr>
                        <w:t xml:space="preserve"> </w:t>
                      </w:r>
                      <w:proofErr w:type="spellStart"/>
                      <w:r w:rsidRPr="0054289E">
                        <w:rPr>
                          <w:sz w:val="24"/>
                        </w:rPr>
                        <w:t>по</w:t>
                      </w:r>
                      <w:proofErr w:type="spellEnd"/>
                      <w:r w:rsidRPr="0054289E">
                        <w:rPr>
                          <w:sz w:val="24"/>
                        </w:rPr>
                        <w:t xml:space="preserve"> </w:t>
                      </w:r>
                      <w:proofErr w:type="spellStart"/>
                      <w:r w:rsidRPr="0054289E">
                        <w:rPr>
                          <w:sz w:val="24"/>
                        </w:rPr>
                        <w:t>стоимости</w:t>
                      </w:r>
                      <w:proofErr w:type="spellEnd"/>
                    </w:p>
                  </w:txbxContent>
                </v:textbox>
              </v:shape>
            </w:pict>
          </mc:Fallback>
        </mc:AlternateContent>
      </w: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705C0F" w:rsidRPr="00705C0F" w:rsidRDefault="00705C0F" w:rsidP="00C8535C">
      <w:pPr>
        <w:rPr>
          <w:color w:val="000000" w:themeColor="text1"/>
          <w:lang w:val="ru-RU"/>
        </w:rPr>
      </w:pPr>
    </w:p>
    <w:p w:rsidR="00C857F2" w:rsidRDefault="00C857F2" w:rsidP="00C8535C">
      <w:pPr>
        <w:rPr>
          <w:color w:val="000000" w:themeColor="text1"/>
          <w:lang w:val="ru-RU"/>
        </w:rPr>
      </w:pPr>
    </w:p>
    <w:p w:rsidR="00C857F2" w:rsidRDefault="00C857F2" w:rsidP="00C8535C">
      <w:pPr>
        <w:rPr>
          <w:color w:val="000000" w:themeColor="text1"/>
          <w:lang w:val="ru-RU"/>
        </w:rPr>
      </w:pPr>
    </w:p>
    <w:p w:rsidR="00C857F2" w:rsidRDefault="00C857F2" w:rsidP="00C8535C">
      <w:pPr>
        <w:rPr>
          <w:color w:val="000000" w:themeColor="text1"/>
          <w:lang w:val="ru-RU"/>
        </w:rPr>
      </w:pPr>
    </w:p>
    <w:p w:rsidR="00C857F2" w:rsidRDefault="00C857F2" w:rsidP="00C8535C">
      <w:pPr>
        <w:rPr>
          <w:color w:val="000000" w:themeColor="text1"/>
          <w:lang w:val="ru-RU"/>
        </w:rPr>
      </w:pPr>
    </w:p>
    <w:p w:rsidR="00C857F2" w:rsidRPr="00130C9F" w:rsidRDefault="00D25893" w:rsidP="00130C9F">
      <w:pPr>
        <w:ind w:firstLine="0"/>
        <w:jc w:val="center"/>
        <w:rPr>
          <w:color w:val="000000" w:themeColor="text1"/>
          <w:sz w:val="24"/>
          <w:lang w:val="ru-RU"/>
        </w:rPr>
      </w:pPr>
      <w:r w:rsidRPr="00130C9F">
        <w:rPr>
          <w:color w:val="000000" w:themeColor="text1"/>
          <w:sz w:val="24"/>
          <w:lang w:val="ru-RU"/>
        </w:rPr>
        <w:t xml:space="preserve">Рис. 1. Процесс решения управления </w:t>
      </w:r>
      <w:r w:rsidR="00130C9F" w:rsidRPr="00130C9F">
        <w:rPr>
          <w:color w:val="000000" w:themeColor="text1"/>
          <w:sz w:val="24"/>
          <w:lang w:val="ru-RU"/>
        </w:rPr>
        <w:t>иностранной валютой</w:t>
      </w:r>
    </w:p>
    <w:p w:rsidR="00705C0F" w:rsidRDefault="00130C9F" w:rsidP="00C8535C">
      <w:pPr>
        <w:rPr>
          <w:color w:val="000000" w:themeColor="text1"/>
          <w:lang w:val="ru-RU"/>
        </w:rPr>
      </w:pPr>
      <w:r w:rsidRPr="00130C9F">
        <w:rPr>
          <w:color w:val="000000" w:themeColor="text1"/>
          <w:lang w:val="ru-RU"/>
        </w:rPr>
        <w:t xml:space="preserve">Внедоговорные методы представляют собой способы покрытия рисков, используемых после заключения импортно-экспортных </w:t>
      </w:r>
      <w:r>
        <w:rPr>
          <w:color w:val="000000" w:themeColor="text1"/>
          <w:lang w:val="ru-RU"/>
        </w:rPr>
        <w:t>договор</w:t>
      </w:r>
      <w:r w:rsidRPr="00130C9F">
        <w:rPr>
          <w:color w:val="000000" w:themeColor="text1"/>
          <w:lang w:val="ru-RU"/>
        </w:rPr>
        <w:t>ов.</w:t>
      </w:r>
      <w:r w:rsidRPr="00130C9F">
        <w:rPr>
          <w:lang w:val="ru-RU"/>
        </w:rPr>
        <w:t xml:space="preserve"> </w:t>
      </w:r>
      <w:r w:rsidRPr="00130C9F">
        <w:rPr>
          <w:color w:val="000000" w:themeColor="text1"/>
          <w:lang w:val="ru-RU"/>
        </w:rPr>
        <w:t xml:space="preserve">В связи с тем, что включение положений в коммерческие </w:t>
      </w:r>
      <w:r w:rsidR="00ED2DC4">
        <w:rPr>
          <w:color w:val="000000" w:themeColor="text1"/>
          <w:lang w:val="ru-RU"/>
        </w:rPr>
        <w:t>договор</w:t>
      </w:r>
      <w:r w:rsidRPr="00130C9F">
        <w:rPr>
          <w:color w:val="000000" w:themeColor="text1"/>
          <w:lang w:val="ru-RU"/>
        </w:rPr>
        <w:t xml:space="preserve">ы едва ли принимается партнерами, стороны имеют две </w:t>
      </w:r>
      <w:r w:rsidR="009E423F">
        <w:rPr>
          <w:color w:val="000000" w:themeColor="text1"/>
          <w:lang w:val="ru-RU"/>
        </w:rPr>
        <w:t>вне</w:t>
      </w:r>
      <w:r w:rsidRPr="00130C9F">
        <w:rPr>
          <w:color w:val="000000" w:themeColor="text1"/>
          <w:lang w:val="ru-RU"/>
        </w:rPr>
        <w:t>договорные формы:</w:t>
      </w:r>
      <w:r w:rsidR="00ED2DC4">
        <w:rPr>
          <w:color w:val="000000" w:themeColor="text1"/>
          <w:lang w:val="ru-RU"/>
        </w:rPr>
        <w:t xml:space="preserve"> внутренни</w:t>
      </w:r>
      <w:r w:rsidR="009E423F">
        <w:rPr>
          <w:color w:val="000000" w:themeColor="text1"/>
          <w:lang w:val="ru-RU"/>
        </w:rPr>
        <w:t>е</w:t>
      </w:r>
      <w:r w:rsidR="00ED2DC4">
        <w:rPr>
          <w:color w:val="000000" w:themeColor="text1"/>
          <w:lang w:val="ru-RU"/>
        </w:rPr>
        <w:t xml:space="preserve"> и внешни</w:t>
      </w:r>
      <w:r w:rsidR="009E423F">
        <w:rPr>
          <w:color w:val="000000" w:themeColor="text1"/>
          <w:lang w:val="ru-RU"/>
        </w:rPr>
        <w:t>е</w:t>
      </w:r>
      <w:r w:rsidR="00ED2DC4">
        <w:rPr>
          <w:color w:val="000000" w:themeColor="text1"/>
          <w:lang w:val="ru-RU"/>
        </w:rPr>
        <w:t>.</w:t>
      </w:r>
    </w:p>
    <w:p w:rsidR="00ED2DC4" w:rsidRDefault="002B31CB" w:rsidP="00C8535C">
      <w:pPr>
        <w:rPr>
          <w:color w:val="000000" w:themeColor="text1"/>
          <w:lang w:val="ru-RU"/>
        </w:rPr>
      </w:pPr>
      <w:r w:rsidRPr="002B31CB">
        <w:rPr>
          <w:color w:val="000000" w:themeColor="text1"/>
          <w:lang w:val="ru-RU"/>
        </w:rPr>
        <w:t>Внутренние вне</w:t>
      </w:r>
      <w:r>
        <w:rPr>
          <w:color w:val="000000" w:themeColor="text1"/>
          <w:lang w:val="ru-RU"/>
        </w:rPr>
        <w:t>договорн</w:t>
      </w:r>
      <w:r w:rsidRPr="002B31CB">
        <w:rPr>
          <w:color w:val="000000" w:themeColor="text1"/>
          <w:lang w:val="ru-RU"/>
        </w:rPr>
        <w:t>ые методы относятся к управлению рисками на уровне компании и учитывают:</w:t>
      </w:r>
    </w:p>
    <w:p w:rsidR="0016444A" w:rsidRPr="0016444A" w:rsidRDefault="0016444A" w:rsidP="0016444A">
      <w:pPr>
        <w:rPr>
          <w:color w:val="000000" w:themeColor="text1"/>
          <w:lang w:val="ru-RU"/>
        </w:rPr>
      </w:pPr>
      <w:r w:rsidRPr="0016444A">
        <w:rPr>
          <w:color w:val="000000" w:themeColor="text1"/>
          <w:lang w:val="ru-RU"/>
        </w:rPr>
        <w:t>- выбор валюты контракта;</w:t>
      </w:r>
    </w:p>
    <w:p w:rsidR="0016444A" w:rsidRPr="0016444A" w:rsidRDefault="0016444A" w:rsidP="0016444A">
      <w:pPr>
        <w:rPr>
          <w:color w:val="000000" w:themeColor="text1"/>
          <w:lang w:val="ru-RU"/>
        </w:rPr>
      </w:pPr>
      <w:r w:rsidRPr="0016444A">
        <w:rPr>
          <w:color w:val="000000" w:themeColor="text1"/>
          <w:lang w:val="ru-RU"/>
        </w:rPr>
        <w:t>- добавление гарантийной маржи к цене</w:t>
      </w:r>
    </w:p>
    <w:p w:rsidR="0016444A" w:rsidRPr="0016444A" w:rsidRDefault="0016444A" w:rsidP="0016444A">
      <w:pPr>
        <w:rPr>
          <w:color w:val="000000" w:themeColor="text1"/>
          <w:lang w:val="ru-RU"/>
        </w:rPr>
      </w:pPr>
      <w:r w:rsidRPr="0016444A">
        <w:rPr>
          <w:color w:val="000000" w:themeColor="text1"/>
          <w:lang w:val="ru-RU"/>
        </w:rPr>
        <w:t>- синхронизация инкассации и оплаты в одной валюте;</w:t>
      </w:r>
    </w:p>
    <w:p w:rsidR="0016444A" w:rsidRDefault="0016444A" w:rsidP="0016444A">
      <w:pPr>
        <w:rPr>
          <w:color w:val="000000" w:themeColor="text1"/>
          <w:lang w:val="ru-RU"/>
        </w:rPr>
      </w:pPr>
      <w:r w:rsidRPr="0016444A">
        <w:rPr>
          <w:color w:val="000000" w:themeColor="text1"/>
          <w:lang w:val="ru-RU"/>
        </w:rPr>
        <w:t>- игра с датой платежа (ожидания и / или задержки платежей или инкассо), когда оплата импорта может быть произведена в течение определенного периода времени.</w:t>
      </w:r>
    </w:p>
    <w:p w:rsidR="0016444A" w:rsidRPr="0016444A" w:rsidRDefault="0016444A" w:rsidP="0016444A">
      <w:pPr>
        <w:rPr>
          <w:color w:val="000000" w:themeColor="text1"/>
          <w:lang w:val="ru-RU"/>
        </w:rPr>
      </w:pPr>
      <w:r w:rsidRPr="0016444A">
        <w:rPr>
          <w:color w:val="000000" w:themeColor="text1"/>
          <w:lang w:val="ru-RU"/>
        </w:rPr>
        <w:lastRenderedPageBreak/>
        <w:t xml:space="preserve">Внешние </w:t>
      </w:r>
      <w:r>
        <w:rPr>
          <w:color w:val="000000" w:themeColor="text1"/>
          <w:lang w:val="ru-RU"/>
        </w:rPr>
        <w:t>вне</w:t>
      </w:r>
      <w:r w:rsidRPr="0016444A">
        <w:rPr>
          <w:color w:val="000000" w:themeColor="text1"/>
          <w:lang w:val="ru-RU"/>
        </w:rPr>
        <w:t>договорные методы относятся к передаче риска коммерческому банку или другому посреднику, который принимает на себя его принятие. Эти модальности:</w:t>
      </w:r>
    </w:p>
    <w:p w:rsidR="0016444A" w:rsidRPr="0016444A" w:rsidRDefault="0016444A" w:rsidP="0016444A">
      <w:pPr>
        <w:rPr>
          <w:color w:val="000000" w:themeColor="text1"/>
          <w:lang w:val="ru-RU"/>
        </w:rPr>
      </w:pPr>
      <w:r w:rsidRPr="0016444A">
        <w:rPr>
          <w:color w:val="000000" w:themeColor="text1"/>
          <w:lang w:val="ru-RU"/>
        </w:rPr>
        <w:t>- форвардные контракты;</w:t>
      </w:r>
    </w:p>
    <w:p w:rsidR="0016444A" w:rsidRPr="0016444A" w:rsidRDefault="0016444A" w:rsidP="0016444A">
      <w:pPr>
        <w:rPr>
          <w:color w:val="000000" w:themeColor="text1"/>
          <w:lang w:val="ru-RU"/>
        </w:rPr>
      </w:pPr>
      <w:r w:rsidRPr="0016444A">
        <w:rPr>
          <w:color w:val="000000" w:themeColor="text1"/>
          <w:lang w:val="ru-RU"/>
        </w:rPr>
        <w:t>- фьючерсные контракты;</w:t>
      </w:r>
    </w:p>
    <w:p w:rsidR="0016444A" w:rsidRPr="0016444A" w:rsidRDefault="0016444A" w:rsidP="0016444A">
      <w:pPr>
        <w:rPr>
          <w:color w:val="000000" w:themeColor="text1"/>
          <w:lang w:val="ru-RU"/>
        </w:rPr>
      </w:pPr>
      <w:r w:rsidRPr="0016444A">
        <w:rPr>
          <w:color w:val="000000" w:themeColor="text1"/>
          <w:lang w:val="ru-RU"/>
        </w:rPr>
        <w:t>- своп контракты;</w:t>
      </w:r>
    </w:p>
    <w:p w:rsidR="0016444A" w:rsidRDefault="0016444A" w:rsidP="0016444A">
      <w:pPr>
        <w:rPr>
          <w:color w:val="000000" w:themeColor="text1"/>
          <w:lang w:val="ru-RU"/>
        </w:rPr>
      </w:pPr>
      <w:r w:rsidRPr="0016444A">
        <w:rPr>
          <w:color w:val="000000" w:themeColor="text1"/>
          <w:lang w:val="ru-RU"/>
        </w:rPr>
        <w:t>- опционные контракты.</w:t>
      </w:r>
    </w:p>
    <w:p w:rsidR="009A7C09" w:rsidRPr="009A7C09" w:rsidRDefault="009A7C09" w:rsidP="0016444A">
      <w:pPr>
        <w:rPr>
          <w:b/>
          <w:color w:val="000000" w:themeColor="text1"/>
          <w:lang w:val="ru-RU"/>
        </w:rPr>
      </w:pPr>
      <w:r w:rsidRPr="009A7C09">
        <w:rPr>
          <w:b/>
          <w:color w:val="000000" w:themeColor="text1"/>
          <w:lang w:val="ru-RU"/>
        </w:rPr>
        <w:t>Использование производных продуктов в валютном хеджировании</w:t>
      </w:r>
    </w:p>
    <w:p w:rsidR="009A7C09" w:rsidRDefault="00677522" w:rsidP="0016444A">
      <w:pPr>
        <w:rPr>
          <w:color w:val="000000" w:themeColor="text1"/>
          <w:lang w:val="ru-RU"/>
        </w:rPr>
      </w:pPr>
      <w:r w:rsidRPr="00677522">
        <w:rPr>
          <w:color w:val="000000" w:themeColor="text1"/>
          <w:lang w:val="ru-RU"/>
        </w:rPr>
        <w:t>Можно ли использовать производные с целью снижения риска? В то время как некоторые люди запуганы сложностью производных продуктов, другие полны энтузиазма из-за возможностей, которые эти продукты предлагают. Дал</w:t>
      </w:r>
      <w:r>
        <w:rPr>
          <w:color w:val="000000" w:themeColor="text1"/>
          <w:lang w:val="ru-RU"/>
        </w:rPr>
        <w:t>ьше</w:t>
      </w:r>
      <w:r w:rsidRPr="00677522">
        <w:rPr>
          <w:color w:val="000000" w:themeColor="text1"/>
          <w:lang w:val="ru-RU"/>
        </w:rPr>
        <w:t xml:space="preserve"> </w:t>
      </w:r>
      <w:r>
        <w:rPr>
          <w:color w:val="000000" w:themeColor="text1"/>
          <w:lang w:val="ru-RU"/>
        </w:rPr>
        <w:t xml:space="preserve">будут </w:t>
      </w:r>
      <w:r w:rsidRPr="00677522">
        <w:rPr>
          <w:color w:val="000000" w:themeColor="text1"/>
          <w:lang w:val="ru-RU"/>
        </w:rPr>
        <w:t>представ</w:t>
      </w:r>
      <w:r>
        <w:rPr>
          <w:color w:val="000000" w:themeColor="text1"/>
          <w:lang w:val="ru-RU"/>
        </w:rPr>
        <w:t>лены</w:t>
      </w:r>
      <w:r w:rsidRPr="00677522">
        <w:rPr>
          <w:color w:val="000000" w:themeColor="text1"/>
          <w:lang w:val="ru-RU"/>
        </w:rPr>
        <w:t xml:space="preserve"> преимущества и возможности эффективного управления валютным риском посредством форвардных и фьючерсных сделок.</w:t>
      </w:r>
    </w:p>
    <w:p w:rsidR="00677522" w:rsidRPr="008E27F6" w:rsidRDefault="00677522" w:rsidP="0016444A">
      <w:pPr>
        <w:rPr>
          <w:b/>
          <w:i/>
          <w:color w:val="000000" w:themeColor="text1"/>
          <w:lang w:val="ru-RU"/>
        </w:rPr>
      </w:pPr>
      <w:r w:rsidRPr="008E27F6">
        <w:rPr>
          <w:b/>
          <w:i/>
          <w:color w:val="000000" w:themeColor="text1"/>
          <w:lang w:val="ru-RU"/>
        </w:rPr>
        <w:t>Форвардная сделка в иностранной валюте</w:t>
      </w:r>
    </w:p>
    <w:p w:rsidR="00677522" w:rsidRDefault="00C30170" w:rsidP="0016444A">
      <w:pPr>
        <w:rPr>
          <w:color w:val="000000" w:themeColor="text1"/>
          <w:lang w:val="ru-RU"/>
        </w:rPr>
      </w:pPr>
      <w:r w:rsidRPr="00C30170">
        <w:rPr>
          <w:color w:val="000000" w:themeColor="text1"/>
          <w:lang w:val="ru-RU"/>
        </w:rPr>
        <w:t>Форвардная сделка представляет собой обязательство, принятое на неорганизованном рынке, купить или продать валюту в будущем по цене, установленной в настоящее время.</w:t>
      </w:r>
      <w:r w:rsidRPr="00C30170">
        <w:rPr>
          <w:lang w:val="ru-RU"/>
        </w:rPr>
        <w:t xml:space="preserve"> </w:t>
      </w:r>
      <w:r w:rsidRPr="00C30170">
        <w:rPr>
          <w:color w:val="000000" w:themeColor="text1"/>
          <w:lang w:val="ru-RU"/>
        </w:rPr>
        <w:t>Чтобы покрыть валютный риск, импортеры могут покупать валюту вперед, а экспортеры могут продавать валюту, подлежащую обналичиванию.</w:t>
      </w:r>
      <w:r w:rsidR="00232798" w:rsidRPr="00232798">
        <w:rPr>
          <w:lang w:val="ru-RU"/>
        </w:rPr>
        <w:t xml:space="preserve"> </w:t>
      </w:r>
      <w:r w:rsidR="00232798" w:rsidRPr="00232798">
        <w:rPr>
          <w:color w:val="000000" w:themeColor="text1"/>
          <w:lang w:val="ru-RU"/>
        </w:rPr>
        <w:t xml:space="preserve">Успех покрытия зависит от точного прогнозирования будущей эволюции обменного курса, в противном случае </w:t>
      </w:r>
      <w:r w:rsidR="00232798">
        <w:rPr>
          <w:color w:val="000000" w:themeColor="text1"/>
          <w:lang w:val="ru-RU"/>
        </w:rPr>
        <w:t>прибыль</w:t>
      </w:r>
      <w:r w:rsidR="00232798" w:rsidRPr="00232798">
        <w:rPr>
          <w:color w:val="000000" w:themeColor="text1"/>
          <w:lang w:val="ru-RU"/>
        </w:rPr>
        <w:t xml:space="preserve"> должна быть преобразована в убыток, а убыток - в прибыль.</w:t>
      </w:r>
      <w:r w:rsidR="00232798" w:rsidRPr="00232798">
        <w:rPr>
          <w:lang w:val="ru-RU"/>
        </w:rPr>
        <w:t xml:space="preserve"> </w:t>
      </w:r>
      <w:r w:rsidR="00232798" w:rsidRPr="00232798">
        <w:rPr>
          <w:color w:val="000000" w:themeColor="text1"/>
          <w:lang w:val="ru-RU"/>
        </w:rPr>
        <w:t>Характерной чертой форвардных сделок является то, что они представляют собой твердые контракты, которые расторгаются только на дату погашения путем обмена двух валют, и они стандартизированы.</w:t>
      </w:r>
      <w:r w:rsidR="00F92BEF" w:rsidRPr="00F92BEF">
        <w:rPr>
          <w:lang w:val="ru-RU"/>
        </w:rPr>
        <w:t xml:space="preserve"> </w:t>
      </w:r>
      <w:r w:rsidR="00F92BEF" w:rsidRPr="00F92BEF">
        <w:rPr>
          <w:color w:val="000000" w:themeColor="text1"/>
          <w:lang w:val="ru-RU"/>
        </w:rPr>
        <w:t xml:space="preserve">В отличие от </w:t>
      </w:r>
      <w:r w:rsidR="00F92BEF">
        <w:rPr>
          <w:color w:val="000000" w:themeColor="text1"/>
          <w:lang w:val="ru-RU"/>
        </w:rPr>
        <w:t>сделок спот</w:t>
      </w:r>
      <w:r w:rsidR="00F92BEF" w:rsidRPr="00F92BEF">
        <w:rPr>
          <w:color w:val="000000" w:themeColor="text1"/>
          <w:lang w:val="ru-RU"/>
        </w:rPr>
        <w:t xml:space="preserve">, когда исполнение контракта происходит в течение двух рабочих дней с даты начала </w:t>
      </w:r>
      <w:r w:rsidR="004F32BA">
        <w:rPr>
          <w:color w:val="000000" w:themeColor="text1"/>
          <w:lang w:val="ru-RU"/>
        </w:rPr>
        <w:t>сделок</w:t>
      </w:r>
      <w:r w:rsidR="00F92BEF" w:rsidRPr="00F92BEF">
        <w:rPr>
          <w:color w:val="000000" w:themeColor="text1"/>
          <w:lang w:val="ru-RU"/>
        </w:rPr>
        <w:t xml:space="preserve">, срок форвардных </w:t>
      </w:r>
      <w:r w:rsidR="004F32BA">
        <w:rPr>
          <w:color w:val="000000" w:themeColor="text1"/>
          <w:lang w:val="ru-RU"/>
        </w:rPr>
        <w:t>сделок</w:t>
      </w:r>
      <w:r w:rsidR="00F92BEF" w:rsidRPr="00F92BEF">
        <w:rPr>
          <w:color w:val="000000" w:themeColor="text1"/>
          <w:lang w:val="ru-RU"/>
        </w:rPr>
        <w:t xml:space="preserve"> составляет от трех дней до пяти лет.</w:t>
      </w:r>
    </w:p>
    <w:p w:rsidR="004F32BA" w:rsidRDefault="00D65B7F" w:rsidP="0016444A">
      <w:pPr>
        <w:rPr>
          <w:color w:val="000000" w:themeColor="text1"/>
          <w:lang w:val="ru-RU"/>
        </w:rPr>
      </w:pPr>
      <w:r w:rsidRPr="00D65B7F">
        <w:rPr>
          <w:color w:val="000000" w:themeColor="text1"/>
          <w:lang w:val="ru-RU"/>
        </w:rPr>
        <w:t>Усло</w:t>
      </w:r>
      <w:r w:rsidR="00C37EEE">
        <w:rPr>
          <w:color w:val="000000" w:themeColor="text1"/>
          <w:lang w:val="ru-RU"/>
        </w:rPr>
        <w:t>вия, которые предоставляют эти сделки</w:t>
      </w:r>
      <w:r w:rsidRPr="00D65B7F">
        <w:rPr>
          <w:color w:val="000000" w:themeColor="text1"/>
          <w:lang w:val="ru-RU"/>
        </w:rPr>
        <w:t xml:space="preserve">, в общем: 1 неделя, 1,2,3,6 и 12 месяцев. Но такие контракты могут также предусматривать нестандартные условия (например, 1 день, 9 дней, 41 день и т. </w:t>
      </w:r>
      <w:r w:rsidR="00C37EEE">
        <w:rPr>
          <w:color w:val="000000" w:themeColor="text1"/>
          <w:lang w:val="ru-RU"/>
        </w:rPr>
        <w:t>д</w:t>
      </w:r>
      <w:r w:rsidRPr="00D65B7F">
        <w:rPr>
          <w:color w:val="000000" w:themeColor="text1"/>
          <w:lang w:val="ru-RU"/>
        </w:rPr>
        <w:t>.).</w:t>
      </w:r>
      <w:r w:rsidR="00C37EEE" w:rsidRPr="00C37EEE">
        <w:rPr>
          <w:lang w:val="ru-RU"/>
        </w:rPr>
        <w:t xml:space="preserve"> </w:t>
      </w:r>
      <w:r w:rsidR="00C37EEE" w:rsidRPr="00C37EEE">
        <w:rPr>
          <w:color w:val="000000" w:themeColor="text1"/>
          <w:lang w:val="ru-RU"/>
        </w:rPr>
        <w:t xml:space="preserve">Срок действия этих контрактов </w:t>
      </w:r>
      <w:r w:rsidR="00C37EEE" w:rsidRPr="00C37EEE">
        <w:rPr>
          <w:color w:val="000000" w:themeColor="text1"/>
          <w:lang w:val="ru-RU"/>
        </w:rPr>
        <w:lastRenderedPageBreak/>
        <w:t>начинается с места и в случае, если день погашения является нерабочим днем, он должен учитываться в первый рабочий день после дня погашения.</w:t>
      </w:r>
    </w:p>
    <w:p w:rsidR="00C37EEE" w:rsidRDefault="00C37EEE" w:rsidP="0016444A">
      <w:pPr>
        <w:rPr>
          <w:color w:val="000000" w:themeColor="text1"/>
          <w:lang w:val="ru-RU"/>
        </w:rPr>
      </w:pPr>
      <w:r w:rsidRPr="00C37EEE">
        <w:rPr>
          <w:color w:val="000000" w:themeColor="text1"/>
          <w:lang w:val="ru-RU"/>
        </w:rPr>
        <w:t>Обычно форвардный курс отличается от спот</w:t>
      </w:r>
      <w:r w:rsidR="007B17C6">
        <w:rPr>
          <w:color w:val="000000" w:themeColor="text1"/>
          <w:lang w:val="ru-RU"/>
        </w:rPr>
        <w:t>-</w:t>
      </w:r>
      <w:r w:rsidRPr="00C37EEE">
        <w:rPr>
          <w:color w:val="000000" w:themeColor="text1"/>
          <w:lang w:val="ru-RU"/>
        </w:rPr>
        <w:t>курса, так как форвардный курс не является прогнозом обменного курса в день погашения.</w:t>
      </w:r>
    </w:p>
    <w:p w:rsidR="007B17C6" w:rsidRDefault="007B17C6" w:rsidP="0016444A">
      <w:pPr>
        <w:rPr>
          <w:color w:val="000000" w:themeColor="text1"/>
          <w:lang w:val="ru-RU"/>
        </w:rPr>
      </w:pPr>
      <w:r w:rsidRPr="007B17C6">
        <w:rPr>
          <w:color w:val="000000" w:themeColor="text1"/>
          <w:lang w:val="ru-RU"/>
        </w:rPr>
        <w:t>Цена форвардного контракта (обменный курс) определяется в соответствии с принципом паритета интересов, корректируя спот</w:t>
      </w:r>
      <w:r>
        <w:rPr>
          <w:color w:val="000000" w:themeColor="text1"/>
          <w:lang w:val="ru-RU"/>
        </w:rPr>
        <w:t>-</w:t>
      </w:r>
      <w:r w:rsidRPr="007B17C6">
        <w:rPr>
          <w:color w:val="000000" w:themeColor="text1"/>
          <w:lang w:val="ru-RU"/>
        </w:rPr>
        <w:t>курс с разницей между процентными ставками в иностранной валюте.</w:t>
      </w:r>
      <w:r w:rsidRPr="007B17C6">
        <w:rPr>
          <w:lang w:val="ru-RU"/>
        </w:rPr>
        <w:t xml:space="preserve"> </w:t>
      </w:r>
      <w:r w:rsidRPr="007B17C6">
        <w:rPr>
          <w:color w:val="000000" w:themeColor="text1"/>
          <w:lang w:val="ru-RU"/>
        </w:rPr>
        <w:t>Эта разница может быть положительной (премиум) или отрицательной (скидка).</w:t>
      </w:r>
    </w:p>
    <w:p w:rsidR="00270C7D" w:rsidRPr="00270C7D" w:rsidRDefault="00270C7D" w:rsidP="00270C7D">
      <w:pPr>
        <w:rPr>
          <w:color w:val="000000" w:themeColor="text1"/>
          <w:lang w:val="ru-RU"/>
        </w:rPr>
      </w:pPr>
      <w:r w:rsidRPr="00270C7D">
        <w:rPr>
          <w:color w:val="000000" w:themeColor="text1"/>
          <w:lang w:val="ru-RU"/>
        </w:rPr>
        <w:t>Котировка иностранной валюты, как спот, так и форвардной, включает в себя два курса:</w:t>
      </w:r>
    </w:p>
    <w:p w:rsidR="00270C7D" w:rsidRPr="00270C7D" w:rsidRDefault="00270C7D" w:rsidP="00270C7D">
      <w:pPr>
        <w:rPr>
          <w:color w:val="000000" w:themeColor="text1"/>
          <w:lang w:val="ru-RU"/>
        </w:rPr>
      </w:pPr>
      <w:r w:rsidRPr="00270C7D">
        <w:rPr>
          <w:color w:val="000000" w:themeColor="text1"/>
          <w:lang w:val="ru-RU"/>
        </w:rPr>
        <w:t>- курс, который банк покупает иностранн</w:t>
      </w:r>
      <w:r w:rsidR="00F66745">
        <w:rPr>
          <w:color w:val="000000" w:themeColor="text1"/>
          <w:lang w:val="ru-RU"/>
        </w:rPr>
        <w:t>ые</w:t>
      </w:r>
      <w:r w:rsidRPr="00270C7D">
        <w:rPr>
          <w:color w:val="000000" w:themeColor="text1"/>
          <w:lang w:val="ru-RU"/>
        </w:rPr>
        <w:t xml:space="preserve"> валют</w:t>
      </w:r>
      <w:r w:rsidR="00F66745">
        <w:rPr>
          <w:color w:val="000000" w:themeColor="text1"/>
          <w:lang w:val="ru-RU"/>
        </w:rPr>
        <w:t>ы</w:t>
      </w:r>
      <w:r w:rsidR="0035654E" w:rsidRPr="0035654E">
        <w:rPr>
          <w:color w:val="000000" w:themeColor="text1"/>
          <w:lang w:val="ru-RU"/>
        </w:rPr>
        <w:t xml:space="preserve"> (</w:t>
      </w:r>
      <w:r w:rsidR="0035654E">
        <w:rPr>
          <w:color w:val="000000" w:themeColor="text1"/>
          <w:lang w:val="ru-RU"/>
        </w:rPr>
        <w:t>цена покупки)</w:t>
      </w:r>
      <w:r w:rsidR="00F66745">
        <w:rPr>
          <w:color w:val="000000" w:themeColor="text1"/>
          <w:lang w:val="ru-RU"/>
        </w:rPr>
        <w:t>;</w:t>
      </w:r>
    </w:p>
    <w:p w:rsidR="00270C7D" w:rsidRDefault="00270C7D" w:rsidP="00270C7D">
      <w:pPr>
        <w:rPr>
          <w:color w:val="000000" w:themeColor="text1"/>
          <w:lang w:val="ru-RU"/>
        </w:rPr>
      </w:pPr>
      <w:r w:rsidRPr="00270C7D">
        <w:rPr>
          <w:color w:val="000000" w:themeColor="text1"/>
          <w:lang w:val="ru-RU"/>
        </w:rPr>
        <w:t>- курс, который банк продает иностранн</w:t>
      </w:r>
      <w:r w:rsidR="00F66745">
        <w:rPr>
          <w:color w:val="000000" w:themeColor="text1"/>
          <w:lang w:val="ru-RU"/>
        </w:rPr>
        <w:t>ые</w:t>
      </w:r>
      <w:r w:rsidRPr="00270C7D">
        <w:rPr>
          <w:color w:val="000000" w:themeColor="text1"/>
          <w:lang w:val="ru-RU"/>
        </w:rPr>
        <w:t xml:space="preserve"> валют</w:t>
      </w:r>
      <w:r w:rsidR="00F66745">
        <w:rPr>
          <w:color w:val="000000" w:themeColor="text1"/>
          <w:lang w:val="ru-RU"/>
        </w:rPr>
        <w:t>ы</w:t>
      </w:r>
      <w:r w:rsidR="0035654E">
        <w:rPr>
          <w:color w:val="000000" w:themeColor="text1"/>
          <w:lang w:val="ru-RU"/>
        </w:rPr>
        <w:t xml:space="preserve"> (цена продажи)</w:t>
      </w:r>
      <w:r w:rsidR="00F66745">
        <w:rPr>
          <w:color w:val="000000" w:themeColor="text1"/>
          <w:lang w:val="ru-RU"/>
        </w:rPr>
        <w:t>.</w:t>
      </w:r>
    </w:p>
    <w:p w:rsidR="00F66745" w:rsidRDefault="00F66745" w:rsidP="00270C7D">
      <w:pPr>
        <w:rPr>
          <w:color w:val="000000" w:themeColor="text1"/>
          <w:lang w:val="ru-RU"/>
        </w:rPr>
      </w:pPr>
      <w:r w:rsidRPr="00F66745">
        <w:rPr>
          <w:color w:val="000000" w:themeColor="text1"/>
          <w:lang w:val="ru-RU"/>
        </w:rPr>
        <w:t>Разница между этими ставками, так называемый спред, будет использоваться банком для покрытия расходов по сделке.</w:t>
      </w:r>
      <w:r w:rsidR="009C0997" w:rsidRPr="009C0997">
        <w:rPr>
          <w:lang w:val="ru-RU"/>
        </w:rPr>
        <w:t xml:space="preserve"> </w:t>
      </w:r>
      <w:r w:rsidR="009C0997" w:rsidRPr="009C0997">
        <w:rPr>
          <w:color w:val="000000" w:themeColor="text1"/>
          <w:lang w:val="ru-RU"/>
        </w:rPr>
        <w:t>В случ</w:t>
      </w:r>
      <w:r w:rsidR="00EA42E5">
        <w:rPr>
          <w:color w:val="000000" w:themeColor="text1"/>
          <w:lang w:val="ru-RU"/>
        </w:rPr>
        <w:t>ае форвардной премии форвардн</w:t>
      </w:r>
      <w:r w:rsidR="00E12A8F">
        <w:rPr>
          <w:color w:val="000000" w:themeColor="text1"/>
          <w:lang w:val="ru-RU"/>
        </w:rPr>
        <w:t>ый</w:t>
      </w:r>
      <w:r w:rsidR="00EA42E5">
        <w:rPr>
          <w:color w:val="000000" w:themeColor="text1"/>
          <w:lang w:val="ru-RU"/>
        </w:rPr>
        <w:t xml:space="preserve"> </w:t>
      </w:r>
      <w:r w:rsidR="00E12A8F">
        <w:rPr>
          <w:color w:val="000000" w:themeColor="text1"/>
          <w:lang w:val="ru-RU"/>
        </w:rPr>
        <w:t>пункт</w:t>
      </w:r>
      <w:r w:rsidR="00EA42E5">
        <w:rPr>
          <w:color w:val="000000" w:themeColor="text1"/>
          <w:lang w:val="ru-RU"/>
        </w:rPr>
        <w:t xml:space="preserve"> покупки меньше, чем </w:t>
      </w:r>
      <w:r w:rsidR="00E12A8F">
        <w:rPr>
          <w:color w:val="000000" w:themeColor="text1"/>
          <w:lang w:val="ru-RU"/>
        </w:rPr>
        <w:t xml:space="preserve">форвардный пункт </w:t>
      </w:r>
      <w:r w:rsidR="00EA42E5">
        <w:rPr>
          <w:color w:val="000000" w:themeColor="text1"/>
          <w:lang w:val="ru-RU"/>
        </w:rPr>
        <w:t>продажи</w:t>
      </w:r>
      <w:r w:rsidR="009C0997" w:rsidRPr="009C0997">
        <w:rPr>
          <w:color w:val="000000" w:themeColor="text1"/>
          <w:lang w:val="ru-RU"/>
        </w:rPr>
        <w:t xml:space="preserve">, а в случае форвардной скидки </w:t>
      </w:r>
      <w:r w:rsidR="00E12A8F">
        <w:rPr>
          <w:color w:val="000000" w:themeColor="text1"/>
          <w:lang w:val="ru-RU"/>
        </w:rPr>
        <w:t xml:space="preserve">форвардный пункт </w:t>
      </w:r>
      <w:r w:rsidR="00EA42E5">
        <w:rPr>
          <w:color w:val="000000" w:themeColor="text1"/>
          <w:lang w:val="ru-RU"/>
        </w:rPr>
        <w:t xml:space="preserve">покупки </w:t>
      </w:r>
      <w:r w:rsidR="009C0997" w:rsidRPr="009C0997">
        <w:rPr>
          <w:color w:val="000000" w:themeColor="text1"/>
          <w:lang w:val="ru-RU"/>
        </w:rPr>
        <w:t xml:space="preserve">выше, чем </w:t>
      </w:r>
      <w:r w:rsidR="00E12A8F">
        <w:rPr>
          <w:color w:val="000000" w:themeColor="text1"/>
          <w:lang w:val="ru-RU"/>
        </w:rPr>
        <w:t>форвардный пункт</w:t>
      </w:r>
      <w:r w:rsidR="00EA42E5">
        <w:rPr>
          <w:color w:val="000000" w:themeColor="text1"/>
          <w:lang w:val="ru-RU"/>
        </w:rPr>
        <w:t xml:space="preserve"> продажи</w:t>
      </w:r>
      <w:r w:rsidR="009C0997" w:rsidRPr="009C0997">
        <w:rPr>
          <w:color w:val="000000" w:themeColor="text1"/>
          <w:lang w:val="ru-RU"/>
        </w:rPr>
        <w:t>.</w:t>
      </w:r>
    </w:p>
    <w:p w:rsidR="00E12A8F" w:rsidRDefault="00E12A8F" w:rsidP="00270C7D">
      <w:pPr>
        <w:rPr>
          <w:color w:val="000000" w:themeColor="text1"/>
          <w:lang w:val="ru-RU"/>
        </w:rPr>
      </w:pPr>
      <w:r>
        <w:rPr>
          <w:color w:val="000000" w:themeColor="text1"/>
          <w:lang w:val="ru-RU"/>
        </w:rPr>
        <w:t xml:space="preserve">Форвардные пункты </w:t>
      </w:r>
      <w:r w:rsidRPr="00E12A8F">
        <w:rPr>
          <w:color w:val="000000" w:themeColor="text1"/>
          <w:lang w:val="ru-RU"/>
        </w:rPr>
        <w:t>рассчитываются следующим образом:</w:t>
      </w:r>
    </w:p>
    <w:p w:rsidR="00E12A8F" w:rsidRPr="00A07C3F" w:rsidRDefault="002D5F13" w:rsidP="00270C7D">
      <w:pPr>
        <w:rPr>
          <w:rFonts w:eastAsiaTheme="minorEastAsia"/>
          <w:color w:val="000000" w:themeColor="text1"/>
          <w:lang w:val="ru-RU"/>
        </w:rPr>
      </w:pPr>
      <m:oMathPara>
        <m:oMath>
          <m:sSub>
            <m:sSubPr>
              <m:ctrlPr>
                <w:rPr>
                  <w:rFonts w:ascii="Cambria Math" w:hAnsi="Cambria Math"/>
                  <w:i/>
                  <w:color w:val="000000" w:themeColor="text1"/>
                  <w:lang w:val="ru-RU"/>
                </w:rPr>
              </m:ctrlPr>
            </m:sSubPr>
            <m:e>
              <m:r>
                <w:rPr>
                  <w:rFonts w:ascii="Cambria Math" w:hAnsi="Cambria Math"/>
                  <w:color w:val="000000" w:themeColor="text1"/>
                  <w:lang w:val="ru-RU"/>
                </w:rPr>
                <m:t>ФП</m:t>
              </m:r>
            </m:e>
            <m:sub>
              <m:r>
                <w:rPr>
                  <w:rFonts w:ascii="Cambria Math" w:hAnsi="Cambria Math"/>
                  <w:color w:val="000000" w:themeColor="text1"/>
                  <w:lang w:val="ru-RU"/>
                </w:rPr>
                <m:t>пок.</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пок.</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Д-М</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num>
            <m:den>
              <m:r>
                <w:rPr>
                  <w:rFonts w:ascii="Cambria Math" w:hAnsi="Cambria Math"/>
                  <w:color w:val="000000" w:themeColor="text1"/>
                  <w:lang w:val="ru-RU"/>
                </w:rPr>
                <m:t>1-</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den>
          </m:f>
        </m:oMath>
      </m:oMathPara>
    </w:p>
    <w:p w:rsidR="00A07C3F" w:rsidRPr="009C0997" w:rsidRDefault="002D5F13" w:rsidP="00270C7D">
      <w:pPr>
        <w:rPr>
          <w:color w:val="000000" w:themeColor="text1"/>
          <w:lang w:val="ru-RU"/>
        </w:rPr>
      </w:pPr>
      <m:oMathPara>
        <m:oMath>
          <m:sSub>
            <m:sSubPr>
              <m:ctrlPr>
                <w:rPr>
                  <w:rFonts w:ascii="Cambria Math" w:hAnsi="Cambria Math"/>
                  <w:i/>
                  <w:color w:val="000000" w:themeColor="text1"/>
                  <w:lang w:val="ru-RU"/>
                </w:rPr>
              </m:ctrlPr>
            </m:sSubPr>
            <m:e>
              <m:r>
                <w:rPr>
                  <w:rFonts w:ascii="Cambria Math" w:hAnsi="Cambria Math"/>
                  <w:color w:val="000000" w:themeColor="text1"/>
                  <w:lang w:val="ru-RU"/>
                </w:rPr>
                <m:t>ФП</m:t>
              </m:r>
            </m:e>
            <m:sub>
              <m:r>
                <w:rPr>
                  <w:rFonts w:ascii="Cambria Math" w:hAnsi="Cambria Math"/>
                  <w:color w:val="000000" w:themeColor="text1"/>
                  <w:lang w:val="ru-RU"/>
                </w:rPr>
                <m:t>про.</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про.</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К-М</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num>
            <m:den>
              <m:r>
                <w:rPr>
                  <w:rFonts w:ascii="Cambria Math" w:hAnsi="Cambria Math"/>
                  <w:color w:val="000000" w:themeColor="text1"/>
                  <w:lang w:val="ru-RU"/>
                </w:rPr>
                <m:t>1-</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den>
          </m:f>
        </m:oMath>
      </m:oMathPara>
    </w:p>
    <w:p w:rsidR="007625DD" w:rsidRDefault="00640DD6" w:rsidP="007625DD">
      <w:pPr>
        <w:rPr>
          <w:color w:val="000000" w:themeColor="text1"/>
          <w:lang w:val="ru-RU"/>
        </w:rPr>
      </w:pPr>
      <w:r>
        <w:rPr>
          <w:color w:val="000000" w:themeColor="text1"/>
          <w:lang w:val="ru-RU"/>
        </w:rPr>
        <w:t>Форвардный курс</w:t>
      </w:r>
      <w:r w:rsidRPr="00640DD6">
        <w:rPr>
          <w:color w:val="000000" w:themeColor="text1"/>
          <w:lang w:val="ru-RU"/>
        </w:rPr>
        <w:t xml:space="preserve"> рассчитывается следующим образом:</w:t>
      </w:r>
    </w:p>
    <w:p w:rsidR="00640DD6" w:rsidRPr="00A07C3F" w:rsidRDefault="002D5F13" w:rsidP="00640DD6">
      <w:pPr>
        <w:rPr>
          <w:rFonts w:eastAsiaTheme="minorEastAsia"/>
          <w:color w:val="000000" w:themeColor="text1"/>
          <w:lang w:val="ru-RU"/>
        </w:rPr>
      </w:pPr>
      <m:oMathPara>
        <m:oMath>
          <m:sSub>
            <m:sSubPr>
              <m:ctrlPr>
                <w:rPr>
                  <w:rFonts w:ascii="Cambria Math" w:hAnsi="Cambria Math"/>
                  <w:i/>
                  <w:color w:val="000000" w:themeColor="text1"/>
                  <w:lang w:val="ru-RU"/>
                </w:rPr>
              </m:ctrlPr>
            </m:sSubPr>
            <m:e>
              <m:r>
                <w:rPr>
                  <w:rFonts w:ascii="Cambria Math" w:hAnsi="Cambria Math"/>
                  <w:color w:val="000000" w:themeColor="text1"/>
                  <w:lang w:val="ru-RU"/>
                </w:rPr>
                <m:t>ФК</m:t>
              </m:r>
            </m:e>
            <m:sub>
              <m:r>
                <w:rPr>
                  <w:rFonts w:ascii="Cambria Math" w:hAnsi="Cambria Math"/>
                  <w:color w:val="000000" w:themeColor="text1"/>
                  <w:lang w:val="ru-RU"/>
                </w:rPr>
                <m:t>пок.</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пок.</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пок.</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Д-М</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num>
            <m:den>
              <m:r>
                <w:rPr>
                  <w:rFonts w:ascii="Cambria Math" w:hAnsi="Cambria Math"/>
                  <w:color w:val="000000" w:themeColor="text1"/>
                  <w:lang w:val="ru-RU"/>
                </w:rPr>
                <m:t>1-</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den>
          </m:f>
        </m:oMath>
      </m:oMathPara>
    </w:p>
    <w:p w:rsidR="00640DD6" w:rsidRPr="009C0997" w:rsidRDefault="002D5F13" w:rsidP="00640DD6">
      <w:pPr>
        <w:rPr>
          <w:color w:val="000000" w:themeColor="text1"/>
          <w:lang w:val="ru-RU"/>
        </w:rPr>
      </w:pPr>
      <m:oMathPara>
        <m:oMath>
          <m:sSub>
            <m:sSubPr>
              <m:ctrlPr>
                <w:rPr>
                  <w:rFonts w:ascii="Cambria Math" w:hAnsi="Cambria Math"/>
                  <w:i/>
                  <w:color w:val="000000" w:themeColor="text1"/>
                  <w:lang w:val="ru-RU"/>
                </w:rPr>
              </m:ctrlPr>
            </m:sSubPr>
            <m:e>
              <m:r>
                <w:rPr>
                  <w:rFonts w:ascii="Cambria Math" w:hAnsi="Cambria Math"/>
                  <w:color w:val="000000" w:themeColor="text1"/>
                  <w:lang w:val="ru-RU"/>
                </w:rPr>
                <m:t>ФК</m:t>
              </m:r>
            </m:e>
            <m:sub>
              <m:r>
                <w:rPr>
                  <w:rFonts w:ascii="Cambria Math" w:hAnsi="Cambria Math"/>
                  <w:color w:val="000000" w:themeColor="text1"/>
                  <w:lang w:val="ru-RU"/>
                </w:rPr>
                <m:t>про.</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про.</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про.</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К-М</m:t>
                  </m:r>
                </m:sub>
              </m:sSub>
              <m:r>
                <w:rPr>
                  <w:rFonts w:ascii="Cambria Math" w:hAnsi="Cambria Math"/>
                  <w:color w:val="000000" w:themeColor="text1"/>
                  <w:lang w:val="ru-RU"/>
                </w:rPr>
                <m:t>-</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num>
            <m:den>
              <m:r>
                <w:rPr>
                  <w:rFonts w:ascii="Cambria Math" w:hAnsi="Cambria Math"/>
                  <w:color w:val="000000" w:themeColor="text1"/>
                  <w:lang w:val="ru-RU"/>
                </w:rPr>
                <m:t>1-</m:t>
              </m:r>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Д-И</m:t>
                  </m:r>
                </m:sub>
              </m:sSub>
              <m:r>
                <w:rPr>
                  <w:rFonts w:ascii="Cambria Math" w:hAnsi="Cambria Math"/>
                  <w:color w:val="000000" w:themeColor="text1"/>
                  <w:lang w:val="ru-RU"/>
                </w:rPr>
                <m:t>∙</m:t>
              </m:r>
              <m:f>
                <m:fPr>
                  <m:ctrlPr>
                    <w:rPr>
                      <w:rFonts w:ascii="Cambria Math" w:hAnsi="Cambria Math"/>
                      <w:i/>
                      <w:color w:val="000000" w:themeColor="text1"/>
                      <w:lang w:val="ru-RU"/>
                    </w:rPr>
                  </m:ctrlPr>
                </m:fPr>
                <m:num>
                  <m:r>
                    <w:rPr>
                      <w:rFonts w:ascii="Cambria Math" w:hAnsi="Cambria Math"/>
                      <w:color w:val="000000" w:themeColor="text1"/>
                    </w:rPr>
                    <m:t>n</m:t>
                  </m:r>
                </m:num>
                <m:den>
                  <m:r>
                    <w:rPr>
                      <w:rFonts w:ascii="Cambria Math" w:hAnsi="Cambria Math"/>
                      <w:color w:val="000000" w:themeColor="text1"/>
                      <w:lang w:val="ru-RU"/>
                    </w:rPr>
                    <m:t>360</m:t>
                  </m:r>
                </m:den>
              </m:f>
            </m:den>
          </m:f>
        </m:oMath>
      </m:oMathPara>
    </w:p>
    <w:p w:rsidR="006D562A" w:rsidRDefault="006D562A" w:rsidP="006D562A">
      <w:pPr>
        <w:ind w:firstLine="0"/>
        <w:rPr>
          <w:color w:val="000000" w:themeColor="text1"/>
          <w:lang w:val="ru-RU"/>
        </w:rPr>
      </w:pPr>
      <w:r>
        <w:rPr>
          <w:color w:val="000000" w:themeColor="text1"/>
          <w:lang w:val="ru-RU"/>
        </w:rPr>
        <w:t xml:space="preserve">где: </w:t>
      </w:r>
      <m:oMath>
        <m:sSub>
          <m:sSubPr>
            <m:ctrlPr>
              <w:rPr>
                <w:rFonts w:ascii="Cambria Math" w:hAnsi="Cambria Math"/>
                <w:i/>
                <w:color w:val="000000" w:themeColor="text1"/>
                <w:lang w:val="ru-RU"/>
              </w:rPr>
            </m:ctrlPr>
          </m:sSubPr>
          <m:e>
            <m:r>
              <w:rPr>
                <w:rFonts w:ascii="Cambria Math" w:hAnsi="Cambria Math"/>
                <w:color w:val="000000" w:themeColor="text1"/>
                <w:lang w:val="ru-RU"/>
              </w:rPr>
              <m:t>ФП</m:t>
            </m:r>
          </m:e>
          <m:sub>
            <m:r>
              <w:rPr>
                <w:rFonts w:ascii="Cambria Math" w:hAnsi="Cambria Math"/>
                <w:color w:val="000000" w:themeColor="text1"/>
                <w:lang w:val="ru-RU"/>
              </w:rPr>
              <m:t>пок.</m:t>
            </m:r>
          </m:sub>
        </m:sSub>
      </m:oMath>
      <w:r>
        <w:rPr>
          <w:rFonts w:eastAsiaTheme="minorEastAsia"/>
          <w:color w:val="000000" w:themeColor="text1"/>
          <w:lang w:val="ru-RU"/>
        </w:rPr>
        <w:t xml:space="preserve"> - </w:t>
      </w:r>
      <w:r>
        <w:rPr>
          <w:color w:val="000000" w:themeColor="text1"/>
          <w:lang w:val="ru-RU"/>
        </w:rPr>
        <w:t>форвардный пункт покупки;</w:t>
      </w:r>
    </w:p>
    <w:p w:rsidR="006D562A" w:rsidRDefault="002D5F13" w:rsidP="006D562A">
      <w:pPr>
        <w:rPr>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ФП</m:t>
            </m:r>
          </m:e>
          <m:sub>
            <m:r>
              <w:rPr>
                <w:rFonts w:ascii="Cambria Math" w:hAnsi="Cambria Math"/>
                <w:color w:val="000000" w:themeColor="text1"/>
                <w:lang w:val="ru-RU"/>
              </w:rPr>
              <m:t>про.</m:t>
            </m:r>
          </m:sub>
        </m:sSub>
      </m:oMath>
      <w:r w:rsidR="006D562A">
        <w:rPr>
          <w:rFonts w:eastAsiaTheme="minorEastAsia"/>
          <w:color w:val="000000" w:themeColor="text1"/>
          <w:lang w:val="ru-RU"/>
        </w:rPr>
        <w:t xml:space="preserve"> - </w:t>
      </w:r>
      <w:r w:rsidR="006D562A">
        <w:rPr>
          <w:color w:val="000000" w:themeColor="text1"/>
          <w:lang w:val="ru-RU"/>
        </w:rPr>
        <w:t>форвардный пункт продажи;</w:t>
      </w:r>
    </w:p>
    <w:p w:rsidR="006D562A" w:rsidRDefault="002D5F13" w:rsidP="006D562A">
      <w:pPr>
        <w:rPr>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ФК</m:t>
            </m:r>
          </m:e>
          <m:sub>
            <m:r>
              <w:rPr>
                <w:rFonts w:ascii="Cambria Math" w:hAnsi="Cambria Math"/>
                <w:color w:val="000000" w:themeColor="text1"/>
                <w:lang w:val="ru-RU"/>
              </w:rPr>
              <m:t>пок.</m:t>
            </m:r>
          </m:sub>
        </m:sSub>
      </m:oMath>
      <w:r w:rsidR="006D562A">
        <w:rPr>
          <w:rFonts w:eastAsiaTheme="minorEastAsia"/>
          <w:color w:val="000000" w:themeColor="text1"/>
          <w:lang w:val="ru-RU"/>
        </w:rPr>
        <w:t xml:space="preserve"> – </w:t>
      </w:r>
      <w:r w:rsidR="006D562A">
        <w:rPr>
          <w:color w:val="000000" w:themeColor="text1"/>
          <w:lang w:val="ru-RU"/>
        </w:rPr>
        <w:t>форвардный курс на покупку;</w:t>
      </w:r>
    </w:p>
    <w:p w:rsidR="006D562A" w:rsidRDefault="002D5F13" w:rsidP="006D562A">
      <w:pPr>
        <w:rPr>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ФК</m:t>
            </m:r>
          </m:e>
          <m:sub>
            <m:r>
              <w:rPr>
                <w:rFonts w:ascii="Cambria Math" w:hAnsi="Cambria Math"/>
                <w:color w:val="000000" w:themeColor="text1"/>
                <w:lang w:val="ru-RU"/>
              </w:rPr>
              <m:t>про.</m:t>
            </m:r>
          </m:sub>
        </m:sSub>
      </m:oMath>
      <w:r w:rsidR="006D562A">
        <w:rPr>
          <w:rFonts w:eastAsiaTheme="minorEastAsia"/>
          <w:color w:val="000000" w:themeColor="text1"/>
          <w:lang w:val="ru-RU"/>
        </w:rPr>
        <w:t xml:space="preserve"> - </w:t>
      </w:r>
      <w:r w:rsidR="006D562A">
        <w:rPr>
          <w:color w:val="000000" w:themeColor="text1"/>
          <w:lang w:val="ru-RU"/>
        </w:rPr>
        <w:t>форвардный курс</w:t>
      </w:r>
      <w:r w:rsidR="006D562A" w:rsidRPr="006D562A">
        <w:rPr>
          <w:color w:val="000000" w:themeColor="text1"/>
          <w:lang w:val="ru-RU"/>
        </w:rPr>
        <w:t xml:space="preserve"> </w:t>
      </w:r>
      <w:r w:rsidR="006D562A">
        <w:rPr>
          <w:color w:val="000000" w:themeColor="text1"/>
          <w:lang w:val="ru-RU"/>
        </w:rPr>
        <w:t>для</w:t>
      </w:r>
      <w:r w:rsidR="006D562A" w:rsidRPr="00122609">
        <w:rPr>
          <w:color w:val="000000" w:themeColor="text1"/>
          <w:lang w:val="ru-RU"/>
        </w:rPr>
        <w:t xml:space="preserve"> </w:t>
      </w:r>
      <w:r w:rsidR="006D562A">
        <w:rPr>
          <w:color w:val="000000" w:themeColor="text1"/>
          <w:lang w:val="ru-RU"/>
        </w:rPr>
        <w:t>продажи;</w:t>
      </w:r>
    </w:p>
    <w:p w:rsidR="006D562A" w:rsidRDefault="002D5F13" w:rsidP="006D562A">
      <w:pPr>
        <w:rPr>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пок.</m:t>
            </m:r>
          </m:sub>
        </m:sSub>
      </m:oMath>
      <w:r w:rsidR="006D562A">
        <w:rPr>
          <w:rFonts w:eastAsiaTheme="minorEastAsia"/>
          <w:color w:val="000000" w:themeColor="text1"/>
          <w:lang w:val="ru-RU"/>
        </w:rPr>
        <w:t xml:space="preserve"> – спот-курс </w:t>
      </w:r>
      <w:r w:rsidR="006D562A" w:rsidRPr="00122609">
        <w:rPr>
          <w:color w:val="000000" w:themeColor="text1"/>
          <w:lang w:val="ru-RU"/>
        </w:rPr>
        <w:t>на покупку</w:t>
      </w:r>
      <w:r w:rsidR="006D562A">
        <w:rPr>
          <w:color w:val="000000" w:themeColor="text1"/>
          <w:lang w:val="ru-RU"/>
        </w:rPr>
        <w:t>;</w:t>
      </w:r>
    </w:p>
    <w:p w:rsidR="006D562A" w:rsidRDefault="002D5F13" w:rsidP="006D562A">
      <w:pPr>
        <w:rPr>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СК</m:t>
            </m:r>
          </m:e>
          <m:sub>
            <m:r>
              <w:rPr>
                <w:rFonts w:ascii="Cambria Math" w:hAnsi="Cambria Math"/>
                <w:color w:val="000000" w:themeColor="text1"/>
                <w:lang w:val="ru-RU"/>
              </w:rPr>
              <m:t>про.</m:t>
            </m:r>
          </m:sub>
        </m:sSub>
      </m:oMath>
      <w:r w:rsidR="006D562A">
        <w:rPr>
          <w:rFonts w:eastAsiaTheme="minorEastAsia"/>
          <w:color w:val="000000" w:themeColor="text1"/>
          <w:lang w:val="ru-RU"/>
        </w:rPr>
        <w:t xml:space="preserve"> - спот-курс </w:t>
      </w:r>
      <w:r w:rsidR="006D562A">
        <w:rPr>
          <w:color w:val="000000" w:themeColor="text1"/>
          <w:lang w:val="ru-RU"/>
        </w:rPr>
        <w:t>для</w:t>
      </w:r>
      <w:r w:rsidR="006D562A" w:rsidRPr="00122609">
        <w:rPr>
          <w:color w:val="000000" w:themeColor="text1"/>
          <w:lang w:val="ru-RU"/>
        </w:rPr>
        <w:t xml:space="preserve"> </w:t>
      </w:r>
      <w:r w:rsidR="006D562A">
        <w:rPr>
          <w:color w:val="000000" w:themeColor="text1"/>
          <w:lang w:val="ru-RU"/>
        </w:rPr>
        <w:t>продажи;</w:t>
      </w:r>
    </w:p>
    <w:p w:rsidR="006D562A" w:rsidRDefault="002D5F13" w:rsidP="006D562A">
      <w:pPr>
        <w:rPr>
          <w:rFonts w:eastAsiaTheme="minorEastAsia"/>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Д-М</m:t>
            </m:r>
          </m:sub>
        </m:sSub>
      </m:oMath>
      <w:r w:rsidR="006D562A">
        <w:rPr>
          <w:rFonts w:eastAsiaTheme="minorEastAsia"/>
          <w:color w:val="000000" w:themeColor="text1"/>
          <w:lang w:val="ru-RU"/>
        </w:rPr>
        <w:t xml:space="preserve"> – временная </w:t>
      </w:r>
      <w:r w:rsidR="006D562A" w:rsidRPr="00E130A4">
        <w:rPr>
          <w:rFonts w:eastAsiaTheme="minorEastAsia"/>
          <w:color w:val="000000" w:themeColor="text1"/>
          <w:lang w:val="ru-RU"/>
        </w:rPr>
        <w:t xml:space="preserve">процентная ставка по </w:t>
      </w:r>
      <w:r w:rsidR="006D562A">
        <w:rPr>
          <w:rFonts w:eastAsiaTheme="minorEastAsia"/>
          <w:color w:val="000000" w:themeColor="text1"/>
          <w:lang w:val="ru-RU"/>
        </w:rPr>
        <w:t>депозит</w:t>
      </w:r>
      <w:r w:rsidR="006D562A" w:rsidRPr="00E130A4">
        <w:rPr>
          <w:rFonts w:eastAsiaTheme="minorEastAsia"/>
          <w:color w:val="000000" w:themeColor="text1"/>
          <w:lang w:val="ru-RU"/>
        </w:rPr>
        <w:t>ам в местной валюте</w:t>
      </w:r>
      <w:r w:rsidR="006D562A">
        <w:rPr>
          <w:rFonts w:eastAsiaTheme="minorEastAsia"/>
          <w:color w:val="000000" w:themeColor="text1"/>
          <w:lang w:val="ru-RU"/>
        </w:rPr>
        <w:t>;</w:t>
      </w:r>
    </w:p>
    <w:p w:rsidR="006D562A" w:rsidRDefault="002D5F13" w:rsidP="006D562A">
      <w:pPr>
        <w:rPr>
          <w:rFonts w:eastAsiaTheme="minorEastAsia"/>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К-М</m:t>
            </m:r>
          </m:sub>
        </m:sSub>
      </m:oMath>
      <w:r w:rsidR="006D562A">
        <w:rPr>
          <w:rFonts w:eastAsiaTheme="minorEastAsia"/>
          <w:color w:val="000000" w:themeColor="text1"/>
          <w:lang w:val="ru-RU"/>
        </w:rPr>
        <w:t xml:space="preserve"> - </w:t>
      </w:r>
      <w:r w:rsidR="006D562A" w:rsidRPr="00E130A4">
        <w:rPr>
          <w:rFonts w:eastAsiaTheme="minorEastAsia"/>
          <w:color w:val="000000" w:themeColor="text1"/>
          <w:lang w:val="ru-RU"/>
        </w:rPr>
        <w:t>временная процентная ставка по кредитам в местной валюте;</w:t>
      </w:r>
    </w:p>
    <w:p w:rsidR="006D562A" w:rsidRDefault="002D5F13" w:rsidP="006D562A">
      <w:pPr>
        <w:rPr>
          <w:rFonts w:eastAsiaTheme="minorEastAsia"/>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Д-И</m:t>
            </m:r>
          </m:sub>
        </m:sSub>
      </m:oMath>
      <w:r w:rsidR="006D562A">
        <w:rPr>
          <w:rFonts w:eastAsiaTheme="minorEastAsia"/>
          <w:color w:val="000000" w:themeColor="text1"/>
          <w:lang w:val="ru-RU"/>
        </w:rPr>
        <w:t xml:space="preserve"> - </w:t>
      </w:r>
      <w:r w:rsidR="006D562A" w:rsidRPr="007625DD">
        <w:rPr>
          <w:rFonts w:eastAsiaTheme="minorEastAsia"/>
          <w:color w:val="000000" w:themeColor="text1"/>
          <w:lang w:val="ru-RU"/>
        </w:rPr>
        <w:t>временная процентная ставка по депозитам в иностранной валюте;</w:t>
      </w:r>
    </w:p>
    <w:p w:rsidR="006D562A" w:rsidRDefault="002D5F13" w:rsidP="006D562A">
      <w:pPr>
        <w:rPr>
          <w:rFonts w:eastAsiaTheme="minorEastAsia"/>
          <w:color w:val="000000" w:themeColor="text1"/>
          <w:lang w:val="ru-RU"/>
        </w:rPr>
      </w:pPr>
      <m:oMath>
        <m:sSub>
          <m:sSubPr>
            <m:ctrlPr>
              <w:rPr>
                <w:rFonts w:ascii="Cambria Math" w:hAnsi="Cambria Math"/>
                <w:i/>
                <w:color w:val="000000" w:themeColor="text1"/>
                <w:lang w:val="ru-RU"/>
              </w:rPr>
            </m:ctrlPr>
          </m:sSubPr>
          <m:e>
            <m:r>
              <w:rPr>
                <w:rFonts w:ascii="Cambria Math" w:hAnsi="Cambria Math"/>
                <w:color w:val="000000" w:themeColor="text1"/>
                <w:lang w:val="ru-RU"/>
              </w:rPr>
              <m:t>С</m:t>
            </m:r>
          </m:e>
          <m:sub>
            <m:r>
              <w:rPr>
                <w:rFonts w:ascii="Cambria Math" w:hAnsi="Cambria Math"/>
                <w:color w:val="000000" w:themeColor="text1"/>
                <w:lang w:val="ru-RU"/>
              </w:rPr>
              <m:t>К-И</m:t>
            </m:r>
          </m:sub>
        </m:sSub>
      </m:oMath>
      <w:r w:rsidR="006D562A">
        <w:rPr>
          <w:rFonts w:eastAsiaTheme="minorEastAsia"/>
          <w:color w:val="000000" w:themeColor="text1"/>
          <w:lang w:val="ru-RU"/>
        </w:rPr>
        <w:t xml:space="preserve"> - </w:t>
      </w:r>
      <w:r w:rsidR="006D562A" w:rsidRPr="007625DD">
        <w:rPr>
          <w:rFonts w:eastAsiaTheme="minorEastAsia"/>
          <w:color w:val="000000" w:themeColor="text1"/>
          <w:lang w:val="ru-RU"/>
        </w:rPr>
        <w:t>временная процентная ставка по кредитам в иностранной валюте;</w:t>
      </w:r>
    </w:p>
    <w:p w:rsidR="006D562A" w:rsidRDefault="006D562A" w:rsidP="006D562A">
      <w:pPr>
        <w:rPr>
          <w:rFonts w:eastAsiaTheme="minorEastAsia"/>
          <w:color w:val="000000" w:themeColor="text1"/>
          <w:lang w:val="ru-RU"/>
        </w:rPr>
      </w:pPr>
      <m:oMath>
        <m:r>
          <w:rPr>
            <w:rFonts w:ascii="Cambria Math" w:hAnsi="Cambria Math"/>
            <w:color w:val="000000" w:themeColor="text1"/>
          </w:rPr>
          <m:t>n</m:t>
        </m:r>
      </m:oMath>
      <w:r>
        <w:rPr>
          <w:rFonts w:eastAsiaTheme="minorEastAsia"/>
          <w:color w:val="000000" w:themeColor="text1"/>
          <w:lang w:val="ru-RU"/>
        </w:rPr>
        <w:t xml:space="preserve"> - </w:t>
      </w:r>
      <w:r w:rsidRPr="007625DD">
        <w:rPr>
          <w:rFonts w:eastAsiaTheme="minorEastAsia"/>
          <w:color w:val="000000" w:themeColor="text1"/>
          <w:lang w:val="ru-RU"/>
        </w:rPr>
        <w:t>количество дней, учитываемых при определении форвардного курса.</w:t>
      </w:r>
    </w:p>
    <w:p w:rsidR="00DC5FB9" w:rsidRPr="00DC5FB9" w:rsidRDefault="00DC5FB9" w:rsidP="00DC5FB9">
      <w:pPr>
        <w:rPr>
          <w:color w:val="000000" w:themeColor="text1"/>
          <w:lang w:val="ru-RU"/>
        </w:rPr>
      </w:pPr>
      <w:r w:rsidRPr="00DC5FB9">
        <w:rPr>
          <w:color w:val="000000" w:themeColor="text1"/>
          <w:lang w:val="ru-RU"/>
        </w:rPr>
        <w:t>Это следует из того:</w:t>
      </w:r>
    </w:p>
    <w:p w:rsidR="00640DD6" w:rsidRDefault="00DC5FB9" w:rsidP="00DC5FB9">
      <w:pPr>
        <w:rPr>
          <w:color w:val="000000" w:themeColor="text1"/>
          <w:lang w:val="ru-RU"/>
        </w:rPr>
      </w:pPr>
      <w:r w:rsidRPr="00DC5FB9">
        <w:rPr>
          <w:color w:val="000000" w:themeColor="text1"/>
          <w:lang w:val="ru-RU"/>
        </w:rPr>
        <w:t>- премии или скидки пропорциональны периоду, на который сделан форвард (более длительный период времени означает более высокую премию или скидку);</w:t>
      </w:r>
    </w:p>
    <w:p w:rsidR="00230B04" w:rsidRDefault="00230B04" w:rsidP="00DC5FB9">
      <w:pPr>
        <w:rPr>
          <w:color w:val="000000" w:themeColor="text1"/>
          <w:lang w:val="ru-RU"/>
        </w:rPr>
      </w:pPr>
      <w:r w:rsidRPr="00230B04">
        <w:rPr>
          <w:color w:val="000000" w:themeColor="text1"/>
          <w:lang w:val="ru-RU"/>
        </w:rPr>
        <w:t xml:space="preserve">- расчет премии или </w:t>
      </w:r>
      <w:r>
        <w:rPr>
          <w:color w:val="000000" w:themeColor="text1"/>
          <w:lang w:val="ru-RU"/>
        </w:rPr>
        <w:t>скидки</w:t>
      </w:r>
      <w:r w:rsidRPr="00230B04">
        <w:rPr>
          <w:color w:val="000000" w:themeColor="text1"/>
          <w:lang w:val="ru-RU"/>
        </w:rPr>
        <w:t xml:space="preserve"> зависит не от эффективного уровня процентных ставок для обеих валют, а от разницы в процентных ставках;</w:t>
      </w:r>
    </w:p>
    <w:p w:rsidR="00230B04" w:rsidRDefault="00230B04" w:rsidP="00DC5FB9">
      <w:pPr>
        <w:rPr>
          <w:color w:val="000000" w:themeColor="text1"/>
          <w:lang w:val="ru-RU"/>
        </w:rPr>
      </w:pPr>
      <w:r>
        <w:rPr>
          <w:color w:val="000000" w:themeColor="text1"/>
          <w:lang w:val="ru-RU"/>
        </w:rPr>
        <w:t xml:space="preserve">- </w:t>
      </w:r>
      <w:r w:rsidRPr="00230B04">
        <w:rPr>
          <w:color w:val="000000" w:themeColor="text1"/>
          <w:lang w:val="ru-RU"/>
        </w:rPr>
        <w:t>форвардный курс рассчитывается математически, формула не содержит оценок.</w:t>
      </w:r>
    </w:p>
    <w:p w:rsidR="00230B04" w:rsidRPr="008E27F6" w:rsidRDefault="008E27F6" w:rsidP="00DC5FB9">
      <w:pPr>
        <w:rPr>
          <w:b/>
          <w:i/>
          <w:color w:val="000000" w:themeColor="text1"/>
          <w:lang w:val="ru-RU"/>
        </w:rPr>
      </w:pPr>
      <w:r w:rsidRPr="008E27F6">
        <w:rPr>
          <w:b/>
          <w:i/>
          <w:color w:val="000000" w:themeColor="text1"/>
          <w:lang w:val="ru-RU"/>
        </w:rPr>
        <w:t>Фьючерсная</w:t>
      </w:r>
      <w:r w:rsidR="002E48EC" w:rsidRPr="008E27F6">
        <w:rPr>
          <w:b/>
          <w:i/>
          <w:color w:val="000000" w:themeColor="text1"/>
          <w:lang w:val="ru-RU"/>
        </w:rPr>
        <w:t xml:space="preserve"> </w:t>
      </w:r>
      <w:r w:rsidRPr="008E27F6">
        <w:rPr>
          <w:b/>
          <w:i/>
          <w:color w:val="000000" w:themeColor="text1"/>
          <w:lang w:val="ru-RU"/>
        </w:rPr>
        <w:t>сделка</w:t>
      </w:r>
      <w:r w:rsidR="002E48EC" w:rsidRPr="008E27F6">
        <w:rPr>
          <w:b/>
          <w:i/>
          <w:color w:val="000000" w:themeColor="text1"/>
          <w:lang w:val="ru-RU"/>
        </w:rPr>
        <w:t xml:space="preserve"> в иностранной валюте</w:t>
      </w:r>
    </w:p>
    <w:p w:rsidR="008E27F6" w:rsidRPr="007474F8" w:rsidRDefault="004C1AF8" w:rsidP="00DC5FB9">
      <w:pPr>
        <w:rPr>
          <w:color w:val="000000" w:themeColor="text1"/>
          <w:lang w:val="ru-RU"/>
        </w:rPr>
      </w:pPr>
      <w:r w:rsidRPr="004C1AF8">
        <w:rPr>
          <w:color w:val="000000" w:themeColor="text1"/>
          <w:lang w:val="ru-RU"/>
        </w:rPr>
        <w:t>Фьючерсный контракт - это соглашение о покупке или продаже определенной суммы по цене, установленной в момент заключения контракта, но сделка должна быть исполнена в будущем.</w:t>
      </w:r>
    </w:p>
    <w:p w:rsidR="00B2635E" w:rsidRPr="00B729FD" w:rsidRDefault="00B2635E" w:rsidP="00DC5FB9">
      <w:pPr>
        <w:rPr>
          <w:color w:val="000000" w:themeColor="text1"/>
          <w:lang w:val="ru-RU"/>
        </w:rPr>
      </w:pPr>
      <w:r w:rsidRPr="00B2635E">
        <w:rPr>
          <w:color w:val="000000" w:themeColor="text1"/>
          <w:lang w:val="ru-RU"/>
        </w:rPr>
        <w:t xml:space="preserve">Фьючерсные и форвардные контракты содержат в целом те же положения. </w:t>
      </w:r>
      <w:r w:rsidRPr="00B729FD">
        <w:rPr>
          <w:color w:val="000000" w:themeColor="text1"/>
          <w:lang w:val="ru-RU"/>
        </w:rPr>
        <w:t>Но различия заметны и связаны с механизмом сделок</w:t>
      </w:r>
      <w:r w:rsidR="008A6DBA">
        <w:rPr>
          <w:color w:val="000000" w:themeColor="text1"/>
          <w:lang w:val="ru-RU"/>
        </w:rPr>
        <w:t xml:space="preserve"> (Таблица 1)</w:t>
      </w:r>
      <w:r w:rsidRPr="00B729FD">
        <w:rPr>
          <w:color w:val="000000" w:themeColor="text1"/>
          <w:lang w:val="ru-RU"/>
        </w:rPr>
        <w:t>.</w:t>
      </w:r>
    </w:p>
    <w:p w:rsidR="009E5EE5" w:rsidRPr="009E5EE5" w:rsidRDefault="009E5EE5" w:rsidP="009E5EE5">
      <w:pPr>
        <w:ind w:firstLine="0"/>
        <w:jc w:val="center"/>
        <w:rPr>
          <w:color w:val="000000" w:themeColor="text1"/>
          <w:sz w:val="24"/>
          <w:lang w:val="ru-RU"/>
        </w:rPr>
      </w:pPr>
      <w:r w:rsidRPr="009E5EE5">
        <w:rPr>
          <w:color w:val="000000" w:themeColor="text1"/>
          <w:sz w:val="24"/>
          <w:lang w:val="ru-RU"/>
        </w:rPr>
        <w:t>Таблица 1. Различия между форвардным контрактом и фьючерсным контрактом</w:t>
      </w:r>
    </w:p>
    <w:tbl>
      <w:tblPr>
        <w:tblStyle w:val="TableGrid"/>
        <w:tblW w:w="9775" w:type="dxa"/>
        <w:tblLook w:val="04A0" w:firstRow="1" w:lastRow="0" w:firstColumn="1" w:lastColumn="0" w:noHBand="0" w:noVBand="1"/>
      </w:tblPr>
      <w:tblGrid>
        <w:gridCol w:w="2405"/>
        <w:gridCol w:w="3685"/>
        <w:gridCol w:w="3685"/>
      </w:tblGrid>
      <w:tr w:rsidR="009E5EE5" w:rsidRPr="009E5EE5" w:rsidTr="00280F3F">
        <w:tc>
          <w:tcPr>
            <w:tcW w:w="2405" w:type="dxa"/>
          </w:tcPr>
          <w:p w:rsidR="009E5EE5" w:rsidRPr="009E5EE5" w:rsidRDefault="009E5EE5" w:rsidP="009E5EE5">
            <w:pPr>
              <w:ind w:firstLine="0"/>
              <w:rPr>
                <w:color w:val="000000" w:themeColor="text1"/>
                <w:sz w:val="24"/>
                <w:lang w:val="ru-RU"/>
              </w:rPr>
            </w:pPr>
          </w:p>
        </w:tc>
        <w:tc>
          <w:tcPr>
            <w:tcW w:w="3685" w:type="dxa"/>
          </w:tcPr>
          <w:p w:rsidR="009E5EE5" w:rsidRPr="009E5EE5" w:rsidRDefault="00DF1DA5" w:rsidP="009E5EE5">
            <w:pPr>
              <w:ind w:firstLine="0"/>
              <w:rPr>
                <w:color w:val="000000" w:themeColor="text1"/>
                <w:sz w:val="24"/>
                <w:lang w:val="ru-RU"/>
              </w:rPr>
            </w:pPr>
            <w:r w:rsidRPr="00DF1DA5">
              <w:rPr>
                <w:color w:val="000000" w:themeColor="text1"/>
                <w:sz w:val="24"/>
                <w:lang w:val="ru-RU"/>
              </w:rPr>
              <w:t>Форвардный контракт</w:t>
            </w:r>
          </w:p>
        </w:tc>
        <w:tc>
          <w:tcPr>
            <w:tcW w:w="3685" w:type="dxa"/>
          </w:tcPr>
          <w:p w:rsidR="009E5EE5" w:rsidRPr="009E5EE5" w:rsidRDefault="00DF1DA5" w:rsidP="009E5EE5">
            <w:pPr>
              <w:ind w:firstLine="0"/>
              <w:rPr>
                <w:color w:val="000000" w:themeColor="text1"/>
                <w:sz w:val="24"/>
                <w:lang w:val="ru-RU"/>
              </w:rPr>
            </w:pPr>
            <w:r w:rsidRPr="00DF1DA5">
              <w:rPr>
                <w:color w:val="000000" w:themeColor="text1"/>
                <w:sz w:val="24"/>
                <w:lang w:val="ru-RU"/>
              </w:rPr>
              <w:t>Фьючерсный контракт</w:t>
            </w:r>
          </w:p>
        </w:tc>
      </w:tr>
      <w:tr w:rsidR="009E5EE5" w:rsidRPr="009E5EE5" w:rsidTr="00280F3F">
        <w:tc>
          <w:tcPr>
            <w:tcW w:w="2405" w:type="dxa"/>
          </w:tcPr>
          <w:p w:rsidR="009E5EE5" w:rsidRPr="009E5EE5" w:rsidRDefault="00DF1DA5" w:rsidP="009E5EE5">
            <w:pPr>
              <w:ind w:firstLine="0"/>
              <w:rPr>
                <w:color w:val="000000" w:themeColor="text1"/>
                <w:sz w:val="24"/>
                <w:lang w:val="ru-RU"/>
              </w:rPr>
            </w:pPr>
            <w:r>
              <w:rPr>
                <w:color w:val="000000" w:themeColor="text1"/>
                <w:sz w:val="24"/>
                <w:lang w:val="ru-RU"/>
              </w:rPr>
              <w:t xml:space="preserve">1. </w:t>
            </w:r>
            <w:r w:rsidR="009E5EE5" w:rsidRPr="009E5EE5">
              <w:rPr>
                <w:color w:val="000000" w:themeColor="text1"/>
                <w:sz w:val="24"/>
                <w:lang w:val="ru-RU"/>
              </w:rPr>
              <w:t>Условия договора</w:t>
            </w:r>
          </w:p>
        </w:tc>
        <w:tc>
          <w:tcPr>
            <w:tcW w:w="3685" w:type="dxa"/>
          </w:tcPr>
          <w:p w:rsidR="009E5EE5" w:rsidRPr="009E5EE5" w:rsidRDefault="00C57420" w:rsidP="009E5EE5">
            <w:pPr>
              <w:ind w:firstLine="0"/>
              <w:rPr>
                <w:color w:val="000000" w:themeColor="text1"/>
                <w:sz w:val="24"/>
                <w:lang w:val="ru-RU"/>
              </w:rPr>
            </w:pPr>
            <w:r w:rsidRPr="00C57420">
              <w:rPr>
                <w:color w:val="000000" w:themeColor="text1"/>
                <w:sz w:val="24"/>
                <w:lang w:val="ru-RU"/>
              </w:rPr>
              <w:t>Договарив</w:t>
            </w:r>
            <w:r w:rsidR="00280F3F">
              <w:rPr>
                <w:color w:val="000000" w:themeColor="text1"/>
                <w:sz w:val="24"/>
                <w:lang w:val="ru-RU"/>
              </w:rPr>
              <w:t>ается непосредственно сторонами</w:t>
            </w:r>
          </w:p>
        </w:tc>
        <w:tc>
          <w:tcPr>
            <w:tcW w:w="3685" w:type="dxa"/>
          </w:tcPr>
          <w:p w:rsidR="009E5EE5" w:rsidRPr="009E5EE5" w:rsidRDefault="00280F3F" w:rsidP="009E5EE5">
            <w:pPr>
              <w:ind w:firstLine="0"/>
              <w:rPr>
                <w:color w:val="000000" w:themeColor="text1"/>
                <w:sz w:val="24"/>
                <w:lang w:val="ru-RU"/>
              </w:rPr>
            </w:pPr>
            <w:r w:rsidRPr="00280F3F">
              <w:rPr>
                <w:color w:val="000000" w:themeColor="text1"/>
                <w:sz w:val="24"/>
                <w:lang w:val="ru-RU"/>
              </w:rPr>
              <w:t>Унифицирова</w:t>
            </w:r>
            <w:r>
              <w:rPr>
                <w:color w:val="000000" w:themeColor="text1"/>
                <w:sz w:val="24"/>
                <w:lang w:val="ru-RU"/>
              </w:rPr>
              <w:t>но, установлено фондовой биржей</w:t>
            </w:r>
          </w:p>
        </w:tc>
      </w:tr>
      <w:tr w:rsidR="009E5EE5" w:rsidRPr="009E5EE5" w:rsidTr="00280F3F">
        <w:tc>
          <w:tcPr>
            <w:tcW w:w="2405" w:type="dxa"/>
          </w:tcPr>
          <w:p w:rsidR="009E5EE5" w:rsidRPr="009E5EE5" w:rsidRDefault="00DF1DA5" w:rsidP="009E5EE5">
            <w:pPr>
              <w:ind w:firstLine="0"/>
              <w:rPr>
                <w:color w:val="000000" w:themeColor="text1"/>
                <w:sz w:val="24"/>
                <w:lang w:val="ru-RU"/>
              </w:rPr>
            </w:pPr>
            <w:r w:rsidRPr="00DF1DA5">
              <w:rPr>
                <w:color w:val="000000" w:themeColor="text1"/>
                <w:sz w:val="24"/>
                <w:lang w:val="ru-RU"/>
              </w:rPr>
              <w:t>2. Место сделки</w:t>
            </w:r>
          </w:p>
        </w:tc>
        <w:tc>
          <w:tcPr>
            <w:tcW w:w="3685" w:type="dxa"/>
          </w:tcPr>
          <w:p w:rsidR="009E5EE5" w:rsidRPr="009E5EE5" w:rsidRDefault="00280F3F" w:rsidP="009E5EE5">
            <w:pPr>
              <w:ind w:firstLine="0"/>
              <w:rPr>
                <w:color w:val="000000" w:themeColor="text1"/>
                <w:sz w:val="24"/>
                <w:lang w:val="ru-RU"/>
              </w:rPr>
            </w:pPr>
            <w:r w:rsidRPr="00280F3F">
              <w:rPr>
                <w:color w:val="000000" w:themeColor="text1"/>
                <w:sz w:val="24"/>
                <w:lang w:val="ru-RU"/>
              </w:rPr>
              <w:t xml:space="preserve">По телефону, общение или </w:t>
            </w:r>
            <w:r>
              <w:rPr>
                <w:color w:val="000000" w:themeColor="text1"/>
                <w:sz w:val="24"/>
                <w:lang w:val="ru-RU"/>
              </w:rPr>
              <w:t>непосредственно между сторонами</w:t>
            </w:r>
          </w:p>
        </w:tc>
        <w:tc>
          <w:tcPr>
            <w:tcW w:w="3685" w:type="dxa"/>
          </w:tcPr>
          <w:p w:rsidR="009E5EE5" w:rsidRPr="009E5EE5" w:rsidRDefault="00280F3F" w:rsidP="009E5EE5">
            <w:pPr>
              <w:ind w:firstLine="0"/>
              <w:rPr>
                <w:color w:val="000000" w:themeColor="text1"/>
                <w:sz w:val="24"/>
                <w:lang w:val="ru-RU"/>
              </w:rPr>
            </w:pPr>
            <w:r>
              <w:rPr>
                <w:color w:val="000000" w:themeColor="text1"/>
                <w:sz w:val="24"/>
                <w:lang w:val="ru-RU"/>
              </w:rPr>
              <w:t>Фондовая биржа</w:t>
            </w:r>
          </w:p>
        </w:tc>
      </w:tr>
      <w:tr w:rsidR="009E5EE5" w:rsidRPr="009E5EE5" w:rsidTr="00280F3F">
        <w:tc>
          <w:tcPr>
            <w:tcW w:w="2405" w:type="dxa"/>
          </w:tcPr>
          <w:p w:rsidR="009E5EE5" w:rsidRPr="009E5EE5" w:rsidRDefault="00DF1DA5" w:rsidP="009E5EE5">
            <w:pPr>
              <w:ind w:firstLine="0"/>
              <w:rPr>
                <w:color w:val="000000" w:themeColor="text1"/>
                <w:sz w:val="24"/>
                <w:lang w:val="ru-RU"/>
              </w:rPr>
            </w:pPr>
            <w:r w:rsidRPr="00DF1DA5">
              <w:rPr>
                <w:color w:val="000000" w:themeColor="text1"/>
                <w:sz w:val="24"/>
                <w:lang w:val="ru-RU"/>
              </w:rPr>
              <w:t>3. Переговоры</w:t>
            </w:r>
          </w:p>
        </w:tc>
        <w:tc>
          <w:tcPr>
            <w:tcW w:w="3685" w:type="dxa"/>
          </w:tcPr>
          <w:p w:rsidR="009E5EE5" w:rsidRPr="009E5EE5" w:rsidRDefault="00280F3F" w:rsidP="009E5EE5">
            <w:pPr>
              <w:ind w:firstLine="0"/>
              <w:rPr>
                <w:color w:val="000000" w:themeColor="text1"/>
                <w:sz w:val="24"/>
                <w:lang w:val="ru-RU"/>
              </w:rPr>
            </w:pPr>
            <w:r w:rsidRPr="00280F3F">
              <w:rPr>
                <w:color w:val="000000" w:themeColor="text1"/>
                <w:sz w:val="24"/>
                <w:lang w:val="ru-RU"/>
              </w:rPr>
              <w:t>Пря</w:t>
            </w:r>
            <w:r>
              <w:rPr>
                <w:color w:val="000000" w:themeColor="text1"/>
                <w:sz w:val="24"/>
                <w:lang w:val="ru-RU"/>
              </w:rPr>
              <w:t>мо, это довольно сложный процесс</w:t>
            </w:r>
          </w:p>
        </w:tc>
        <w:tc>
          <w:tcPr>
            <w:tcW w:w="3685" w:type="dxa"/>
          </w:tcPr>
          <w:p w:rsidR="009E5EE5" w:rsidRPr="009E5EE5" w:rsidRDefault="00714BF4" w:rsidP="009E5EE5">
            <w:pPr>
              <w:ind w:firstLine="0"/>
              <w:rPr>
                <w:color w:val="000000" w:themeColor="text1"/>
                <w:sz w:val="24"/>
                <w:lang w:val="ru-RU"/>
              </w:rPr>
            </w:pPr>
            <w:r>
              <w:rPr>
                <w:color w:val="000000" w:themeColor="text1"/>
                <w:sz w:val="24"/>
                <w:lang w:val="ru-RU"/>
              </w:rPr>
              <w:t>Специализированными брокерами</w:t>
            </w:r>
          </w:p>
        </w:tc>
      </w:tr>
      <w:tr w:rsidR="009E5EE5" w:rsidRPr="009E5EE5" w:rsidTr="00280F3F">
        <w:tc>
          <w:tcPr>
            <w:tcW w:w="2405" w:type="dxa"/>
          </w:tcPr>
          <w:p w:rsidR="009E5EE5" w:rsidRPr="009E5EE5" w:rsidRDefault="00DF1DA5" w:rsidP="009E5EE5">
            <w:pPr>
              <w:ind w:firstLine="0"/>
              <w:rPr>
                <w:color w:val="000000" w:themeColor="text1"/>
                <w:sz w:val="24"/>
                <w:lang w:val="ru-RU"/>
              </w:rPr>
            </w:pPr>
            <w:r w:rsidRPr="00DF1DA5">
              <w:rPr>
                <w:color w:val="000000" w:themeColor="text1"/>
                <w:sz w:val="24"/>
                <w:lang w:val="ru-RU"/>
              </w:rPr>
              <w:lastRenderedPageBreak/>
              <w:t>4. Залог</w:t>
            </w:r>
          </w:p>
        </w:tc>
        <w:tc>
          <w:tcPr>
            <w:tcW w:w="3685" w:type="dxa"/>
          </w:tcPr>
          <w:p w:rsidR="009E5EE5" w:rsidRPr="009E5EE5" w:rsidRDefault="00714BF4" w:rsidP="009E5EE5">
            <w:pPr>
              <w:ind w:firstLine="0"/>
              <w:rPr>
                <w:color w:val="000000" w:themeColor="text1"/>
                <w:sz w:val="24"/>
                <w:lang w:val="ru-RU"/>
              </w:rPr>
            </w:pPr>
            <w:r>
              <w:rPr>
                <w:color w:val="000000" w:themeColor="text1"/>
                <w:sz w:val="24"/>
                <w:lang w:val="ru-RU"/>
              </w:rPr>
              <w:t>Залог, установленный банком</w:t>
            </w:r>
          </w:p>
        </w:tc>
        <w:tc>
          <w:tcPr>
            <w:tcW w:w="3685" w:type="dxa"/>
          </w:tcPr>
          <w:p w:rsidR="009E5EE5" w:rsidRPr="009E5EE5" w:rsidRDefault="00714BF4" w:rsidP="009E5EE5">
            <w:pPr>
              <w:ind w:firstLine="0"/>
              <w:rPr>
                <w:color w:val="000000" w:themeColor="text1"/>
                <w:sz w:val="24"/>
                <w:lang w:val="ru-RU"/>
              </w:rPr>
            </w:pPr>
            <w:r w:rsidRPr="00714BF4">
              <w:rPr>
                <w:color w:val="000000" w:themeColor="text1"/>
                <w:sz w:val="24"/>
                <w:lang w:val="ru-RU"/>
              </w:rPr>
              <w:t>Маржина</w:t>
            </w:r>
            <w:r>
              <w:rPr>
                <w:color w:val="000000" w:themeColor="text1"/>
                <w:sz w:val="24"/>
                <w:lang w:val="ru-RU"/>
              </w:rPr>
              <w:t>льные депозиты</w:t>
            </w:r>
          </w:p>
        </w:tc>
      </w:tr>
      <w:tr w:rsidR="009E5EE5" w:rsidRPr="007474F8" w:rsidTr="00280F3F">
        <w:tc>
          <w:tcPr>
            <w:tcW w:w="2405" w:type="dxa"/>
          </w:tcPr>
          <w:p w:rsidR="009E5EE5" w:rsidRPr="009E5EE5" w:rsidRDefault="00C57420" w:rsidP="009E5EE5">
            <w:pPr>
              <w:ind w:firstLine="0"/>
              <w:rPr>
                <w:color w:val="000000" w:themeColor="text1"/>
                <w:sz w:val="24"/>
                <w:lang w:val="ru-RU"/>
              </w:rPr>
            </w:pPr>
            <w:r w:rsidRPr="00C57420">
              <w:rPr>
                <w:color w:val="000000" w:themeColor="text1"/>
                <w:sz w:val="24"/>
                <w:lang w:val="ru-RU"/>
              </w:rPr>
              <w:t>5. Комиссии</w:t>
            </w:r>
          </w:p>
        </w:tc>
        <w:tc>
          <w:tcPr>
            <w:tcW w:w="3685" w:type="dxa"/>
          </w:tcPr>
          <w:p w:rsidR="009E5EE5" w:rsidRPr="009E5EE5" w:rsidRDefault="00714BF4" w:rsidP="009E5EE5">
            <w:pPr>
              <w:ind w:firstLine="0"/>
              <w:rPr>
                <w:color w:val="000000" w:themeColor="text1"/>
                <w:sz w:val="24"/>
                <w:lang w:val="ru-RU"/>
              </w:rPr>
            </w:pPr>
            <w:r w:rsidRPr="00714BF4">
              <w:rPr>
                <w:color w:val="000000" w:themeColor="text1"/>
                <w:sz w:val="24"/>
                <w:lang w:val="ru-RU"/>
              </w:rPr>
              <w:t>Обычно включены в цену и имеют фиксированные значения</w:t>
            </w:r>
          </w:p>
        </w:tc>
        <w:tc>
          <w:tcPr>
            <w:tcW w:w="3685" w:type="dxa"/>
          </w:tcPr>
          <w:p w:rsidR="009E5EE5" w:rsidRPr="009E5EE5" w:rsidRDefault="007F2F45" w:rsidP="009E5EE5">
            <w:pPr>
              <w:ind w:firstLine="0"/>
              <w:rPr>
                <w:color w:val="000000" w:themeColor="text1"/>
                <w:sz w:val="24"/>
                <w:lang w:val="ru-RU"/>
              </w:rPr>
            </w:pPr>
            <w:r w:rsidRPr="007F2F45">
              <w:rPr>
                <w:color w:val="000000" w:themeColor="text1"/>
                <w:sz w:val="24"/>
                <w:lang w:val="ru-RU"/>
              </w:rPr>
              <w:t>Фиксированные комиссии для небольших сумм и безоговорочные для больших сумм.</w:t>
            </w:r>
          </w:p>
        </w:tc>
      </w:tr>
      <w:tr w:rsidR="009E5EE5" w:rsidRPr="007474F8" w:rsidTr="00280F3F">
        <w:tc>
          <w:tcPr>
            <w:tcW w:w="2405" w:type="dxa"/>
          </w:tcPr>
          <w:p w:rsidR="009E5EE5" w:rsidRPr="009E5EE5" w:rsidRDefault="00C57420" w:rsidP="00C57420">
            <w:pPr>
              <w:ind w:firstLine="0"/>
              <w:rPr>
                <w:color w:val="000000" w:themeColor="text1"/>
                <w:sz w:val="24"/>
                <w:lang w:val="ru-RU"/>
              </w:rPr>
            </w:pPr>
            <w:r w:rsidRPr="00C57420">
              <w:rPr>
                <w:color w:val="000000" w:themeColor="text1"/>
                <w:sz w:val="24"/>
                <w:lang w:val="ru-RU"/>
              </w:rPr>
              <w:t xml:space="preserve">6. </w:t>
            </w:r>
            <w:r>
              <w:rPr>
                <w:color w:val="000000" w:themeColor="text1"/>
                <w:sz w:val="24"/>
                <w:lang w:val="ru-RU"/>
              </w:rPr>
              <w:t>Д</w:t>
            </w:r>
            <w:r w:rsidRPr="00C57420">
              <w:rPr>
                <w:color w:val="000000" w:themeColor="text1"/>
                <w:sz w:val="24"/>
                <w:lang w:val="ru-RU"/>
              </w:rPr>
              <w:t>енежный поток</w:t>
            </w:r>
          </w:p>
        </w:tc>
        <w:tc>
          <w:tcPr>
            <w:tcW w:w="3685" w:type="dxa"/>
          </w:tcPr>
          <w:p w:rsidR="009E5EE5" w:rsidRPr="009E5EE5" w:rsidRDefault="003D03D9" w:rsidP="009E5EE5">
            <w:pPr>
              <w:ind w:firstLine="0"/>
              <w:rPr>
                <w:color w:val="000000" w:themeColor="text1"/>
                <w:sz w:val="24"/>
                <w:lang w:val="ru-RU"/>
              </w:rPr>
            </w:pPr>
            <w:r w:rsidRPr="003D03D9">
              <w:rPr>
                <w:color w:val="000000" w:themeColor="text1"/>
                <w:sz w:val="24"/>
                <w:lang w:val="ru-RU"/>
              </w:rPr>
              <w:t>Выплаты производятся в день погашения. Редко аванс оплачивается покупателем.</w:t>
            </w:r>
          </w:p>
        </w:tc>
        <w:tc>
          <w:tcPr>
            <w:tcW w:w="3685" w:type="dxa"/>
          </w:tcPr>
          <w:p w:rsidR="009E5EE5" w:rsidRPr="009E5EE5" w:rsidRDefault="003D03D9" w:rsidP="009E5EE5">
            <w:pPr>
              <w:ind w:firstLine="0"/>
              <w:rPr>
                <w:color w:val="000000" w:themeColor="text1"/>
                <w:sz w:val="24"/>
                <w:lang w:val="ru-RU"/>
              </w:rPr>
            </w:pPr>
            <w:r w:rsidRPr="003D03D9">
              <w:rPr>
                <w:color w:val="000000" w:themeColor="text1"/>
                <w:sz w:val="24"/>
                <w:lang w:val="ru-RU"/>
              </w:rPr>
              <w:t>Ежедневно на счете обеспечения регистрируется прибыль или убыток.</w:t>
            </w:r>
          </w:p>
        </w:tc>
      </w:tr>
      <w:tr w:rsidR="00C57420" w:rsidRPr="009E5EE5" w:rsidTr="00280F3F">
        <w:tc>
          <w:tcPr>
            <w:tcW w:w="2405" w:type="dxa"/>
          </w:tcPr>
          <w:p w:rsidR="00C57420" w:rsidRPr="00C57420" w:rsidRDefault="00C57420" w:rsidP="00C57420">
            <w:pPr>
              <w:ind w:firstLine="0"/>
              <w:rPr>
                <w:color w:val="000000" w:themeColor="text1"/>
                <w:sz w:val="24"/>
                <w:lang w:val="ru-RU"/>
              </w:rPr>
            </w:pPr>
            <w:r w:rsidRPr="00C57420">
              <w:rPr>
                <w:color w:val="000000" w:themeColor="text1"/>
                <w:sz w:val="24"/>
                <w:lang w:val="ru-RU"/>
              </w:rPr>
              <w:t>7. Ликвидность</w:t>
            </w:r>
          </w:p>
        </w:tc>
        <w:tc>
          <w:tcPr>
            <w:tcW w:w="3685" w:type="dxa"/>
          </w:tcPr>
          <w:p w:rsidR="00C57420" w:rsidRPr="009E5EE5" w:rsidRDefault="003D03D9" w:rsidP="009E5EE5">
            <w:pPr>
              <w:ind w:firstLine="0"/>
              <w:rPr>
                <w:color w:val="000000" w:themeColor="text1"/>
                <w:sz w:val="24"/>
                <w:lang w:val="ru-RU"/>
              </w:rPr>
            </w:pPr>
            <w:r w:rsidRPr="003D03D9">
              <w:rPr>
                <w:color w:val="000000" w:themeColor="text1"/>
                <w:sz w:val="24"/>
                <w:lang w:val="ru-RU"/>
              </w:rPr>
              <w:t>Это обеспечивается кредитными лимитами, установленными банком.</w:t>
            </w:r>
          </w:p>
        </w:tc>
        <w:tc>
          <w:tcPr>
            <w:tcW w:w="3685" w:type="dxa"/>
          </w:tcPr>
          <w:p w:rsidR="00C57420" w:rsidRPr="009E5EE5" w:rsidRDefault="003D03D9" w:rsidP="009E5EE5">
            <w:pPr>
              <w:ind w:firstLine="0"/>
              <w:rPr>
                <w:color w:val="000000" w:themeColor="text1"/>
                <w:sz w:val="24"/>
                <w:lang w:val="ru-RU"/>
              </w:rPr>
            </w:pPr>
            <w:r w:rsidRPr="003D03D9">
              <w:rPr>
                <w:color w:val="000000" w:themeColor="text1"/>
                <w:sz w:val="24"/>
                <w:lang w:val="ru-RU"/>
              </w:rPr>
              <w:t>Это обеспечивается маржинальным депозитом.</w:t>
            </w:r>
          </w:p>
        </w:tc>
      </w:tr>
      <w:tr w:rsidR="00C57420" w:rsidRPr="007474F8" w:rsidTr="00280F3F">
        <w:tc>
          <w:tcPr>
            <w:tcW w:w="2405" w:type="dxa"/>
          </w:tcPr>
          <w:p w:rsidR="00C57420" w:rsidRPr="00C57420" w:rsidRDefault="00C57420" w:rsidP="00C57420">
            <w:pPr>
              <w:ind w:firstLine="0"/>
              <w:rPr>
                <w:color w:val="000000" w:themeColor="text1"/>
                <w:sz w:val="24"/>
                <w:lang w:val="ru-RU"/>
              </w:rPr>
            </w:pPr>
            <w:r w:rsidRPr="00C57420">
              <w:rPr>
                <w:color w:val="000000" w:themeColor="text1"/>
                <w:sz w:val="24"/>
                <w:lang w:val="ru-RU"/>
              </w:rPr>
              <w:t>8. Прекращение</w:t>
            </w:r>
          </w:p>
        </w:tc>
        <w:tc>
          <w:tcPr>
            <w:tcW w:w="3685" w:type="dxa"/>
          </w:tcPr>
          <w:p w:rsidR="00C57420" w:rsidRPr="009E5EE5" w:rsidRDefault="00B730DB" w:rsidP="009E5EE5">
            <w:pPr>
              <w:ind w:firstLine="0"/>
              <w:rPr>
                <w:color w:val="000000" w:themeColor="text1"/>
                <w:sz w:val="24"/>
                <w:lang w:val="ru-RU"/>
              </w:rPr>
            </w:pPr>
            <w:r w:rsidRPr="00B730DB">
              <w:rPr>
                <w:color w:val="000000" w:themeColor="text1"/>
                <w:sz w:val="24"/>
                <w:lang w:val="ru-RU"/>
              </w:rPr>
              <w:t>Сложно, только с согласия партнера, как правило, путем возмещения убытков.</w:t>
            </w:r>
          </w:p>
        </w:tc>
        <w:tc>
          <w:tcPr>
            <w:tcW w:w="3685" w:type="dxa"/>
          </w:tcPr>
          <w:p w:rsidR="00C57420" w:rsidRPr="009E5EE5" w:rsidRDefault="00B730DB" w:rsidP="009E5EE5">
            <w:pPr>
              <w:ind w:firstLine="0"/>
              <w:rPr>
                <w:color w:val="000000" w:themeColor="text1"/>
                <w:sz w:val="24"/>
                <w:lang w:val="ru-RU"/>
              </w:rPr>
            </w:pPr>
            <w:r w:rsidRPr="00B730DB">
              <w:rPr>
                <w:color w:val="000000" w:themeColor="text1"/>
                <w:sz w:val="24"/>
                <w:lang w:val="ru-RU"/>
              </w:rPr>
              <w:t>Исключительно сложно, заключив противоположную сделку.</w:t>
            </w:r>
          </w:p>
        </w:tc>
      </w:tr>
      <w:tr w:rsidR="00C57420" w:rsidRPr="009E5EE5" w:rsidTr="00280F3F">
        <w:tc>
          <w:tcPr>
            <w:tcW w:w="2405" w:type="dxa"/>
          </w:tcPr>
          <w:p w:rsidR="00C57420" w:rsidRPr="00C57420" w:rsidRDefault="00C57420" w:rsidP="00C57420">
            <w:pPr>
              <w:ind w:firstLine="0"/>
              <w:rPr>
                <w:color w:val="000000" w:themeColor="text1"/>
                <w:sz w:val="24"/>
                <w:lang w:val="ru-RU"/>
              </w:rPr>
            </w:pPr>
            <w:r w:rsidRPr="00C57420">
              <w:rPr>
                <w:color w:val="000000" w:themeColor="text1"/>
                <w:sz w:val="24"/>
                <w:lang w:val="ru-RU"/>
              </w:rPr>
              <w:t>9. Регулирование</w:t>
            </w:r>
          </w:p>
        </w:tc>
        <w:tc>
          <w:tcPr>
            <w:tcW w:w="3685" w:type="dxa"/>
          </w:tcPr>
          <w:p w:rsidR="00C57420" w:rsidRPr="009E5EE5" w:rsidRDefault="00B730DB" w:rsidP="009E5EE5">
            <w:pPr>
              <w:ind w:firstLine="0"/>
              <w:rPr>
                <w:color w:val="000000" w:themeColor="text1"/>
                <w:sz w:val="24"/>
                <w:lang w:val="ru-RU"/>
              </w:rPr>
            </w:pPr>
            <w:r w:rsidRPr="00B730DB">
              <w:rPr>
                <w:color w:val="000000" w:themeColor="text1"/>
                <w:sz w:val="24"/>
                <w:lang w:val="ru-RU"/>
              </w:rPr>
              <w:t>Коммерческие законы</w:t>
            </w:r>
          </w:p>
        </w:tc>
        <w:tc>
          <w:tcPr>
            <w:tcW w:w="3685" w:type="dxa"/>
          </w:tcPr>
          <w:p w:rsidR="00C57420" w:rsidRPr="009E5EE5" w:rsidRDefault="00B730DB" w:rsidP="009E5EE5">
            <w:pPr>
              <w:ind w:firstLine="0"/>
              <w:rPr>
                <w:color w:val="000000" w:themeColor="text1"/>
                <w:sz w:val="24"/>
                <w:lang w:val="ru-RU"/>
              </w:rPr>
            </w:pPr>
            <w:r w:rsidRPr="00B730DB">
              <w:rPr>
                <w:color w:val="000000" w:themeColor="text1"/>
                <w:sz w:val="24"/>
                <w:lang w:val="ru-RU"/>
              </w:rPr>
              <w:t>Особые законы</w:t>
            </w:r>
          </w:p>
        </w:tc>
      </w:tr>
      <w:tr w:rsidR="009E5EE5" w:rsidRPr="009E5EE5" w:rsidTr="00280F3F">
        <w:tc>
          <w:tcPr>
            <w:tcW w:w="2405" w:type="dxa"/>
          </w:tcPr>
          <w:p w:rsidR="009E5EE5" w:rsidRPr="009E5EE5" w:rsidRDefault="00C57420" w:rsidP="009E5EE5">
            <w:pPr>
              <w:ind w:firstLine="0"/>
              <w:rPr>
                <w:color w:val="000000" w:themeColor="text1"/>
                <w:sz w:val="24"/>
                <w:lang w:val="ru-RU"/>
              </w:rPr>
            </w:pPr>
            <w:r w:rsidRPr="00C57420">
              <w:rPr>
                <w:color w:val="000000" w:themeColor="text1"/>
                <w:sz w:val="24"/>
                <w:lang w:val="ru-RU"/>
              </w:rPr>
              <w:t>10. Частота доставки</w:t>
            </w:r>
          </w:p>
        </w:tc>
        <w:tc>
          <w:tcPr>
            <w:tcW w:w="3685" w:type="dxa"/>
          </w:tcPr>
          <w:p w:rsidR="009E5EE5" w:rsidRPr="009E5EE5" w:rsidRDefault="00B730DB" w:rsidP="009E5EE5">
            <w:pPr>
              <w:ind w:firstLine="0"/>
              <w:rPr>
                <w:color w:val="000000" w:themeColor="text1"/>
                <w:sz w:val="24"/>
                <w:lang w:val="ru-RU"/>
              </w:rPr>
            </w:pPr>
            <w:r>
              <w:rPr>
                <w:color w:val="000000" w:themeColor="text1"/>
                <w:sz w:val="24"/>
                <w:lang w:val="ru-RU"/>
              </w:rPr>
              <w:t>Очень высокая</w:t>
            </w:r>
          </w:p>
        </w:tc>
        <w:tc>
          <w:tcPr>
            <w:tcW w:w="3685" w:type="dxa"/>
          </w:tcPr>
          <w:p w:rsidR="009E5EE5" w:rsidRPr="009E5EE5" w:rsidRDefault="00B730DB" w:rsidP="009E5EE5">
            <w:pPr>
              <w:ind w:firstLine="0"/>
              <w:rPr>
                <w:color w:val="000000" w:themeColor="text1"/>
                <w:sz w:val="24"/>
                <w:lang w:val="ru-RU"/>
              </w:rPr>
            </w:pPr>
            <w:r>
              <w:rPr>
                <w:color w:val="000000" w:themeColor="text1"/>
                <w:sz w:val="24"/>
                <w:lang w:val="ru-RU"/>
              </w:rPr>
              <w:t>Очень низкая</w:t>
            </w:r>
          </w:p>
        </w:tc>
      </w:tr>
    </w:tbl>
    <w:p w:rsidR="009E5EE5" w:rsidRDefault="00B729FD" w:rsidP="00B729FD">
      <w:pPr>
        <w:spacing w:before="120"/>
        <w:rPr>
          <w:color w:val="000000" w:themeColor="text1"/>
          <w:lang w:val="ru-RU"/>
        </w:rPr>
      </w:pPr>
      <w:r w:rsidRPr="00B729FD">
        <w:rPr>
          <w:color w:val="000000" w:themeColor="text1"/>
          <w:lang w:val="ru-RU"/>
        </w:rPr>
        <w:t>На рынке фьючерсных контрактов в иностранной валюте тот, кто имеет позицию покупателя, зарабатывает, пока растет фьючерсный курс, имея возможность продавать лучше то, что он изначально купил дешевле. Тот, кто имеет позицию продавца, зарабатывает до тех пор, пока снижается фьючерсная цена, имея возможность покупать дешевле того, что он изначально много продал.</w:t>
      </w:r>
    </w:p>
    <w:p w:rsidR="00B729FD" w:rsidRDefault="00B729FD" w:rsidP="00B729FD">
      <w:pPr>
        <w:rPr>
          <w:color w:val="000000" w:themeColor="text1"/>
          <w:lang w:val="ru-RU"/>
        </w:rPr>
      </w:pPr>
      <w:r w:rsidRPr="00B729FD">
        <w:rPr>
          <w:color w:val="000000" w:themeColor="text1"/>
          <w:lang w:val="ru-RU"/>
        </w:rPr>
        <w:t>Как и в случае с форвардными контрактами, с фьючерс</w:t>
      </w:r>
      <w:r w:rsidR="002A37C4">
        <w:rPr>
          <w:color w:val="000000" w:themeColor="text1"/>
          <w:lang w:val="ru-RU"/>
        </w:rPr>
        <w:t>ны</w:t>
      </w:r>
      <w:r w:rsidRPr="00B729FD">
        <w:rPr>
          <w:color w:val="000000" w:themeColor="text1"/>
          <w:lang w:val="ru-RU"/>
        </w:rPr>
        <w:t xml:space="preserve">ми также </w:t>
      </w:r>
      <w:r w:rsidR="002A37C4">
        <w:rPr>
          <w:color w:val="000000" w:themeColor="text1"/>
          <w:lang w:val="ru-RU"/>
        </w:rPr>
        <w:t>убытк</w:t>
      </w:r>
      <w:r w:rsidRPr="00B729FD">
        <w:rPr>
          <w:color w:val="000000" w:themeColor="text1"/>
          <w:lang w:val="ru-RU"/>
        </w:rPr>
        <w:t xml:space="preserve">и и прибыли неограниченны, когда </w:t>
      </w:r>
      <w:r w:rsidR="002A37C4" w:rsidRPr="00B729FD">
        <w:rPr>
          <w:color w:val="000000" w:themeColor="text1"/>
          <w:lang w:val="ru-RU"/>
        </w:rPr>
        <w:t>фьючерс</w:t>
      </w:r>
      <w:r w:rsidR="002A37C4">
        <w:rPr>
          <w:color w:val="000000" w:themeColor="text1"/>
          <w:lang w:val="ru-RU"/>
        </w:rPr>
        <w:t xml:space="preserve">ная </w:t>
      </w:r>
      <w:r w:rsidRPr="00B729FD">
        <w:rPr>
          <w:color w:val="000000" w:themeColor="text1"/>
          <w:lang w:val="ru-RU"/>
        </w:rPr>
        <w:t>цена изменяется со временем.</w:t>
      </w:r>
    </w:p>
    <w:p w:rsidR="002A37C4" w:rsidRDefault="002A37C4" w:rsidP="00B729FD">
      <w:pPr>
        <w:rPr>
          <w:color w:val="000000" w:themeColor="text1"/>
          <w:lang w:val="ru-RU"/>
        </w:rPr>
      </w:pPr>
      <w:r w:rsidRPr="002A37C4">
        <w:rPr>
          <w:color w:val="000000" w:themeColor="text1"/>
          <w:lang w:val="ru-RU"/>
        </w:rPr>
        <w:t>По-видимому, нет прямой связи между фьючерсным рынком и валютным рынком.</w:t>
      </w:r>
      <w:r w:rsidRPr="002A37C4">
        <w:rPr>
          <w:lang w:val="ru-RU"/>
        </w:rPr>
        <w:t xml:space="preserve"> </w:t>
      </w:r>
      <w:r w:rsidRPr="002A37C4">
        <w:rPr>
          <w:color w:val="000000" w:themeColor="text1"/>
          <w:lang w:val="ru-RU"/>
        </w:rPr>
        <w:t>Связь между этими двумя рынками определяется тем фактом, что на дату погашения фьючерсных контрактов в валюте они очищаются по спот</w:t>
      </w:r>
      <w:r>
        <w:rPr>
          <w:color w:val="000000" w:themeColor="text1"/>
          <w:lang w:val="ru-RU"/>
        </w:rPr>
        <w:t>-</w:t>
      </w:r>
      <w:r w:rsidRPr="002A37C4">
        <w:rPr>
          <w:color w:val="000000" w:themeColor="text1"/>
          <w:lang w:val="ru-RU"/>
        </w:rPr>
        <w:t>курсу того дня, когда фьючерсный контракт подлежит исполнению.</w:t>
      </w:r>
      <w:r w:rsidR="00E74446" w:rsidRPr="00E74446">
        <w:rPr>
          <w:lang w:val="ru-RU"/>
        </w:rPr>
        <w:t xml:space="preserve"> </w:t>
      </w:r>
      <w:r w:rsidR="00E74446" w:rsidRPr="00E74446">
        <w:rPr>
          <w:color w:val="000000" w:themeColor="text1"/>
          <w:lang w:val="ru-RU"/>
        </w:rPr>
        <w:t xml:space="preserve">Таким образом, две цены развиваются параллельно, и, таким образом, импортер, который должен оплатить импорт в </w:t>
      </w:r>
      <w:r w:rsidR="00BE5680">
        <w:rPr>
          <w:color w:val="000000" w:themeColor="text1"/>
          <w:lang w:val="ru-RU"/>
        </w:rPr>
        <w:t xml:space="preserve">определенное </w:t>
      </w:r>
      <w:r w:rsidR="00E74446" w:rsidRPr="00E74446">
        <w:rPr>
          <w:color w:val="000000" w:themeColor="text1"/>
          <w:lang w:val="ru-RU"/>
        </w:rPr>
        <w:t xml:space="preserve">течение </w:t>
      </w:r>
      <w:r w:rsidR="00BE5680">
        <w:rPr>
          <w:color w:val="000000" w:themeColor="text1"/>
          <w:lang w:val="ru-RU"/>
        </w:rPr>
        <w:t xml:space="preserve">время </w:t>
      </w:r>
      <w:r w:rsidR="00E74446" w:rsidRPr="00E74446">
        <w:rPr>
          <w:color w:val="000000" w:themeColor="text1"/>
          <w:lang w:val="ru-RU"/>
        </w:rPr>
        <w:t xml:space="preserve">и который боится, что </w:t>
      </w:r>
      <w:r w:rsidR="00E74446">
        <w:rPr>
          <w:color w:val="000000" w:themeColor="text1"/>
          <w:lang w:val="ru-RU"/>
        </w:rPr>
        <w:t>валют</w:t>
      </w:r>
      <w:r w:rsidR="00E74446" w:rsidRPr="00E74446">
        <w:rPr>
          <w:color w:val="000000" w:themeColor="text1"/>
          <w:lang w:val="ru-RU"/>
        </w:rPr>
        <w:t>ный курс может вырасти, занимает позицию покупателя, ожидая его повышения.</w:t>
      </w:r>
      <w:r w:rsidR="00E74446" w:rsidRPr="00E74446">
        <w:rPr>
          <w:lang w:val="ru-RU"/>
        </w:rPr>
        <w:t xml:space="preserve"> </w:t>
      </w:r>
      <w:r w:rsidR="00E74446" w:rsidRPr="00E74446">
        <w:rPr>
          <w:color w:val="000000" w:themeColor="text1"/>
          <w:lang w:val="ru-RU"/>
        </w:rPr>
        <w:t>Чем больше мы приближаемся к последнему операционному дню, тем больше уменьшается расстояние между фьючерсом и спотом.</w:t>
      </w:r>
    </w:p>
    <w:p w:rsidR="00535DD4" w:rsidRDefault="00535DD4" w:rsidP="00B729FD">
      <w:pPr>
        <w:rPr>
          <w:color w:val="000000" w:themeColor="text1"/>
          <w:lang w:val="ru-RU"/>
        </w:rPr>
      </w:pPr>
      <w:r w:rsidRPr="00535DD4">
        <w:rPr>
          <w:color w:val="000000" w:themeColor="text1"/>
          <w:lang w:val="ru-RU"/>
        </w:rPr>
        <w:t xml:space="preserve">Покрытие валютного риска с использованием фьючерсных контрактов в валюте подразумевает позицию на этом рынке в соответствии с позицией, </w:t>
      </w:r>
      <w:r w:rsidRPr="00535DD4">
        <w:rPr>
          <w:color w:val="000000" w:themeColor="text1"/>
          <w:lang w:val="ru-RU"/>
        </w:rPr>
        <w:lastRenderedPageBreak/>
        <w:t>которую вы имели в импортно-экспортном контракте, а также в</w:t>
      </w:r>
      <w:r>
        <w:rPr>
          <w:color w:val="000000" w:themeColor="text1"/>
          <w:lang w:val="ru-RU"/>
        </w:rPr>
        <w:t xml:space="preserve"> соответствии с моментом оплаты (Таблица 2).</w:t>
      </w:r>
    </w:p>
    <w:p w:rsidR="00535DD4" w:rsidRDefault="002F3FC6" w:rsidP="009C5DA9">
      <w:pPr>
        <w:ind w:firstLine="0"/>
        <w:jc w:val="center"/>
        <w:rPr>
          <w:color w:val="000000" w:themeColor="text1"/>
          <w:sz w:val="24"/>
          <w:lang w:val="ru-RU"/>
        </w:rPr>
      </w:pPr>
      <w:r w:rsidRPr="002F3FC6">
        <w:rPr>
          <w:color w:val="000000" w:themeColor="text1"/>
          <w:sz w:val="24"/>
          <w:lang w:val="ru-RU"/>
        </w:rPr>
        <w:t>Таблица 2. Момент оплаты сторон в договоре</w:t>
      </w:r>
    </w:p>
    <w:tbl>
      <w:tblPr>
        <w:tblStyle w:val="TableGrid"/>
        <w:tblW w:w="0" w:type="auto"/>
        <w:tblLook w:val="04A0" w:firstRow="1" w:lastRow="0" w:firstColumn="1" w:lastColumn="0" w:noHBand="0" w:noVBand="1"/>
      </w:tblPr>
      <w:tblGrid>
        <w:gridCol w:w="2407"/>
        <w:gridCol w:w="2407"/>
        <w:gridCol w:w="2407"/>
        <w:gridCol w:w="2407"/>
      </w:tblGrid>
      <w:tr w:rsidR="002F3FC6" w:rsidTr="002F3FC6">
        <w:tc>
          <w:tcPr>
            <w:tcW w:w="2407" w:type="dxa"/>
          </w:tcPr>
          <w:p w:rsidR="002F3FC6" w:rsidRDefault="00FA3ABA" w:rsidP="002F3FC6">
            <w:pPr>
              <w:ind w:firstLine="0"/>
              <w:rPr>
                <w:color w:val="000000" w:themeColor="text1"/>
                <w:sz w:val="24"/>
                <w:lang w:val="ru-RU"/>
              </w:rPr>
            </w:pPr>
            <w:r w:rsidRPr="00FA3ABA">
              <w:rPr>
                <w:color w:val="000000" w:themeColor="text1"/>
                <w:sz w:val="24"/>
                <w:lang w:val="ru-RU"/>
              </w:rPr>
              <w:t>Стороны в договоре</w:t>
            </w:r>
          </w:p>
        </w:tc>
        <w:tc>
          <w:tcPr>
            <w:tcW w:w="2407" w:type="dxa"/>
          </w:tcPr>
          <w:p w:rsidR="002F3FC6" w:rsidRDefault="00FA3ABA" w:rsidP="002F3FC6">
            <w:pPr>
              <w:ind w:firstLine="0"/>
              <w:rPr>
                <w:color w:val="000000" w:themeColor="text1"/>
                <w:sz w:val="24"/>
                <w:lang w:val="ru-RU"/>
              </w:rPr>
            </w:pPr>
            <w:r w:rsidRPr="00FA3ABA">
              <w:rPr>
                <w:color w:val="000000" w:themeColor="text1"/>
                <w:sz w:val="24"/>
                <w:lang w:val="ru-RU"/>
              </w:rPr>
              <w:t>Момент оплаты</w:t>
            </w:r>
          </w:p>
        </w:tc>
        <w:tc>
          <w:tcPr>
            <w:tcW w:w="2407" w:type="dxa"/>
          </w:tcPr>
          <w:p w:rsidR="002F3FC6" w:rsidRDefault="00FA3ABA" w:rsidP="002F3FC6">
            <w:pPr>
              <w:ind w:firstLine="0"/>
              <w:rPr>
                <w:color w:val="000000" w:themeColor="text1"/>
                <w:sz w:val="24"/>
                <w:lang w:val="ru-RU"/>
              </w:rPr>
            </w:pPr>
            <w:r w:rsidRPr="00FA3ABA">
              <w:rPr>
                <w:color w:val="000000" w:themeColor="text1"/>
                <w:sz w:val="24"/>
                <w:lang w:val="ru-RU"/>
              </w:rPr>
              <w:t>Валютный риск</w:t>
            </w:r>
          </w:p>
        </w:tc>
        <w:tc>
          <w:tcPr>
            <w:tcW w:w="2407" w:type="dxa"/>
          </w:tcPr>
          <w:p w:rsidR="002F3FC6" w:rsidRDefault="00FA3ABA" w:rsidP="002F3FC6">
            <w:pPr>
              <w:ind w:firstLine="0"/>
              <w:rPr>
                <w:color w:val="000000" w:themeColor="text1"/>
                <w:sz w:val="24"/>
                <w:lang w:val="ru-RU"/>
              </w:rPr>
            </w:pPr>
            <w:r w:rsidRPr="00FA3ABA">
              <w:rPr>
                <w:color w:val="000000" w:themeColor="text1"/>
                <w:sz w:val="24"/>
                <w:lang w:val="ru-RU"/>
              </w:rPr>
              <w:t>Фьючерсная позиция</w:t>
            </w:r>
          </w:p>
        </w:tc>
      </w:tr>
      <w:tr w:rsidR="002F3FC6" w:rsidTr="002F3FC6">
        <w:tc>
          <w:tcPr>
            <w:tcW w:w="2407" w:type="dxa"/>
          </w:tcPr>
          <w:p w:rsidR="002F3FC6" w:rsidRDefault="00FA3ABA" w:rsidP="002F3FC6">
            <w:pPr>
              <w:ind w:firstLine="0"/>
              <w:rPr>
                <w:color w:val="000000" w:themeColor="text1"/>
                <w:sz w:val="24"/>
                <w:lang w:val="ru-RU"/>
              </w:rPr>
            </w:pPr>
            <w:r>
              <w:rPr>
                <w:color w:val="000000" w:themeColor="text1"/>
                <w:sz w:val="24"/>
                <w:lang w:val="ru-RU"/>
              </w:rPr>
              <w:t>Э</w:t>
            </w:r>
            <w:r w:rsidRPr="00FA3ABA">
              <w:rPr>
                <w:color w:val="000000" w:themeColor="text1"/>
                <w:sz w:val="24"/>
                <w:lang w:val="ru-RU"/>
              </w:rPr>
              <w:t>кспортер</w:t>
            </w:r>
          </w:p>
        </w:tc>
        <w:tc>
          <w:tcPr>
            <w:tcW w:w="2407" w:type="dxa"/>
          </w:tcPr>
          <w:p w:rsidR="002F3FC6" w:rsidRDefault="00933A35" w:rsidP="002F3FC6">
            <w:pPr>
              <w:ind w:firstLine="0"/>
              <w:rPr>
                <w:color w:val="000000" w:themeColor="text1"/>
                <w:sz w:val="24"/>
                <w:lang w:val="ru-RU"/>
              </w:rPr>
            </w:pPr>
            <w:r w:rsidRPr="00933A35">
              <w:rPr>
                <w:color w:val="000000" w:themeColor="text1"/>
                <w:sz w:val="24"/>
                <w:lang w:val="ru-RU"/>
              </w:rPr>
              <w:t>Обналичивание заранее</w:t>
            </w:r>
          </w:p>
        </w:tc>
        <w:tc>
          <w:tcPr>
            <w:tcW w:w="2407" w:type="dxa"/>
          </w:tcPr>
          <w:p w:rsidR="002F3FC6" w:rsidRDefault="00933A35" w:rsidP="00933A35">
            <w:pPr>
              <w:ind w:firstLine="0"/>
              <w:rPr>
                <w:color w:val="000000" w:themeColor="text1"/>
                <w:sz w:val="24"/>
                <w:lang w:val="ru-RU"/>
              </w:rPr>
            </w:pPr>
            <w:r>
              <w:rPr>
                <w:color w:val="000000" w:themeColor="text1"/>
                <w:sz w:val="24"/>
                <w:lang w:val="ru-RU"/>
              </w:rPr>
              <w:t>П</w:t>
            </w:r>
            <w:r w:rsidRPr="00933A35">
              <w:rPr>
                <w:color w:val="000000" w:themeColor="text1"/>
                <w:sz w:val="24"/>
                <w:lang w:val="ru-RU"/>
              </w:rPr>
              <w:t xml:space="preserve">овышение </w:t>
            </w:r>
            <w:r w:rsidR="0086440A" w:rsidRPr="0086440A">
              <w:rPr>
                <w:color w:val="000000" w:themeColor="text1"/>
                <w:sz w:val="24"/>
                <w:lang w:val="ru-RU"/>
              </w:rPr>
              <w:t>обменного</w:t>
            </w:r>
            <w:r w:rsidRPr="00933A35">
              <w:rPr>
                <w:color w:val="000000" w:themeColor="text1"/>
                <w:sz w:val="24"/>
                <w:lang w:val="ru-RU"/>
              </w:rPr>
              <w:t xml:space="preserve"> курса</w:t>
            </w:r>
          </w:p>
        </w:tc>
        <w:tc>
          <w:tcPr>
            <w:tcW w:w="2407" w:type="dxa"/>
          </w:tcPr>
          <w:p w:rsidR="002F3FC6" w:rsidRDefault="00933A35" w:rsidP="002F3FC6">
            <w:pPr>
              <w:ind w:firstLine="0"/>
              <w:rPr>
                <w:color w:val="000000" w:themeColor="text1"/>
                <w:sz w:val="24"/>
                <w:lang w:val="ru-RU"/>
              </w:rPr>
            </w:pPr>
            <w:r w:rsidRPr="00933A35">
              <w:rPr>
                <w:color w:val="000000" w:themeColor="text1"/>
                <w:sz w:val="24"/>
                <w:lang w:val="ru-RU"/>
              </w:rPr>
              <w:t>Покупатель</w:t>
            </w:r>
          </w:p>
        </w:tc>
      </w:tr>
      <w:tr w:rsidR="002F3FC6" w:rsidTr="002F3FC6">
        <w:tc>
          <w:tcPr>
            <w:tcW w:w="2407" w:type="dxa"/>
          </w:tcPr>
          <w:p w:rsidR="002F3FC6" w:rsidRDefault="00FA3ABA" w:rsidP="002F3FC6">
            <w:pPr>
              <w:ind w:firstLine="0"/>
              <w:rPr>
                <w:color w:val="000000" w:themeColor="text1"/>
                <w:sz w:val="24"/>
                <w:lang w:val="ru-RU"/>
              </w:rPr>
            </w:pPr>
            <w:r>
              <w:rPr>
                <w:color w:val="000000" w:themeColor="text1"/>
                <w:sz w:val="24"/>
                <w:lang w:val="ru-RU"/>
              </w:rPr>
              <w:t>Э</w:t>
            </w:r>
            <w:r w:rsidRPr="00FA3ABA">
              <w:rPr>
                <w:color w:val="000000" w:themeColor="text1"/>
                <w:sz w:val="24"/>
                <w:lang w:val="ru-RU"/>
              </w:rPr>
              <w:t>кспортер</w:t>
            </w:r>
          </w:p>
        </w:tc>
        <w:tc>
          <w:tcPr>
            <w:tcW w:w="2407" w:type="dxa"/>
          </w:tcPr>
          <w:p w:rsidR="002F3FC6" w:rsidRDefault="00933A35" w:rsidP="002F3FC6">
            <w:pPr>
              <w:ind w:firstLine="0"/>
              <w:rPr>
                <w:color w:val="000000" w:themeColor="text1"/>
                <w:sz w:val="24"/>
                <w:lang w:val="ru-RU"/>
              </w:rPr>
            </w:pPr>
            <w:r w:rsidRPr="00933A35">
              <w:rPr>
                <w:color w:val="000000" w:themeColor="text1"/>
                <w:sz w:val="24"/>
                <w:lang w:val="ru-RU"/>
              </w:rPr>
              <w:t>Обналичивание во времени</w:t>
            </w:r>
          </w:p>
        </w:tc>
        <w:tc>
          <w:tcPr>
            <w:tcW w:w="2407" w:type="dxa"/>
          </w:tcPr>
          <w:p w:rsidR="002F3FC6" w:rsidRDefault="00933A35" w:rsidP="00933A35">
            <w:pPr>
              <w:ind w:firstLine="0"/>
              <w:rPr>
                <w:color w:val="000000" w:themeColor="text1"/>
                <w:sz w:val="24"/>
                <w:lang w:val="ru-RU"/>
              </w:rPr>
            </w:pPr>
            <w:r>
              <w:rPr>
                <w:color w:val="000000" w:themeColor="text1"/>
                <w:sz w:val="24"/>
                <w:lang w:val="ru-RU"/>
              </w:rPr>
              <w:t xml:space="preserve">Снижение </w:t>
            </w:r>
            <w:r w:rsidR="0086440A" w:rsidRPr="0086440A">
              <w:rPr>
                <w:color w:val="000000" w:themeColor="text1"/>
                <w:sz w:val="24"/>
                <w:lang w:val="ru-RU"/>
              </w:rPr>
              <w:t xml:space="preserve">обменного </w:t>
            </w:r>
            <w:r w:rsidRPr="00933A35">
              <w:rPr>
                <w:color w:val="000000" w:themeColor="text1"/>
                <w:sz w:val="24"/>
                <w:lang w:val="ru-RU"/>
              </w:rPr>
              <w:t>курса</w:t>
            </w:r>
          </w:p>
        </w:tc>
        <w:tc>
          <w:tcPr>
            <w:tcW w:w="2407" w:type="dxa"/>
          </w:tcPr>
          <w:p w:rsidR="002F3FC6" w:rsidRDefault="00933A35" w:rsidP="002F3FC6">
            <w:pPr>
              <w:ind w:firstLine="0"/>
              <w:rPr>
                <w:color w:val="000000" w:themeColor="text1"/>
                <w:sz w:val="24"/>
                <w:lang w:val="ru-RU"/>
              </w:rPr>
            </w:pPr>
            <w:r>
              <w:rPr>
                <w:color w:val="000000" w:themeColor="text1"/>
                <w:sz w:val="24"/>
                <w:lang w:val="ru-RU"/>
              </w:rPr>
              <w:t>П</w:t>
            </w:r>
            <w:r w:rsidRPr="00933A35">
              <w:rPr>
                <w:color w:val="000000" w:themeColor="text1"/>
                <w:sz w:val="24"/>
                <w:lang w:val="ru-RU"/>
              </w:rPr>
              <w:t>родавец</w:t>
            </w:r>
          </w:p>
        </w:tc>
      </w:tr>
      <w:tr w:rsidR="00933A35" w:rsidTr="002F3FC6">
        <w:tc>
          <w:tcPr>
            <w:tcW w:w="2407" w:type="dxa"/>
          </w:tcPr>
          <w:p w:rsidR="00933A35" w:rsidRDefault="00933A35" w:rsidP="00933A35">
            <w:pPr>
              <w:ind w:firstLine="0"/>
              <w:rPr>
                <w:color w:val="000000" w:themeColor="text1"/>
                <w:sz w:val="24"/>
                <w:lang w:val="ru-RU"/>
              </w:rPr>
            </w:pPr>
            <w:r>
              <w:rPr>
                <w:color w:val="000000" w:themeColor="text1"/>
                <w:sz w:val="24"/>
                <w:lang w:val="ru-RU"/>
              </w:rPr>
              <w:t>И</w:t>
            </w:r>
            <w:r w:rsidRPr="00FA3ABA">
              <w:rPr>
                <w:color w:val="000000" w:themeColor="text1"/>
                <w:sz w:val="24"/>
                <w:lang w:val="ru-RU"/>
              </w:rPr>
              <w:t>мпортер</w:t>
            </w:r>
          </w:p>
        </w:tc>
        <w:tc>
          <w:tcPr>
            <w:tcW w:w="2407" w:type="dxa"/>
          </w:tcPr>
          <w:p w:rsidR="00933A35" w:rsidRDefault="00933A35" w:rsidP="00933A35">
            <w:pPr>
              <w:ind w:firstLine="0"/>
              <w:rPr>
                <w:color w:val="000000" w:themeColor="text1"/>
                <w:sz w:val="24"/>
                <w:lang w:val="ru-RU"/>
              </w:rPr>
            </w:pPr>
            <w:r w:rsidRPr="00933A35">
              <w:rPr>
                <w:color w:val="000000" w:themeColor="text1"/>
                <w:sz w:val="24"/>
                <w:lang w:val="ru-RU"/>
              </w:rPr>
              <w:t xml:space="preserve">Оплата </w:t>
            </w:r>
            <w:r>
              <w:rPr>
                <w:color w:val="000000" w:themeColor="text1"/>
                <w:sz w:val="24"/>
                <w:lang w:val="ru-RU"/>
              </w:rPr>
              <w:t>заранее</w:t>
            </w:r>
          </w:p>
        </w:tc>
        <w:tc>
          <w:tcPr>
            <w:tcW w:w="2407" w:type="dxa"/>
          </w:tcPr>
          <w:p w:rsidR="00933A35" w:rsidRDefault="00933A35" w:rsidP="00933A35">
            <w:pPr>
              <w:ind w:firstLine="0"/>
              <w:rPr>
                <w:color w:val="000000" w:themeColor="text1"/>
                <w:sz w:val="24"/>
                <w:lang w:val="ru-RU"/>
              </w:rPr>
            </w:pPr>
            <w:r>
              <w:rPr>
                <w:color w:val="000000" w:themeColor="text1"/>
                <w:sz w:val="24"/>
                <w:lang w:val="ru-RU"/>
              </w:rPr>
              <w:t xml:space="preserve">Снижение </w:t>
            </w:r>
            <w:r w:rsidR="0086440A" w:rsidRPr="0086440A">
              <w:rPr>
                <w:color w:val="000000" w:themeColor="text1"/>
                <w:sz w:val="24"/>
                <w:lang w:val="ru-RU"/>
              </w:rPr>
              <w:t>обменного</w:t>
            </w:r>
            <w:r w:rsidRPr="00933A35">
              <w:rPr>
                <w:color w:val="000000" w:themeColor="text1"/>
                <w:sz w:val="24"/>
                <w:lang w:val="ru-RU"/>
              </w:rPr>
              <w:t xml:space="preserve"> курса</w:t>
            </w:r>
          </w:p>
        </w:tc>
        <w:tc>
          <w:tcPr>
            <w:tcW w:w="2407" w:type="dxa"/>
          </w:tcPr>
          <w:p w:rsidR="00933A35" w:rsidRDefault="00933A35" w:rsidP="00933A35">
            <w:pPr>
              <w:ind w:firstLine="0"/>
              <w:rPr>
                <w:color w:val="000000" w:themeColor="text1"/>
                <w:sz w:val="24"/>
                <w:lang w:val="ru-RU"/>
              </w:rPr>
            </w:pPr>
            <w:r>
              <w:rPr>
                <w:color w:val="000000" w:themeColor="text1"/>
                <w:sz w:val="24"/>
                <w:lang w:val="ru-RU"/>
              </w:rPr>
              <w:t>П</w:t>
            </w:r>
            <w:r w:rsidRPr="00933A35">
              <w:rPr>
                <w:color w:val="000000" w:themeColor="text1"/>
                <w:sz w:val="24"/>
                <w:lang w:val="ru-RU"/>
              </w:rPr>
              <w:t>родавец</w:t>
            </w:r>
          </w:p>
        </w:tc>
      </w:tr>
      <w:tr w:rsidR="00933A35" w:rsidTr="002F3FC6">
        <w:tc>
          <w:tcPr>
            <w:tcW w:w="2407" w:type="dxa"/>
          </w:tcPr>
          <w:p w:rsidR="00933A35" w:rsidRDefault="00933A35" w:rsidP="00933A35">
            <w:pPr>
              <w:ind w:firstLine="0"/>
              <w:rPr>
                <w:color w:val="000000" w:themeColor="text1"/>
                <w:sz w:val="24"/>
                <w:lang w:val="ru-RU"/>
              </w:rPr>
            </w:pPr>
            <w:r>
              <w:rPr>
                <w:color w:val="000000" w:themeColor="text1"/>
                <w:sz w:val="24"/>
                <w:lang w:val="ru-RU"/>
              </w:rPr>
              <w:t>И</w:t>
            </w:r>
            <w:r w:rsidRPr="00FA3ABA">
              <w:rPr>
                <w:color w:val="000000" w:themeColor="text1"/>
                <w:sz w:val="24"/>
                <w:lang w:val="ru-RU"/>
              </w:rPr>
              <w:t>мпортер</w:t>
            </w:r>
          </w:p>
        </w:tc>
        <w:tc>
          <w:tcPr>
            <w:tcW w:w="2407" w:type="dxa"/>
          </w:tcPr>
          <w:p w:rsidR="00933A35" w:rsidRDefault="00933A35" w:rsidP="00933A35">
            <w:pPr>
              <w:ind w:firstLine="0"/>
              <w:rPr>
                <w:color w:val="000000" w:themeColor="text1"/>
                <w:sz w:val="24"/>
                <w:lang w:val="ru-RU"/>
              </w:rPr>
            </w:pPr>
            <w:r w:rsidRPr="00933A35">
              <w:rPr>
                <w:color w:val="000000" w:themeColor="text1"/>
                <w:sz w:val="24"/>
                <w:lang w:val="ru-RU"/>
              </w:rPr>
              <w:t>Оплата вовремя</w:t>
            </w:r>
          </w:p>
        </w:tc>
        <w:tc>
          <w:tcPr>
            <w:tcW w:w="2407" w:type="dxa"/>
          </w:tcPr>
          <w:p w:rsidR="00933A35" w:rsidRDefault="00933A35" w:rsidP="00933A35">
            <w:pPr>
              <w:ind w:firstLine="0"/>
              <w:rPr>
                <w:color w:val="000000" w:themeColor="text1"/>
                <w:sz w:val="24"/>
                <w:lang w:val="ru-RU"/>
              </w:rPr>
            </w:pPr>
            <w:r>
              <w:rPr>
                <w:color w:val="000000" w:themeColor="text1"/>
                <w:sz w:val="24"/>
                <w:lang w:val="ru-RU"/>
              </w:rPr>
              <w:t>П</w:t>
            </w:r>
            <w:r w:rsidRPr="00933A35">
              <w:rPr>
                <w:color w:val="000000" w:themeColor="text1"/>
                <w:sz w:val="24"/>
                <w:lang w:val="ru-RU"/>
              </w:rPr>
              <w:t xml:space="preserve">овышение </w:t>
            </w:r>
            <w:r w:rsidR="0086440A" w:rsidRPr="0086440A">
              <w:rPr>
                <w:color w:val="000000" w:themeColor="text1"/>
                <w:sz w:val="24"/>
                <w:lang w:val="ru-RU"/>
              </w:rPr>
              <w:t>обменного</w:t>
            </w:r>
            <w:r w:rsidRPr="00933A35">
              <w:rPr>
                <w:color w:val="000000" w:themeColor="text1"/>
                <w:sz w:val="24"/>
                <w:lang w:val="ru-RU"/>
              </w:rPr>
              <w:t xml:space="preserve"> курса</w:t>
            </w:r>
          </w:p>
        </w:tc>
        <w:tc>
          <w:tcPr>
            <w:tcW w:w="2407" w:type="dxa"/>
          </w:tcPr>
          <w:p w:rsidR="00933A35" w:rsidRDefault="00933A35" w:rsidP="00933A35">
            <w:pPr>
              <w:ind w:firstLine="0"/>
              <w:rPr>
                <w:color w:val="000000" w:themeColor="text1"/>
                <w:sz w:val="24"/>
                <w:lang w:val="ru-RU"/>
              </w:rPr>
            </w:pPr>
            <w:r w:rsidRPr="00933A35">
              <w:rPr>
                <w:color w:val="000000" w:themeColor="text1"/>
                <w:sz w:val="24"/>
                <w:lang w:val="ru-RU"/>
              </w:rPr>
              <w:t>Покупатель</w:t>
            </w:r>
          </w:p>
        </w:tc>
      </w:tr>
    </w:tbl>
    <w:p w:rsidR="002F3FC6" w:rsidRDefault="005B2A67" w:rsidP="00D8747C">
      <w:pPr>
        <w:spacing w:before="120"/>
        <w:rPr>
          <w:color w:val="000000" w:themeColor="text1"/>
          <w:lang w:val="ru-RU"/>
        </w:rPr>
      </w:pPr>
      <w:r w:rsidRPr="005B2A67">
        <w:rPr>
          <w:color w:val="000000" w:themeColor="text1"/>
          <w:lang w:val="ru-RU"/>
        </w:rPr>
        <w:t xml:space="preserve">Те экспортеры, которые предварительно обналичивают экспорт, опасаются повышения </w:t>
      </w:r>
      <w:r w:rsidR="0086440A" w:rsidRPr="00D8747C">
        <w:rPr>
          <w:color w:val="000000" w:themeColor="text1"/>
          <w:lang w:val="ru-RU"/>
        </w:rPr>
        <w:t>обменного</w:t>
      </w:r>
      <w:r w:rsidRPr="005B2A67">
        <w:rPr>
          <w:color w:val="000000" w:themeColor="text1"/>
          <w:lang w:val="ru-RU"/>
        </w:rPr>
        <w:t xml:space="preserve"> курса и занимают позицию покупателя на фьючерсном рынке. Если обналичивание будет сделано вовремя, экспортеры опасаются снижения </w:t>
      </w:r>
      <w:r w:rsidR="0086440A" w:rsidRPr="00D8747C">
        <w:rPr>
          <w:color w:val="000000" w:themeColor="text1"/>
          <w:lang w:val="ru-RU"/>
        </w:rPr>
        <w:t>обменного</w:t>
      </w:r>
      <w:r w:rsidRPr="005B2A67">
        <w:rPr>
          <w:color w:val="000000" w:themeColor="text1"/>
          <w:lang w:val="ru-RU"/>
        </w:rPr>
        <w:t xml:space="preserve"> курса и принимают позицию продавца на этом рынке, надеясь продать по более высокой цене, контракты, которые они впоследствии будут покупать на рынке дешевле.</w:t>
      </w:r>
    </w:p>
    <w:p w:rsidR="00D8747C" w:rsidRDefault="00D8747C" w:rsidP="005B2A67">
      <w:pPr>
        <w:rPr>
          <w:color w:val="000000" w:themeColor="text1"/>
          <w:lang w:val="ru-RU"/>
        </w:rPr>
      </w:pPr>
      <w:r w:rsidRPr="00D8747C">
        <w:rPr>
          <w:color w:val="000000" w:themeColor="text1"/>
          <w:lang w:val="ru-RU"/>
        </w:rPr>
        <w:t>Те импортеры, которые должны вносить авансовые платежи за импорт, опасаются падения обменного курса и занимают позицию продавца фьючерсных контрактов, в то время как импортеры, осуществляющие платежи вовремя, опасаются повышения обменного курса и занимают позицию покупатели</w:t>
      </w:r>
      <w:r w:rsidR="0052137B">
        <w:rPr>
          <w:color w:val="000000" w:themeColor="text1"/>
          <w:lang w:val="ru-RU"/>
        </w:rPr>
        <w:t xml:space="preserve"> </w:t>
      </w:r>
      <w:r w:rsidR="0052137B" w:rsidRPr="00D8747C">
        <w:rPr>
          <w:color w:val="000000" w:themeColor="text1"/>
          <w:lang w:val="ru-RU"/>
        </w:rPr>
        <w:t>фьючерсного контракта.</w:t>
      </w:r>
    </w:p>
    <w:p w:rsidR="0086440A" w:rsidRPr="0086440A" w:rsidRDefault="0086440A" w:rsidP="0086440A">
      <w:pPr>
        <w:rPr>
          <w:b/>
          <w:color w:val="000000" w:themeColor="text1"/>
          <w:lang w:val="ru-RU"/>
        </w:rPr>
      </w:pPr>
      <w:r w:rsidRPr="0086440A">
        <w:rPr>
          <w:b/>
          <w:color w:val="000000" w:themeColor="text1"/>
          <w:lang w:val="ru-RU"/>
        </w:rPr>
        <w:t>Выводы</w:t>
      </w:r>
    </w:p>
    <w:p w:rsidR="0086440A" w:rsidRDefault="0086440A" w:rsidP="0086440A">
      <w:pPr>
        <w:rPr>
          <w:color w:val="000000" w:themeColor="text1"/>
          <w:lang w:val="ru-RU"/>
        </w:rPr>
      </w:pPr>
      <w:r w:rsidRPr="0086440A">
        <w:rPr>
          <w:color w:val="000000" w:themeColor="text1"/>
          <w:lang w:val="ru-RU"/>
        </w:rPr>
        <w:t>Развитие рынков производных финансовых инструментов является основной характеристикой современной финансовой среды.</w:t>
      </w:r>
      <w:r w:rsidR="00D963FF" w:rsidRPr="00D963FF">
        <w:rPr>
          <w:lang w:val="ru-RU"/>
        </w:rPr>
        <w:t xml:space="preserve"> </w:t>
      </w:r>
      <w:r w:rsidR="00D963FF" w:rsidRPr="00D963FF">
        <w:rPr>
          <w:color w:val="000000" w:themeColor="text1"/>
          <w:lang w:val="ru-RU"/>
        </w:rPr>
        <w:t>Новые инструменты благодаря предлагаемым преимуществам позволяют ограничить финансовые риски, с которыми сталкиваются компании, занимающиеся импортом-экспортом.</w:t>
      </w:r>
      <w:r w:rsidR="00D963FF" w:rsidRPr="00D963FF">
        <w:rPr>
          <w:lang w:val="ru-RU"/>
        </w:rPr>
        <w:t xml:space="preserve"> </w:t>
      </w:r>
      <w:r w:rsidR="00D963FF" w:rsidRPr="00D963FF">
        <w:rPr>
          <w:color w:val="000000" w:themeColor="text1"/>
          <w:lang w:val="ru-RU"/>
        </w:rPr>
        <w:t>Растущее предпочтение внешнеторговых компаний и их банков обусловлено следующими факторами: эффективностью использования производных финансовых инструментов для управления финансово-валютными рисками, низкими трансакционными издержками, ликвидностью рынков, а также развитием информационных технологий и методов ведения переговоров.</w:t>
      </w:r>
    </w:p>
    <w:p w:rsidR="00B867DB" w:rsidRDefault="00B867DB" w:rsidP="0086440A">
      <w:pPr>
        <w:rPr>
          <w:color w:val="000000" w:themeColor="text1"/>
          <w:lang w:val="ru-RU"/>
        </w:rPr>
      </w:pPr>
      <w:r w:rsidRPr="00B867DB">
        <w:rPr>
          <w:color w:val="000000" w:themeColor="text1"/>
          <w:lang w:val="ru-RU"/>
        </w:rPr>
        <w:lastRenderedPageBreak/>
        <w:t>Валютный риск является проблемой для любой компании в этот период, характеризующийся высокими колебаниями обменного курса.</w:t>
      </w:r>
      <w:r w:rsidRPr="00B867DB">
        <w:rPr>
          <w:lang w:val="ru-RU"/>
        </w:rPr>
        <w:t xml:space="preserve"> </w:t>
      </w:r>
      <w:r w:rsidRPr="00B867DB">
        <w:rPr>
          <w:color w:val="000000" w:themeColor="text1"/>
          <w:lang w:val="ru-RU"/>
        </w:rPr>
        <w:t>Многие компании имели очень важные недостатки, когда обменный курс оставлялся свободным для изменения без установления центрального банка.</w:t>
      </w:r>
    </w:p>
    <w:p w:rsidR="00B33D7E" w:rsidRDefault="00B33D7E" w:rsidP="0086440A">
      <w:pPr>
        <w:rPr>
          <w:color w:val="000000" w:themeColor="text1"/>
          <w:lang w:val="ru-RU"/>
        </w:rPr>
      </w:pPr>
      <w:r>
        <w:rPr>
          <w:color w:val="000000" w:themeColor="text1"/>
          <w:lang w:val="ru-RU"/>
        </w:rPr>
        <w:t>Хеджирование валютных рисков</w:t>
      </w:r>
      <w:r w:rsidRPr="00B33D7E">
        <w:rPr>
          <w:color w:val="000000" w:themeColor="text1"/>
          <w:lang w:val="ru-RU"/>
        </w:rPr>
        <w:t xml:space="preserve"> было необходимой мерой, которую должны были предпринять компании, особенно экспортеры (тенденция увеличения национальной валюты, затрагивающая прежде всего последнюю, за счет уменьшения их прибыли).</w:t>
      </w:r>
      <w:r w:rsidR="00D93472" w:rsidRPr="00D93472">
        <w:rPr>
          <w:lang w:val="ru-RU"/>
        </w:rPr>
        <w:t xml:space="preserve"> </w:t>
      </w:r>
      <w:r w:rsidR="00D93472" w:rsidRPr="00D93472">
        <w:rPr>
          <w:color w:val="000000" w:themeColor="text1"/>
          <w:lang w:val="ru-RU"/>
        </w:rPr>
        <w:t>Контракты могут быть заключены на любую дату, включенную в срок погашения. Чтобы воспользоваться этими инструментами хеджирования, компаниям следует прибегнуть к компании, предоставляющей услуги по финансовым инвестициям, имеющей разрешение на продажу на фондовой бирже. После заключения договора между двумя сторонами может быть определена наиболее адекватная стратегия хеджирования для удовлетворения потребностей компании-клиента. Затраты на покрытие валютных рисков ниже, чем в случае форвардных контрактов, заблокированные суммы меньше.</w:t>
      </w:r>
    </w:p>
    <w:p w:rsidR="00D93472" w:rsidRDefault="00D93472" w:rsidP="0086440A">
      <w:pPr>
        <w:rPr>
          <w:color w:val="000000" w:themeColor="text1"/>
          <w:lang w:val="ru-RU"/>
        </w:rPr>
      </w:pPr>
      <w:r w:rsidRPr="00D93472">
        <w:rPr>
          <w:color w:val="000000" w:themeColor="text1"/>
          <w:lang w:val="ru-RU"/>
        </w:rPr>
        <w:t>Используя фьючерс</w:t>
      </w:r>
      <w:r>
        <w:rPr>
          <w:color w:val="000000" w:themeColor="text1"/>
          <w:lang w:val="ru-RU"/>
        </w:rPr>
        <w:t>ный</w:t>
      </w:r>
      <w:r w:rsidRPr="00D93472">
        <w:rPr>
          <w:color w:val="000000" w:themeColor="text1"/>
          <w:lang w:val="ru-RU"/>
        </w:rPr>
        <w:t xml:space="preserve"> рынок, бизнесмен может заранее установить курс, по которому он будет покупать определенную валюту, для оплаты импорта, или курс, по которому он будет продавать определенную валюту, в результате осуществляемой им экспортной деятельности.</w:t>
      </w:r>
      <w:r w:rsidR="000F276C" w:rsidRPr="000F276C">
        <w:rPr>
          <w:lang w:val="ru-RU"/>
        </w:rPr>
        <w:t xml:space="preserve"> </w:t>
      </w:r>
      <w:r w:rsidR="000F276C" w:rsidRPr="000F276C">
        <w:rPr>
          <w:color w:val="000000" w:themeColor="text1"/>
          <w:lang w:val="ru-RU"/>
        </w:rPr>
        <w:t xml:space="preserve">Операция хеджирования предлагает возможность блокировки </w:t>
      </w:r>
      <w:r w:rsidR="000F276C">
        <w:rPr>
          <w:color w:val="000000" w:themeColor="text1"/>
          <w:lang w:val="ru-RU"/>
        </w:rPr>
        <w:t>валют</w:t>
      </w:r>
      <w:r w:rsidR="000F276C" w:rsidRPr="000F276C">
        <w:rPr>
          <w:color w:val="000000" w:themeColor="text1"/>
          <w:lang w:val="ru-RU"/>
        </w:rPr>
        <w:t>ного курса в обмен на иммобилизацию суммы, которая должна быть иммобилизована на валютном рынке. В случае массового падения валютного курса экспортеры будут защищены от рисков, потому что они получат эквивалентную прибыль на фьючерсном рынке, что компенсирует потери на валютном рынке.</w:t>
      </w:r>
    </w:p>
    <w:p w:rsidR="002340CB" w:rsidRPr="00705C0F" w:rsidRDefault="00DB4921" w:rsidP="009C5DA9">
      <w:pPr>
        <w:rPr>
          <w:color w:val="000000" w:themeColor="text1"/>
          <w:lang w:val="ru-RU"/>
        </w:rPr>
      </w:pPr>
      <w:r w:rsidRPr="00DB4921">
        <w:rPr>
          <w:color w:val="000000" w:themeColor="text1"/>
          <w:lang w:val="ru-RU"/>
        </w:rPr>
        <w:t xml:space="preserve">По сути, хеджирование является эффективным способом защиты, заключая некоторые форвардные контракты с банком или открывая некоторые позиции на </w:t>
      </w:r>
      <w:r w:rsidRPr="000F276C">
        <w:rPr>
          <w:color w:val="000000" w:themeColor="text1"/>
          <w:lang w:val="ru-RU"/>
        </w:rPr>
        <w:t>фьючерсном</w:t>
      </w:r>
      <w:r w:rsidRPr="00DB4921">
        <w:rPr>
          <w:color w:val="000000" w:themeColor="text1"/>
          <w:lang w:val="ru-RU"/>
        </w:rPr>
        <w:t xml:space="preserve"> рынке.</w:t>
      </w:r>
      <w:r w:rsidRPr="00DB4921">
        <w:rPr>
          <w:lang w:val="ru-RU"/>
        </w:rPr>
        <w:t xml:space="preserve"> </w:t>
      </w:r>
      <w:r w:rsidRPr="00DB4921">
        <w:rPr>
          <w:color w:val="000000" w:themeColor="text1"/>
          <w:lang w:val="ru-RU"/>
        </w:rPr>
        <w:t>Решение о хеджировании зависит от степени риска, которую корпорация готова принять, от своего финансового потенциала, от политики компании, от своего собственного видения развития рыночных условий.</w:t>
      </w:r>
      <w:r w:rsidR="002340CB" w:rsidRPr="00705C0F">
        <w:rPr>
          <w:color w:val="000000" w:themeColor="text1"/>
          <w:lang w:val="ru-RU"/>
        </w:rPr>
        <w:br w:type="page"/>
      </w:r>
    </w:p>
    <w:p w:rsidR="00974AEF" w:rsidRPr="002276B8" w:rsidRDefault="00974AEF" w:rsidP="009C5DA9">
      <w:pPr>
        <w:jc w:val="center"/>
        <w:rPr>
          <w:b/>
          <w:color w:val="000000" w:themeColor="text1"/>
          <w:lang w:val="ru-RU"/>
        </w:rPr>
      </w:pPr>
      <w:r w:rsidRPr="002276B8">
        <w:rPr>
          <w:b/>
          <w:color w:val="000000" w:themeColor="text1"/>
          <w:lang w:val="ru-RU"/>
        </w:rPr>
        <w:lastRenderedPageBreak/>
        <w:t>Список используемых источников</w:t>
      </w:r>
    </w:p>
    <w:p w:rsidR="001A5808" w:rsidRPr="001A5808" w:rsidRDefault="004F0999" w:rsidP="00AF03BE">
      <w:pPr>
        <w:pStyle w:val="ListParagraph"/>
        <w:numPr>
          <w:ilvl w:val="0"/>
          <w:numId w:val="1"/>
        </w:numPr>
        <w:ind w:left="0" w:firstLine="426"/>
        <w:rPr>
          <w:lang w:val="ru-RU"/>
        </w:rPr>
      </w:pPr>
      <w:r w:rsidRPr="001A5808">
        <w:rPr>
          <w:color w:val="000000" w:themeColor="text1"/>
          <w:lang w:val="ru-RU"/>
        </w:rPr>
        <w:t xml:space="preserve"> </w:t>
      </w:r>
      <w:r w:rsidR="001A5808" w:rsidRPr="001A5808">
        <w:rPr>
          <w:color w:val="000000" w:themeColor="text1"/>
          <w:lang w:val="ru-RU"/>
        </w:rPr>
        <w:t>Федеральный закон от 10.12.2003 № 173-ФЗ (ред. от 18.07.2017) «О валютном регулировании и валютном контроле»</w:t>
      </w:r>
    </w:p>
    <w:p w:rsidR="004F0999" w:rsidRPr="002276B8" w:rsidRDefault="004F0999" w:rsidP="00AF03BE">
      <w:pPr>
        <w:pStyle w:val="ListParagraph"/>
        <w:numPr>
          <w:ilvl w:val="0"/>
          <w:numId w:val="1"/>
        </w:numPr>
        <w:ind w:left="0" w:firstLine="426"/>
        <w:rPr>
          <w:lang w:val="ru-RU"/>
        </w:rPr>
      </w:pPr>
      <w:r w:rsidRPr="002276B8">
        <w:rPr>
          <w:color w:val="000000" w:themeColor="text1"/>
          <w:lang w:val="ru-RU"/>
        </w:rPr>
        <w:t xml:space="preserve">Ефремова Е.И. </w:t>
      </w:r>
      <w:r w:rsidRPr="002276B8">
        <w:rPr>
          <w:lang w:val="ru-RU"/>
        </w:rPr>
        <w:t>Особенности аудита и учета внешнеторговых бартерных сделок // Вестник Российского экономического университета им. Г.В. Плеханова, 2018.</w:t>
      </w:r>
      <w:r w:rsidR="001859E8">
        <w:rPr>
          <w:lang w:val="ru-RU"/>
        </w:rPr>
        <w:t xml:space="preserve"> </w:t>
      </w:r>
      <w:r w:rsidRPr="002276B8">
        <w:rPr>
          <w:lang w:val="ru-RU"/>
        </w:rPr>
        <w:t xml:space="preserve">- № 04 с.69 - 78 </w:t>
      </w:r>
      <w:r w:rsidRPr="002276B8">
        <w:rPr>
          <w:rStyle w:val="Hyperlink"/>
        </w:rPr>
        <w:t>https</w:t>
      </w:r>
      <w:r w:rsidRPr="002276B8">
        <w:rPr>
          <w:rStyle w:val="Hyperlink"/>
          <w:lang w:val="ru-RU"/>
        </w:rPr>
        <w:t>://</w:t>
      </w:r>
      <w:r w:rsidRPr="002276B8">
        <w:rPr>
          <w:rStyle w:val="Hyperlink"/>
        </w:rPr>
        <w:t>elibrary</w:t>
      </w:r>
      <w:r w:rsidRPr="002276B8">
        <w:rPr>
          <w:rStyle w:val="Hyperlink"/>
          <w:lang w:val="ru-RU"/>
        </w:rPr>
        <w:t>.</w:t>
      </w:r>
      <w:r w:rsidRPr="002276B8">
        <w:rPr>
          <w:rStyle w:val="Hyperlink"/>
        </w:rPr>
        <w:t>ru</w:t>
      </w:r>
      <w:r w:rsidRPr="002276B8">
        <w:rPr>
          <w:rStyle w:val="Hyperlink"/>
          <w:lang w:val="ru-RU"/>
        </w:rPr>
        <w:t>/</w:t>
      </w:r>
      <w:r w:rsidRPr="002276B8">
        <w:rPr>
          <w:rStyle w:val="Hyperlink"/>
        </w:rPr>
        <w:t>org</w:t>
      </w:r>
      <w:r w:rsidRPr="002276B8">
        <w:rPr>
          <w:rStyle w:val="Hyperlink"/>
          <w:lang w:val="ru-RU"/>
        </w:rPr>
        <w:t>_</w:t>
      </w:r>
      <w:r w:rsidRPr="002276B8">
        <w:rPr>
          <w:rStyle w:val="Hyperlink"/>
        </w:rPr>
        <w:t>items</w:t>
      </w:r>
      <w:r w:rsidRPr="002276B8">
        <w:rPr>
          <w:rStyle w:val="Hyperlink"/>
          <w:lang w:val="ru-RU"/>
        </w:rPr>
        <w:t>.</w:t>
      </w:r>
      <w:r w:rsidRPr="002276B8">
        <w:rPr>
          <w:rStyle w:val="Hyperlink"/>
        </w:rPr>
        <w:t>asp</w:t>
      </w:r>
      <w:r w:rsidRPr="002276B8">
        <w:rPr>
          <w:rStyle w:val="Hyperlink"/>
          <w:lang w:val="ru-RU"/>
        </w:rPr>
        <w:t>?</w:t>
      </w:r>
      <w:r w:rsidRPr="002276B8">
        <w:rPr>
          <w:rStyle w:val="Hyperlink"/>
        </w:rPr>
        <w:t>orgsid</w:t>
      </w:r>
      <w:r w:rsidRPr="002276B8">
        <w:rPr>
          <w:rStyle w:val="Hyperlink"/>
          <w:lang w:val="ru-RU"/>
        </w:rPr>
        <w:t>=639</w:t>
      </w:r>
    </w:p>
    <w:p w:rsidR="00055141" w:rsidRDefault="00055141" w:rsidP="00055141">
      <w:pPr>
        <w:pStyle w:val="ListParagraph"/>
        <w:numPr>
          <w:ilvl w:val="0"/>
          <w:numId w:val="1"/>
        </w:numPr>
        <w:shd w:val="clear" w:color="auto" w:fill="FFFFFF"/>
        <w:spacing w:before="48" w:after="48"/>
        <w:ind w:left="0" w:firstLine="426"/>
        <w:outlineLvl w:val="0"/>
        <w:rPr>
          <w:bCs/>
          <w:color w:val="000000"/>
          <w:kern w:val="36"/>
          <w:lang w:val="ru-RU"/>
        </w:rPr>
      </w:pPr>
      <w:r w:rsidRPr="00055141">
        <w:rPr>
          <w:bCs/>
          <w:color w:val="000000"/>
          <w:kern w:val="36"/>
          <w:lang w:val="ru-RU"/>
        </w:rPr>
        <w:t>Всяких Ю.В. Валютное регулирование в современной России / Ю.В. Всяких, А.И. Латышева // Международный научный журнал «Символ науки». – 2015. - № 4. – С. 70-73.</w:t>
      </w:r>
    </w:p>
    <w:p w:rsidR="00055141" w:rsidRPr="00055141" w:rsidRDefault="00055141" w:rsidP="00055141">
      <w:pPr>
        <w:pStyle w:val="ListParagraph"/>
        <w:numPr>
          <w:ilvl w:val="0"/>
          <w:numId w:val="1"/>
        </w:numPr>
        <w:shd w:val="clear" w:color="auto" w:fill="FFFFFF"/>
        <w:spacing w:before="48" w:after="48"/>
        <w:ind w:left="0" w:firstLine="426"/>
        <w:outlineLvl w:val="0"/>
        <w:rPr>
          <w:bCs/>
          <w:color w:val="000000"/>
          <w:kern w:val="36"/>
          <w:lang w:val="ru-RU"/>
        </w:rPr>
      </w:pPr>
      <w:r w:rsidRPr="00055141">
        <w:rPr>
          <w:bCs/>
          <w:color w:val="000000"/>
          <w:kern w:val="36"/>
          <w:lang w:val="ru-RU"/>
        </w:rPr>
        <w:t>Калинченко Ю. П. Валютные операции как правовая категория / Ю. П. Калинченко // Вестник Московского университета МВД России. – 2014. – № 14. – С. 92-95</w:t>
      </w:r>
    </w:p>
    <w:sectPr w:rsidR="00055141" w:rsidRPr="00055141" w:rsidSect="00DD584A">
      <w:footerReference w:type="default" r:id="rId9"/>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13" w:rsidRDefault="002D5F13" w:rsidP="00974AEF">
      <w:pPr>
        <w:spacing w:line="240" w:lineRule="auto"/>
      </w:pPr>
      <w:r>
        <w:separator/>
      </w:r>
    </w:p>
  </w:endnote>
  <w:endnote w:type="continuationSeparator" w:id="0">
    <w:p w:rsidR="002D5F13" w:rsidRDefault="002D5F13" w:rsidP="0097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63471"/>
      <w:docPartObj>
        <w:docPartGallery w:val="Page Numbers (Bottom of Page)"/>
        <w:docPartUnique/>
      </w:docPartObj>
    </w:sdtPr>
    <w:sdtEndPr>
      <w:rPr>
        <w:noProof/>
        <w:sz w:val="20"/>
        <w:szCs w:val="20"/>
      </w:rPr>
    </w:sdtEndPr>
    <w:sdtContent>
      <w:p w:rsidR="001A5808" w:rsidRPr="00DF180F" w:rsidRDefault="001A5808" w:rsidP="00974AEF">
        <w:pPr>
          <w:pStyle w:val="Footer"/>
          <w:jc w:val="center"/>
          <w:rPr>
            <w:sz w:val="20"/>
            <w:szCs w:val="20"/>
          </w:rPr>
        </w:pPr>
        <w:r w:rsidRPr="00DF180F">
          <w:rPr>
            <w:sz w:val="20"/>
            <w:szCs w:val="20"/>
          </w:rPr>
          <w:fldChar w:fldCharType="begin"/>
        </w:r>
        <w:r w:rsidRPr="00DF180F">
          <w:rPr>
            <w:sz w:val="20"/>
            <w:szCs w:val="20"/>
          </w:rPr>
          <w:instrText xml:space="preserve"> PAGE   \* MERGEFORMAT </w:instrText>
        </w:r>
        <w:r w:rsidRPr="00DF180F">
          <w:rPr>
            <w:sz w:val="20"/>
            <w:szCs w:val="20"/>
          </w:rPr>
          <w:fldChar w:fldCharType="separate"/>
        </w:r>
        <w:r w:rsidR="007474F8">
          <w:rPr>
            <w:noProof/>
            <w:sz w:val="20"/>
            <w:szCs w:val="20"/>
          </w:rPr>
          <w:t>12</w:t>
        </w:r>
        <w:r w:rsidRPr="00DF180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13" w:rsidRDefault="002D5F13" w:rsidP="00974AEF">
      <w:pPr>
        <w:spacing w:line="240" w:lineRule="auto"/>
      </w:pPr>
      <w:r>
        <w:separator/>
      </w:r>
    </w:p>
  </w:footnote>
  <w:footnote w:type="continuationSeparator" w:id="0">
    <w:p w:rsidR="002D5F13" w:rsidRDefault="002D5F13" w:rsidP="00974A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2F86"/>
    <w:multiLevelType w:val="hybridMultilevel"/>
    <w:tmpl w:val="1FCACC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6DF14F6"/>
    <w:multiLevelType w:val="hybridMultilevel"/>
    <w:tmpl w:val="9F2CF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4C82A7C"/>
    <w:multiLevelType w:val="hybridMultilevel"/>
    <w:tmpl w:val="AC42D36A"/>
    <w:lvl w:ilvl="0" w:tplc="2392E71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A287F55"/>
    <w:multiLevelType w:val="hybridMultilevel"/>
    <w:tmpl w:val="822659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6B2A72AA"/>
    <w:multiLevelType w:val="hybridMultilevel"/>
    <w:tmpl w:val="566C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EF"/>
    <w:rsid w:val="00000423"/>
    <w:rsid w:val="00014535"/>
    <w:rsid w:val="00015A92"/>
    <w:rsid w:val="00017D6E"/>
    <w:rsid w:val="0002073A"/>
    <w:rsid w:val="00021C54"/>
    <w:rsid w:val="00023A3E"/>
    <w:rsid w:val="00025C14"/>
    <w:rsid w:val="00032569"/>
    <w:rsid w:val="00042ED9"/>
    <w:rsid w:val="00043BCA"/>
    <w:rsid w:val="00047A0A"/>
    <w:rsid w:val="000515D4"/>
    <w:rsid w:val="00055141"/>
    <w:rsid w:val="00073EF6"/>
    <w:rsid w:val="00077882"/>
    <w:rsid w:val="00077C8C"/>
    <w:rsid w:val="00082887"/>
    <w:rsid w:val="0008299A"/>
    <w:rsid w:val="00085C52"/>
    <w:rsid w:val="000867AF"/>
    <w:rsid w:val="000B2F7D"/>
    <w:rsid w:val="000B3185"/>
    <w:rsid w:val="000B51C2"/>
    <w:rsid w:val="000C5C42"/>
    <w:rsid w:val="000C7E39"/>
    <w:rsid w:val="000D3877"/>
    <w:rsid w:val="000D4411"/>
    <w:rsid w:val="000D7D23"/>
    <w:rsid w:val="000E125E"/>
    <w:rsid w:val="000E2E40"/>
    <w:rsid w:val="000F276C"/>
    <w:rsid w:val="000F60CF"/>
    <w:rsid w:val="0011331C"/>
    <w:rsid w:val="00113DC8"/>
    <w:rsid w:val="00122609"/>
    <w:rsid w:val="00127E5D"/>
    <w:rsid w:val="00130C9F"/>
    <w:rsid w:val="00130F2E"/>
    <w:rsid w:val="001328D7"/>
    <w:rsid w:val="0013546E"/>
    <w:rsid w:val="00137BB9"/>
    <w:rsid w:val="00145E00"/>
    <w:rsid w:val="00150A3D"/>
    <w:rsid w:val="00155E55"/>
    <w:rsid w:val="00162809"/>
    <w:rsid w:val="0016444A"/>
    <w:rsid w:val="00164B49"/>
    <w:rsid w:val="0017550B"/>
    <w:rsid w:val="0018071E"/>
    <w:rsid w:val="00181707"/>
    <w:rsid w:val="001859E8"/>
    <w:rsid w:val="00185C19"/>
    <w:rsid w:val="00186149"/>
    <w:rsid w:val="0018625D"/>
    <w:rsid w:val="00195FA1"/>
    <w:rsid w:val="001A51BB"/>
    <w:rsid w:val="001A5808"/>
    <w:rsid w:val="001D1F76"/>
    <w:rsid w:val="001D37AA"/>
    <w:rsid w:val="001D3F1B"/>
    <w:rsid w:val="001D44F5"/>
    <w:rsid w:val="001D5DA7"/>
    <w:rsid w:val="001E0533"/>
    <w:rsid w:val="001E0C58"/>
    <w:rsid w:val="001E0EE7"/>
    <w:rsid w:val="001F1F3A"/>
    <w:rsid w:val="001F5C48"/>
    <w:rsid w:val="001F71B7"/>
    <w:rsid w:val="00200217"/>
    <w:rsid w:val="00201C04"/>
    <w:rsid w:val="00205D9C"/>
    <w:rsid w:val="00213E5A"/>
    <w:rsid w:val="00217FA0"/>
    <w:rsid w:val="00223C65"/>
    <w:rsid w:val="00226A83"/>
    <w:rsid w:val="00226D2F"/>
    <w:rsid w:val="002276B8"/>
    <w:rsid w:val="00230B04"/>
    <w:rsid w:val="00232798"/>
    <w:rsid w:val="002340CB"/>
    <w:rsid w:val="00235323"/>
    <w:rsid w:val="00245E4C"/>
    <w:rsid w:val="00253656"/>
    <w:rsid w:val="00255A44"/>
    <w:rsid w:val="0027087A"/>
    <w:rsid w:val="00270C7D"/>
    <w:rsid w:val="00280F3F"/>
    <w:rsid w:val="00285F2C"/>
    <w:rsid w:val="00287DA6"/>
    <w:rsid w:val="002911AE"/>
    <w:rsid w:val="002A05D9"/>
    <w:rsid w:val="002A37C4"/>
    <w:rsid w:val="002B31CB"/>
    <w:rsid w:val="002B461C"/>
    <w:rsid w:val="002C1077"/>
    <w:rsid w:val="002D347E"/>
    <w:rsid w:val="002D3C81"/>
    <w:rsid w:val="002D3E41"/>
    <w:rsid w:val="002D4FF2"/>
    <w:rsid w:val="002D5F13"/>
    <w:rsid w:val="002E2CED"/>
    <w:rsid w:val="002E48EC"/>
    <w:rsid w:val="002E5684"/>
    <w:rsid w:val="002E586C"/>
    <w:rsid w:val="002F05B7"/>
    <w:rsid w:val="002F3FC6"/>
    <w:rsid w:val="00313C3A"/>
    <w:rsid w:val="00324F0B"/>
    <w:rsid w:val="003265D8"/>
    <w:rsid w:val="003273A8"/>
    <w:rsid w:val="00336ED9"/>
    <w:rsid w:val="0034198E"/>
    <w:rsid w:val="003450DC"/>
    <w:rsid w:val="00346C33"/>
    <w:rsid w:val="0035654E"/>
    <w:rsid w:val="00357559"/>
    <w:rsid w:val="00372572"/>
    <w:rsid w:val="00383A2E"/>
    <w:rsid w:val="00384829"/>
    <w:rsid w:val="0039351C"/>
    <w:rsid w:val="00395276"/>
    <w:rsid w:val="003C2D2E"/>
    <w:rsid w:val="003C50D5"/>
    <w:rsid w:val="003C5C0A"/>
    <w:rsid w:val="003D03D9"/>
    <w:rsid w:val="003D4190"/>
    <w:rsid w:val="003D4E34"/>
    <w:rsid w:val="003E26C3"/>
    <w:rsid w:val="003E4B7E"/>
    <w:rsid w:val="00404C49"/>
    <w:rsid w:val="004055E3"/>
    <w:rsid w:val="0041009C"/>
    <w:rsid w:val="00417D1C"/>
    <w:rsid w:val="00440841"/>
    <w:rsid w:val="0044168A"/>
    <w:rsid w:val="0044764E"/>
    <w:rsid w:val="00447A85"/>
    <w:rsid w:val="00451D70"/>
    <w:rsid w:val="00453B8A"/>
    <w:rsid w:val="0045454C"/>
    <w:rsid w:val="00463602"/>
    <w:rsid w:val="00480DE9"/>
    <w:rsid w:val="004838B3"/>
    <w:rsid w:val="00484DFF"/>
    <w:rsid w:val="00493B99"/>
    <w:rsid w:val="00494E83"/>
    <w:rsid w:val="004975A4"/>
    <w:rsid w:val="00497A2D"/>
    <w:rsid w:val="004B04FC"/>
    <w:rsid w:val="004C1AF8"/>
    <w:rsid w:val="004C2D21"/>
    <w:rsid w:val="004C7144"/>
    <w:rsid w:val="004C7ACF"/>
    <w:rsid w:val="004D1923"/>
    <w:rsid w:val="004D40A9"/>
    <w:rsid w:val="004D605A"/>
    <w:rsid w:val="004D6BBB"/>
    <w:rsid w:val="004D6F0A"/>
    <w:rsid w:val="004F0999"/>
    <w:rsid w:val="004F32BA"/>
    <w:rsid w:val="004F6000"/>
    <w:rsid w:val="00500B3B"/>
    <w:rsid w:val="00512F3B"/>
    <w:rsid w:val="0052137B"/>
    <w:rsid w:val="00523BA2"/>
    <w:rsid w:val="00532320"/>
    <w:rsid w:val="00535DD4"/>
    <w:rsid w:val="0054289E"/>
    <w:rsid w:val="005438FB"/>
    <w:rsid w:val="005509B4"/>
    <w:rsid w:val="00552C59"/>
    <w:rsid w:val="005533D9"/>
    <w:rsid w:val="005577F8"/>
    <w:rsid w:val="0056040E"/>
    <w:rsid w:val="00562184"/>
    <w:rsid w:val="00571B74"/>
    <w:rsid w:val="00577CB8"/>
    <w:rsid w:val="00577FC5"/>
    <w:rsid w:val="0058465C"/>
    <w:rsid w:val="005868A0"/>
    <w:rsid w:val="0058736E"/>
    <w:rsid w:val="005937AA"/>
    <w:rsid w:val="005940E3"/>
    <w:rsid w:val="00594ECA"/>
    <w:rsid w:val="005A00A0"/>
    <w:rsid w:val="005A00DF"/>
    <w:rsid w:val="005A1E3F"/>
    <w:rsid w:val="005B2A67"/>
    <w:rsid w:val="005B36EC"/>
    <w:rsid w:val="005B4A47"/>
    <w:rsid w:val="005B7DEE"/>
    <w:rsid w:val="005C42A1"/>
    <w:rsid w:val="005C72C0"/>
    <w:rsid w:val="005D4AC1"/>
    <w:rsid w:val="005D661E"/>
    <w:rsid w:val="005E1EAD"/>
    <w:rsid w:val="005E41F8"/>
    <w:rsid w:val="005F1F4B"/>
    <w:rsid w:val="005F55C9"/>
    <w:rsid w:val="005F6E90"/>
    <w:rsid w:val="005F7C00"/>
    <w:rsid w:val="00602268"/>
    <w:rsid w:val="0060662C"/>
    <w:rsid w:val="0061219F"/>
    <w:rsid w:val="0061426D"/>
    <w:rsid w:val="006146E3"/>
    <w:rsid w:val="0061483B"/>
    <w:rsid w:val="00615BBB"/>
    <w:rsid w:val="00616DA6"/>
    <w:rsid w:val="006207A3"/>
    <w:rsid w:val="0062159D"/>
    <w:rsid w:val="00623EF6"/>
    <w:rsid w:val="006278F3"/>
    <w:rsid w:val="00631566"/>
    <w:rsid w:val="00640A35"/>
    <w:rsid w:val="00640DD6"/>
    <w:rsid w:val="00642A66"/>
    <w:rsid w:val="00651AD9"/>
    <w:rsid w:val="00651BC1"/>
    <w:rsid w:val="0065432C"/>
    <w:rsid w:val="006551CA"/>
    <w:rsid w:val="0067261E"/>
    <w:rsid w:val="00677522"/>
    <w:rsid w:val="00680696"/>
    <w:rsid w:val="00681F17"/>
    <w:rsid w:val="00681F85"/>
    <w:rsid w:val="00684655"/>
    <w:rsid w:val="00686875"/>
    <w:rsid w:val="00690C26"/>
    <w:rsid w:val="006B335A"/>
    <w:rsid w:val="006B5F88"/>
    <w:rsid w:val="006C5433"/>
    <w:rsid w:val="006C64EE"/>
    <w:rsid w:val="006D562A"/>
    <w:rsid w:val="006F1FA3"/>
    <w:rsid w:val="00703D08"/>
    <w:rsid w:val="00704DE2"/>
    <w:rsid w:val="00705C0F"/>
    <w:rsid w:val="00713FBC"/>
    <w:rsid w:val="00714BF4"/>
    <w:rsid w:val="0071736E"/>
    <w:rsid w:val="007316FE"/>
    <w:rsid w:val="0074022C"/>
    <w:rsid w:val="007474F8"/>
    <w:rsid w:val="00750F84"/>
    <w:rsid w:val="0075382A"/>
    <w:rsid w:val="0075795B"/>
    <w:rsid w:val="007625DD"/>
    <w:rsid w:val="00773B6E"/>
    <w:rsid w:val="00773C13"/>
    <w:rsid w:val="007820A1"/>
    <w:rsid w:val="007902AD"/>
    <w:rsid w:val="007A1385"/>
    <w:rsid w:val="007A1EF9"/>
    <w:rsid w:val="007B168A"/>
    <w:rsid w:val="007B17C6"/>
    <w:rsid w:val="007B19EE"/>
    <w:rsid w:val="007B584B"/>
    <w:rsid w:val="007B757B"/>
    <w:rsid w:val="007D4A31"/>
    <w:rsid w:val="007E1AEA"/>
    <w:rsid w:val="007E7235"/>
    <w:rsid w:val="007F2F45"/>
    <w:rsid w:val="007F5CFE"/>
    <w:rsid w:val="00803728"/>
    <w:rsid w:val="00820500"/>
    <w:rsid w:val="00823BAD"/>
    <w:rsid w:val="00830C4E"/>
    <w:rsid w:val="00831284"/>
    <w:rsid w:val="00834930"/>
    <w:rsid w:val="00836404"/>
    <w:rsid w:val="00841F02"/>
    <w:rsid w:val="00842E94"/>
    <w:rsid w:val="00847327"/>
    <w:rsid w:val="00852887"/>
    <w:rsid w:val="00855EF3"/>
    <w:rsid w:val="00864147"/>
    <w:rsid w:val="0086440A"/>
    <w:rsid w:val="0086572C"/>
    <w:rsid w:val="008659BE"/>
    <w:rsid w:val="00867367"/>
    <w:rsid w:val="00874475"/>
    <w:rsid w:val="00880799"/>
    <w:rsid w:val="008A407D"/>
    <w:rsid w:val="008A6394"/>
    <w:rsid w:val="008A6DBA"/>
    <w:rsid w:val="008A7BF6"/>
    <w:rsid w:val="008B0A7D"/>
    <w:rsid w:val="008B40BE"/>
    <w:rsid w:val="008B4C64"/>
    <w:rsid w:val="008B6CDF"/>
    <w:rsid w:val="008B761A"/>
    <w:rsid w:val="008C1089"/>
    <w:rsid w:val="008D2346"/>
    <w:rsid w:val="008D527E"/>
    <w:rsid w:val="008D5A5C"/>
    <w:rsid w:val="008D6AB5"/>
    <w:rsid w:val="008D6C15"/>
    <w:rsid w:val="008E0F7D"/>
    <w:rsid w:val="008E27F6"/>
    <w:rsid w:val="008E3308"/>
    <w:rsid w:val="008F2BDA"/>
    <w:rsid w:val="008F365F"/>
    <w:rsid w:val="008F57D9"/>
    <w:rsid w:val="00901DBF"/>
    <w:rsid w:val="00905573"/>
    <w:rsid w:val="00917341"/>
    <w:rsid w:val="00920735"/>
    <w:rsid w:val="0092421F"/>
    <w:rsid w:val="00925767"/>
    <w:rsid w:val="00930D41"/>
    <w:rsid w:val="00933A35"/>
    <w:rsid w:val="00935F3F"/>
    <w:rsid w:val="00936F3B"/>
    <w:rsid w:val="009421ED"/>
    <w:rsid w:val="00962AD4"/>
    <w:rsid w:val="009664E5"/>
    <w:rsid w:val="0096735B"/>
    <w:rsid w:val="009678E6"/>
    <w:rsid w:val="00967FA1"/>
    <w:rsid w:val="00974223"/>
    <w:rsid w:val="00974693"/>
    <w:rsid w:val="00974AEF"/>
    <w:rsid w:val="0098600A"/>
    <w:rsid w:val="0099176E"/>
    <w:rsid w:val="00997765"/>
    <w:rsid w:val="009A05B4"/>
    <w:rsid w:val="009A1415"/>
    <w:rsid w:val="009A2301"/>
    <w:rsid w:val="009A2A0C"/>
    <w:rsid w:val="009A7C09"/>
    <w:rsid w:val="009A7E38"/>
    <w:rsid w:val="009B13A3"/>
    <w:rsid w:val="009B5AE1"/>
    <w:rsid w:val="009B5B52"/>
    <w:rsid w:val="009C0997"/>
    <w:rsid w:val="009C2DF0"/>
    <w:rsid w:val="009C451D"/>
    <w:rsid w:val="009C5DA9"/>
    <w:rsid w:val="009D003C"/>
    <w:rsid w:val="009D2C9E"/>
    <w:rsid w:val="009E14FC"/>
    <w:rsid w:val="009E423F"/>
    <w:rsid w:val="009E5EE5"/>
    <w:rsid w:val="009F10F3"/>
    <w:rsid w:val="00A00F48"/>
    <w:rsid w:val="00A03504"/>
    <w:rsid w:val="00A03814"/>
    <w:rsid w:val="00A03AC8"/>
    <w:rsid w:val="00A05E66"/>
    <w:rsid w:val="00A07C3F"/>
    <w:rsid w:val="00A15B7F"/>
    <w:rsid w:val="00A23A98"/>
    <w:rsid w:val="00A30F0E"/>
    <w:rsid w:val="00A3495B"/>
    <w:rsid w:val="00A35E1B"/>
    <w:rsid w:val="00A37AB5"/>
    <w:rsid w:val="00A410AB"/>
    <w:rsid w:val="00A4352B"/>
    <w:rsid w:val="00A46094"/>
    <w:rsid w:val="00A53AD7"/>
    <w:rsid w:val="00A56BFB"/>
    <w:rsid w:val="00A572D3"/>
    <w:rsid w:val="00A6463C"/>
    <w:rsid w:val="00A65847"/>
    <w:rsid w:val="00A741D6"/>
    <w:rsid w:val="00A7696E"/>
    <w:rsid w:val="00A824F5"/>
    <w:rsid w:val="00A85439"/>
    <w:rsid w:val="00A874E7"/>
    <w:rsid w:val="00A900DD"/>
    <w:rsid w:val="00A90A65"/>
    <w:rsid w:val="00A930FC"/>
    <w:rsid w:val="00AA171A"/>
    <w:rsid w:val="00AA5D21"/>
    <w:rsid w:val="00AB589D"/>
    <w:rsid w:val="00AC2139"/>
    <w:rsid w:val="00AC4027"/>
    <w:rsid w:val="00AD006E"/>
    <w:rsid w:val="00AF03BE"/>
    <w:rsid w:val="00B0165A"/>
    <w:rsid w:val="00B021C3"/>
    <w:rsid w:val="00B13B2B"/>
    <w:rsid w:val="00B13E04"/>
    <w:rsid w:val="00B25193"/>
    <w:rsid w:val="00B2635E"/>
    <w:rsid w:val="00B33D7E"/>
    <w:rsid w:val="00B41644"/>
    <w:rsid w:val="00B46A9D"/>
    <w:rsid w:val="00B50402"/>
    <w:rsid w:val="00B52B8D"/>
    <w:rsid w:val="00B62109"/>
    <w:rsid w:val="00B643D5"/>
    <w:rsid w:val="00B650CA"/>
    <w:rsid w:val="00B720E1"/>
    <w:rsid w:val="00B729FD"/>
    <w:rsid w:val="00B730DB"/>
    <w:rsid w:val="00B73F33"/>
    <w:rsid w:val="00B8559B"/>
    <w:rsid w:val="00B867DB"/>
    <w:rsid w:val="00B906AA"/>
    <w:rsid w:val="00B92FEF"/>
    <w:rsid w:val="00B95EF9"/>
    <w:rsid w:val="00B960F1"/>
    <w:rsid w:val="00BA0E3A"/>
    <w:rsid w:val="00BA4DCF"/>
    <w:rsid w:val="00BA6FCA"/>
    <w:rsid w:val="00BB06CF"/>
    <w:rsid w:val="00BB1EFA"/>
    <w:rsid w:val="00BB40F1"/>
    <w:rsid w:val="00BB478B"/>
    <w:rsid w:val="00BB5F05"/>
    <w:rsid w:val="00BC15E3"/>
    <w:rsid w:val="00BC1A5F"/>
    <w:rsid w:val="00BC76A3"/>
    <w:rsid w:val="00BC7C80"/>
    <w:rsid w:val="00BD0054"/>
    <w:rsid w:val="00BD27A6"/>
    <w:rsid w:val="00BE0AF3"/>
    <w:rsid w:val="00BE5680"/>
    <w:rsid w:val="00C0659D"/>
    <w:rsid w:val="00C1185F"/>
    <w:rsid w:val="00C15B67"/>
    <w:rsid w:val="00C214D8"/>
    <w:rsid w:val="00C23E9D"/>
    <w:rsid w:val="00C30170"/>
    <w:rsid w:val="00C335EC"/>
    <w:rsid w:val="00C37EEE"/>
    <w:rsid w:val="00C40AF2"/>
    <w:rsid w:val="00C42B9A"/>
    <w:rsid w:val="00C46C2F"/>
    <w:rsid w:val="00C46D44"/>
    <w:rsid w:val="00C51505"/>
    <w:rsid w:val="00C57420"/>
    <w:rsid w:val="00C61F0F"/>
    <w:rsid w:val="00C656D8"/>
    <w:rsid w:val="00C6578D"/>
    <w:rsid w:val="00C65DF1"/>
    <w:rsid w:val="00C67CE4"/>
    <w:rsid w:val="00C67D67"/>
    <w:rsid w:val="00C73F80"/>
    <w:rsid w:val="00C80A7A"/>
    <w:rsid w:val="00C80DAF"/>
    <w:rsid w:val="00C8535C"/>
    <w:rsid w:val="00C857F2"/>
    <w:rsid w:val="00C94AE0"/>
    <w:rsid w:val="00CA0212"/>
    <w:rsid w:val="00CA06C3"/>
    <w:rsid w:val="00CB0AB6"/>
    <w:rsid w:val="00CD5668"/>
    <w:rsid w:val="00CE0276"/>
    <w:rsid w:val="00CE038D"/>
    <w:rsid w:val="00CE1F3D"/>
    <w:rsid w:val="00CE75AD"/>
    <w:rsid w:val="00CF134B"/>
    <w:rsid w:val="00D13DED"/>
    <w:rsid w:val="00D23495"/>
    <w:rsid w:val="00D25893"/>
    <w:rsid w:val="00D25B35"/>
    <w:rsid w:val="00D26056"/>
    <w:rsid w:val="00D3130A"/>
    <w:rsid w:val="00D31840"/>
    <w:rsid w:val="00D36482"/>
    <w:rsid w:val="00D37AFC"/>
    <w:rsid w:val="00D4411A"/>
    <w:rsid w:val="00D4490E"/>
    <w:rsid w:val="00D65B7F"/>
    <w:rsid w:val="00D65D3E"/>
    <w:rsid w:val="00D65EAD"/>
    <w:rsid w:val="00D7481C"/>
    <w:rsid w:val="00D752FA"/>
    <w:rsid w:val="00D829AA"/>
    <w:rsid w:val="00D8747C"/>
    <w:rsid w:val="00D93472"/>
    <w:rsid w:val="00D963FF"/>
    <w:rsid w:val="00DA427B"/>
    <w:rsid w:val="00DA5EB4"/>
    <w:rsid w:val="00DB2A27"/>
    <w:rsid w:val="00DB4921"/>
    <w:rsid w:val="00DB5737"/>
    <w:rsid w:val="00DC5A3A"/>
    <w:rsid w:val="00DC5FB9"/>
    <w:rsid w:val="00DD584A"/>
    <w:rsid w:val="00DE5C08"/>
    <w:rsid w:val="00DE788E"/>
    <w:rsid w:val="00DF1DA5"/>
    <w:rsid w:val="00DF1DE8"/>
    <w:rsid w:val="00DF404F"/>
    <w:rsid w:val="00E008D6"/>
    <w:rsid w:val="00E0113F"/>
    <w:rsid w:val="00E01C00"/>
    <w:rsid w:val="00E037AA"/>
    <w:rsid w:val="00E07AF7"/>
    <w:rsid w:val="00E109B6"/>
    <w:rsid w:val="00E12A8F"/>
    <w:rsid w:val="00E130A4"/>
    <w:rsid w:val="00E169ED"/>
    <w:rsid w:val="00E202D8"/>
    <w:rsid w:val="00E241BD"/>
    <w:rsid w:val="00E261D9"/>
    <w:rsid w:val="00E263C2"/>
    <w:rsid w:val="00E2690D"/>
    <w:rsid w:val="00E328EB"/>
    <w:rsid w:val="00E44164"/>
    <w:rsid w:val="00E46343"/>
    <w:rsid w:val="00E531B6"/>
    <w:rsid w:val="00E60E0C"/>
    <w:rsid w:val="00E65029"/>
    <w:rsid w:val="00E7441B"/>
    <w:rsid w:val="00E74446"/>
    <w:rsid w:val="00E96E43"/>
    <w:rsid w:val="00E97B31"/>
    <w:rsid w:val="00E97F42"/>
    <w:rsid w:val="00EA42E5"/>
    <w:rsid w:val="00EB57D6"/>
    <w:rsid w:val="00EC1388"/>
    <w:rsid w:val="00EC2393"/>
    <w:rsid w:val="00EC5C71"/>
    <w:rsid w:val="00ED2DC4"/>
    <w:rsid w:val="00EE116B"/>
    <w:rsid w:val="00EF4677"/>
    <w:rsid w:val="00F011A2"/>
    <w:rsid w:val="00F028A8"/>
    <w:rsid w:val="00F040DE"/>
    <w:rsid w:val="00F11104"/>
    <w:rsid w:val="00F1433B"/>
    <w:rsid w:val="00F177AE"/>
    <w:rsid w:val="00F25459"/>
    <w:rsid w:val="00F3059E"/>
    <w:rsid w:val="00F31C0C"/>
    <w:rsid w:val="00F332DD"/>
    <w:rsid w:val="00F37975"/>
    <w:rsid w:val="00F50A52"/>
    <w:rsid w:val="00F60A16"/>
    <w:rsid w:val="00F64940"/>
    <w:rsid w:val="00F65467"/>
    <w:rsid w:val="00F66745"/>
    <w:rsid w:val="00F67FF1"/>
    <w:rsid w:val="00F737CA"/>
    <w:rsid w:val="00F73BBE"/>
    <w:rsid w:val="00F74CBD"/>
    <w:rsid w:val="00F82205"/>
    <w:rsid w:val="00F87D01"/>
    <w:rsid w:val="00F91123"/>
    <w:rsid w:val="00F92BEF"/>
    <w:rsid w:val="00FA3ABA"/>
    <w:rsid w:val="00FA3FF2"/>
    <w:rsid w:val="00FA740A"/>
    <w:rsid w:val="00FB031A"/>
    <w:rsid w:val="00FB2A39"/>
    <w:rsid w:val="00FC2B75"/>
    <w:rsid w:val="00FC324B"/>
    <w:rsid w:val="00FD41E2"/>
    <w:rsid w:val="00FD53D9"/>
    <w:rsid w:val="00FD7FDD"/>
    <w:rsid w:val="00FE1977"/>
    <w:rsid w:val="00FE5520"/>
    <w:rsid w:val="00FF1359"/>
    <w:rsid w:val="00FF185F"/>
    <w:rsid w:val="00FF3E88"/>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83EE"/>
  <w15:chartTrackingRefBased/>
  <w15:docId w15:val="{DA314D83-FA3D-4F84-AEAB-ED3B82A5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EF"/>
    <w:pPr>
      <w:ind w:firstLine="567"/>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AEF"/>
    <w:pPr>
      <w:spacing w:line="240" w:lineRule="auto"/>
      <w:ind w:firstLine="567"/>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74AEF"/>
  </w:style>
  <w:style w:type="paragraph" w:styleId="Header">
    <w:name w:val="header"/>
    <w:basedOn w:val="Normal"/>
    <w:link w:val="HeaderChar"/>
    <w:uiPriority w:val="99"/>
    <w:unhideWhenUsed/>
    <w:rsid w:val="00974AEF"/>
    <w:pPr>
      <w:tabs>
        <w:tab w:val="center" w:pos="4680"/>
        <w:tab w:val="right" w:pos="9360"/>
      </w:tabs>
      <w:spacing w:line="240" w:lineRule="auto"/>
    </w:pPr>
  </w:style>
  <w:style w:type="character" w:customStyle="1" w:styleId="HeaderChar">
    <w:name w:val="Header Char"/>
    <w:basedOn w:val="DefaultParagraphFont"/>
    <w:link w:val="Header"/>
    <w:uiPriority w:val="99"/>
    <w:rsid w:val="00974AEF"/>
    <w:rPr>
      <w:rFonts w:cs="Times New Roman"/>
      <w:szCs w:val="28"/>
    </w:rPr>
  </w:style>
  <w:style w:type="paragraph" w:styleId="Footer">
    <w:name w:val="footer"/>
    <w:basedOn w:val="Normal"/>
    <w:link w:val="FooterChar"/>
    <w:uiPriority w:val="99"/>
    <w:unhideWhenUsed/>
    <w:rsid w:val="00974AEF"/>
    <w:pPr>
      <w:tabs>
        <w:tab w:val="center" w:pos="4680"/>
        <w:tab w:val="right" w:pos="9360"/>
      </w:tabs>
      <w:spacing w:line="240" w:lineRule="auto"/>
    </w:pPr>
  </w:style>
  <w:style w:type="character" w:customStyle="1" w:styleId="FooterChar">
    <w:name w:val="Footer Char"/>
    <w:basedOn w:val="DefaultParagraphFont"/>
    <w:link w:val="Footer"/>
    <w:uiPriority w:val="99"/>
    <w:rsid w:val="00974AEF"/>
    <w:rPr>
      <w:rFonts w:cs="Times New Roman"/>
      <w:szCs w:val="28"/>
    </w:rPr>
  </w:style>
  <w:style w:type="character" w:customStyle="1" w:styleId="Bodytext2Bold">
    <w:name w:val="Body text (2) + Bold"/>
    <w:basedOn w:val="DefaultParagraphFont"/>
    <w:rsid w:val="00974AE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alt-edited">
    <w:name w:val="alt-edited"/>
    <w:basedOn w:val="DefaultParagraphFont"/>
    <w:rsid w:val="00974AEF"/>
  </w:style>
  <w:style w:type="character" w:styleId="Hyperlink">
    <w:name w:val="Hyperlink"/>
    <w:basedOn w:val="DefaultParagraphFont"/>
    <w:uiPriority w:val="99"/>
    <w:unhideWhenUsed/>
    <w:rsid w:val="00974AEF"/>
    <w:rPr>
      <w:color w:val="0563C1" w:themeColor="hyperlink"/>
      <w:u w:val="single"/>
    </w:rPr>
  </w:style>
  <w:style w:type="paragraph" w:styleId="ListParagraph">
    <w:name w:val="List Paragraph"/>
    <w:basedOn w:val="Normal"/>
    <w:uiPriority w:val="34"/>
    <w:qFormat/>
    <w:rsid w:val="00974AEF"/>
    <w:pPr>
      <w:ind w:left="720"/>
      <w:contextualSpacing/>
    </w:pPr>
  </w:style>
  <w:style w:type="paragraph" w:customStyle="1" w:styleId="2">
    <w:name w:val="2"/>
    <w:basedOn w:val="Normal"/>
    <w:qFormat/>
    <w:rsid w:val="00974AEF"/>
    <w:pPr>
      <w:spacing w:line="240" w:lineRule="auto"/>
      <w:ind w:firstLine="709"/>
    </w:pPr>
    <w:rPr>
      <w:rFonts w:eastAsia="Times New Roman"/>
      <w:sz w:val="26"/>
      <w:szCs w:val="26"/>
      <w:lang w:val="ru-RU" w:eastAsia="ru-RU"/>
    </w:rPr>
  </w:style>
  <w:style w:type="paragraph" w:styleId="FootnoteText">
    <w:name w:val="footnote text"/>
    <w:basedOn w:val="Normal"/>
    <w:link w:val="FootnoteTextChar"/>
    <w:uiPriority w:val="99"/>
    <w:semiHidden/>
    <w:unhideWhenUsed/>
    <w:rsid w:val="00974AEF"/>
    <w:pPr>
      <w:spacing w:line="240" w:lineRule="auto"/>
    </w:pPr>
    <w:rPr>
      <w:sz w:val="20"/>
      <w:szCs w:val="20"/>
    </w:rPr>
  </w:style>
  <w:style w:type="character" w:customStyle="1" w:styleId="FootnoteTextChar">
    <w:name w:val="Footnote Text Char"/>
    <w:basedOn w:val="DefaultParagraphFont"/>
    <w:link w:val="FootnoteText"/>
    <w:uiPriority w:val="99"/>
    <w:semiHidden/>
    <w:rsid w:val="00974AEF"/>
    <w:rPr>
      <w:rFonts w:cs="Times New Roman"/>
      <w:sz w:val="20"/>
      <w:szCs w:val="20"/>
    </w:rPr>
  </w:style>
  <w:style w:type="character" w:styleId="FootnoteReference">
    <w:name w:val="footnote reference"/>
    <w:basedOn w:val="DefaultParagraphFont"/>
    <w:uiPriority w:val="99"/>
    <w:semiHidden/>
    <w:unhideWhenUsed/>
    <w:rsid w:val="00974AEF"/>
    <w:rPr>
      <w:vertAlign w:val="superscript"/>
    </w:rPr>
  </w:style>
  <w:style w:type="character" w:customStyle="1" w:styleId="Bodytext2">
    <w:name w:val="Body text (2)"/>
    <w:basedOn w:val="DefaultParagraphFont"/>
    <w:rsid w:val="00974AE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0">
    <w:name w:val="Body text (2)_"/>
    <w:basedOn w:val="DefaultParagraphFont"/>
    <w:link w:val="Bodytext21"/>
    <w:rsid w:val="00974AEF"/>
    <w:rPr>
      <w:rFonts w:ascii="Sylfaen" w:eastAsia="Sylfaen" w:hAnsi="Sylfaen" w:cs="Sylfaen"/>
      <w:sz w:val="26"/>
      <w:szCs w:val="26"/>
      <w:shd w:val="clear" w:color="auto" w:fill="FFFFFF"/>
    </w:rPr>
  </w:style>
  <w:style w:type="paragraph" w:customStyle="1" w:styleId="Bodytext21">
    <w:name w:val="Body text (2)1"/>
    <w:basedOn w:val="Normal"/>
    <w:link w:val="Bodytext20"/>
    <w:rsid w:val="00974AEF"/>
    <w:pPr>
      <w:widowControl w:val="0"/>
      <w:shd w:val="clear" w:color="auto" w:fill="FFFFFF"/>
      <w:spacing w:line="480" w:lineRule="exact"/>
      <w:ind w:firstLine="0"/>
      <w:jc w:val="center"/>
    </w:pPr>
    <w:rPr>
      <w:rFonts w:ascii="Sylfaen" w:eastAsia="Sylfaen" w:hAnsi="Sylfaen" w:cs="Sylfaen"/>
      <w:sz w:val="26"/>
      <w:szCs w:val="26"/>
    </w:rPr>
  </w:style>
  <w:style w:type="character" w:customStyle="1" w:styleId="Bodytext27">
    <w:name w:val="Body text (2)7"/>
    <w:basedOn w:val="Bodytext20"/>
    <w:rsid w:val="00974AEF"/>
    <w:rPr>
      <w:rFonts w:ascii="Sylfaen" w:eastAsia="Sylfaen" w:hAnsi="Sylfaen" w:cs="Sylfaen"/>
      <w:color w:val="000000"/>
      <w:spacing w:val="0"/>
      <w:w w:val="100"/>
      <w:position w:val="0"/>
      <w:sz w:val="26"/>
      <w:szCs w:val="26"/>
      <w:shd w:val="clear" w:color="auto" w:fill="FFFFFF"/>
      <w:lang w:val="ru-RU" w:eastAsia="ru-RU" w:bidi="ru-RU"/>
    </w:rPr>
  </w:style>
  <w:style w:type="character" w:customStyle="1" w:styleId="Bodytext26">
    <w:name w:val="Body text (2)6"/>
    <w:basedOn w:val="Bodytext20"/>
    <w:rsid w:val="00974AEF"/>
    <w:rPr>
      <w:rFonts w:ascii="Sylfaen" w:eastAsia="Sylfaen" w:hAnsi="Sylfaen" w:cs="Sylfaen"/>
      <w:color w:val="000000"/>
      <w:spacing w:val="0"/>
      <w:w w:val="100"/>
      <w:position w:val="0"/>
      <w:sz w:val="26"/>
      <w:szCs w:val="26"/>
      <w:shd w:val="clear" w:color="auto" w:fill="FFFFFF"/>
      <w:lang w:val="ru-RU" w:eastAsia="ru-RU" w:bidi="ru-RU"/>
    </w:rPr>
  </w:style>
  <w:style w:type="character" w:customStyle="1" w:styleId="Tablecaption3">
    <w:name w:val="Table caption (3)_"/>
    <w:basedOn w:val="DefaultParagraphFont"/>
    <w:link w:val="Tablecaption31"/>
    <w:rsid w:val="00974AEF"/>
    <w:rPr>
      <w:rFonts w:ascii="Sylfaen" w:eastAsia="Sylfaen" w:hAnsi="Sylfaen" w:cs="Sylfaen"/>
      <w:sz w:val="19"/>
      <w:szCs w:val="19"/>
      <w:shd w:val="clear" w:color="auto" w:fill="FFFFFF"/>
    </w:rPr>
  </w:style>
  <w:style w:type="paragraph" w:customStyle="1" w:styleId="Tablecaption31">
    <w:name w:val="Table caption (3)1"/>
    <w:basedOn w:val="Normal"/>
    <w:link w:val="Tablecaption3"/>
    <w:rsid w:val="00974AEF"/>
    <w:pPr>
      <w:widowControl w:val="0"/>
      <w:shd w:val="clear" w:color="auto" w:fill="FFFFFF"/>
      <w:spacing w:line="230" w:lineRule="exact"/>
      <w:ind w:firstLine="0"/>
    </w:pPr>
    <w:rPr>
      <w:rFonts w:ascii="Sylfaen" w:eastAsia="Sylfaen" w:hAnsi="Sylfaen" w:cs="Sylfaen"/>
      <w:sz w:val="19"/>
      <w:szCs w:val="19"/>
    </w:rPr>
  </w:style>
  <w:style w:type="paragraph" w:styleId="Caption">
    <w:name w:val="caption"/>
    <w:basedOn w:val="Normal"/>
    <w:next w:val="Normal"/>
    <w:uiPriority w:val="35"/>
    <w:unhideWhenUsed/>
    <w:qFormat/>
    <w:rsid w:val="00974AEF"/>
    <w:pPr>
      <w:spacing w:after="200" w:line="240" w:lineRule="auto"/>
    </w:pPr>
    <w:rPr>
      <w:i/>
      <w:iCs/>
      <w:color w:val="44546A" w:themeColor="text2"/>
      <w:sz w:val="18"/>
      <w:szCs w:val="18"/>
    </w:rPr>
  </w:style>
  <w:style w:type="character" w:customStyle="1" w:styleId="BalloonTextChar">
    <w:name w:val="Balloon Text Char"/>
    <w:basedOn w:val="DefaultParagraphFont"/>
    <w:link w:val="BalloonText"/>
    <w:uiPriority w:val="99"/>
    <w:semiHidden/>
    <w:rsid w:val="00974AEF"/>
    <w:rPr>
      <w:rFonts w:ascii="Segoe UI" w:hAnsi="Segoe UI" w:cs="Segoe UI"/>
      <w:sz w:val="18"/>
      <w:szCs w:val="18"/>
    </w:rPr>
  </w:style>
  <w:style w:type="paragraph" w:styleId="BalloonText">
    <w:name w:val="Balloon Text"/>
    <w:basedOn w:val="Normal"/>
    <w:link w:val="BalloonTextChar"/>
    <w:uiPriority w:val="99"/>
    <w:semiHidden/>
    <w:unhideWhenUsed/>
    <w:rsid w:val="00974AEF"/>
    <w:pPr>
      <w:spacing w:line="240" w:lineRule="auto"/>
    </w:pPr>
    <w:rPr>
      <w:rFonts w:ascii="Segoe UI" w:hAnsi="Segoe UI" w:cs="Segoe UI"/>
      <w:sz w:val="18"/>
      <w:szCs w:val="18"/>
    </w:rPr>
  </w:style>
  <w:style w:type="character" w:customStyle="1" w:styleId="tlid-translation">
    <w:name w:val="tlid-translation"/>
    <w:basedOn w:val="DefaultParagraphFont"/>
    <w:rsid w:val="00974AEF"/>
  </w:style>
  <w:style w:type="character" w:styleId="PlaceholderText">
    <w:name w:val="Placeholder Text"/>
    <w:basedOn w:val="DefaultParagraphFont"/>
    <w:uiPriority w:val="99"/>
    <w:semiHidden/>
    <w:rsid w:val="00AC2139"/>
    <w:rPr>
      <w:color w:val="808080"/>
    </w:rPr>
  </w:style>
  <w:style w:type="character" w:customStyle="1" w:styleId="Bodytext275pt">
    <w:name w:val="Body text (2) + 7.5 pt"/>
    <w:aliases w:val="Italic"/>
    <w:basedOn w:val="Bodytext20"/>
    <w:rsid w:val="00EC5C71"/>
    <w:rPr>
      <w:rFonts w:ascii="Sylfaen" w:eastAsia="Times New Roman" w:hAnsi="Sylfaen" w:cs="Times New Roman"/>
      <w:color w:val="000000"/>
      <w:spacing w:val="0"/>
      <w:w w:val="100"/>
      <w:position w:val="0"/>
      <w:sz w:val="15"/>
      <w:szCs w:val="15"/>
      <w:shd w:val="clear" w:color="auto" w:fill="FFFFFF"/>
      <w:lang w:val="en-GB" w:eastAsia="en-GB" w:bidi="en-GB"/>
    </w:rPr>
  </w:style>
  <w:style w:type="paragraph" w:customStyle="1" w:styleId="recibido">
    <w:name w:val="recibido"/>
    <w:basedOn w:val="Normal"/>
    <w:rsid w:val="004F0999"/>
    <w:pPr>
      <w:spacing w:before="100" w:beforeAutospacing="1" w:after="100" w:afterAutospacing="1" w:line="240" w:lineRule="auto"/>
      <w:ind w:firstLine="0"/>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6265">
      <w:bodyDiv w:val="1"/>
      <w:marLeft w:val="0"/>
      <w:marRight w:val="0"/>
      <w:marTop w:val="0"/>
      <w:marBottom w:val="0"/>
      <w:divBdr>
        <w:top w:val="none" w:sz="0" w:space="0" w:color="auto"/>
        <w:left w:val="none" w:sz="0" w:space="0" w:color="auto"/>
        <w:bottom w:val="none" w:sz="0" w:space="0" w:color="auto"/>
        <w:right w:val="none" w:sz="0" w:space="0" w:color="auto"/>
      </w:divBdr>
    </w:div>
    <w:div w:id="16559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udit@mail.ru" TargetMode="External"/><Relationship Id="rId3" Type="http://schemas.openxmlformats.org/officeDocument/2006/relationships/settings" Target="settings.xml"/><Relationship Id="rId7" Type="http://schemas.openxmlformats.org/officeDocument/2006/relationships/hyperlink" Target="mailto:buithaohuong201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12</Pages>
  <Words>2892</Words>
  <Characters>16485</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Thiên Miểu Ajisai</dc:creator>
  <cp:keywords/>
  <dc:description/>
  <cp:lastModifiedBy>Thiên Miểu Ajisai</cp:lastModifiedBy>
  <cp:revision>9</cp:revision>
  <cp:lastPrinted>2019-02-14T14:19:00Z</cp:lastPrinted>
  <dcterms:created xsi:type="dcterms:W3CDTF">2019-02-19T13:32:00Z</dcterms:created>
  <dcterms:modified xsi:type="dcterms:W3CDTF">2019-03-22T11:59:00Z</dcterms:modified>
</cp:coreProperties>
</file>