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14" w:rsidRPr="00CB6B14" w:rsidRDefault="00CB6B14" w:rsidP="00CB6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УДК </w:t>
      </w:r>
      <w:r w:rsidR="0045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330.322</w:t>
      </w:r>
    </w:p>
    <w:p w:rsidR="00CB6B14" w:rsidRPr="00CB6B14" w:rsidRDefault="00CB6B14" w:rsidP="00CB6B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ИНВЕСТИЦИОННОЙ АКТИВНОСТИ В РОССИЙСКОЙ ФЕДЕРАЦИИ И РЕСПУБЛИКЕ БЕЛАРУСЬ ПО ОТРАСЛЯМ ЭКОНОМИЧЕСКОЙ ДЕЯТЕЛЬНОСТИ В 2010-2017 ГГ.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B27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Махова</w:t>
      </w:r>
      <w:proofErr w:type="spellEnd"/>
      <w:r w:rsidRPr="00B27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Владимировна</w:t>
      </w:r>
      <w:bookmarkStart w:id="0" w:name="_GoBack"/>
      <w:bookmarkEnd w:id="0"/>
      <w:r w:rsidRPr="00B27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канд. </w:t>
      </w:r>
      <w:proofErr w:type="spellStart"/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экон</w:t>
      </w:r>
      <w:proofErr w:type="spellEnd"/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наук, доцент,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доцент кафедры истории, обществознания 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педагогических технологий;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ФГБОУ </w:t>
      </w:r>
      <w:proofErr w:type="gramStart"/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филиал в г. Славянск-на-Кубани,</w:t>
      </w:r>
    </w:p>
    <w:p w:rsidR="00B27D9C" w:rsidRPr="00B27D9C" w:rsidRDefault="00B27D9C" w:rsidP="00B27D9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D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Славянск-на-Кубани, РФ</w:t>
      </w: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Стеценко Анастасия Александровна,</w:t>
      </w: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студент, филиал ФГБОУ </w:t>
      </w:r>
      <w:proofErr w:type="gramStart"/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«Кубанский</w:t>
      </w:r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государственный университет»</w:t>
      </w:r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г. Славянск-на-Кубани,</w:t>
      </w: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Славянск-на-Кубани, РФ</w:t>
      </w: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stetsenko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nasty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CB6B14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B6B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статьи включают в себя анализ инвестиции в основной капитал в Российской Федерации и республики Беларусь по видам экономической деятельности в период с 2010 по 2017 гг., в том числе: в добычу полезных ископаемых, обрабатывающие производства, транспорт и связь, в производство и распределение электроэнергии, газа и воды, строите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льство, финансовую деятельность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России, экономика Белоруссии, инвестиции, инвестиционная политика, инвестиционная активность, инвестиционная деятельность, динамика инвестиций, инвестиционный климат, инвестиции в основной капитал. 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Введение:</w:t>
      </w:r>
    </w:p>
    <w:p w:rsidR="00CB6B14" w:rsidRPr="00CB6B14" w:rsidRDefault="004461B1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инвестиции в основной капитал являются одним из важнейших факторов экономического роста, дополнительным источником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капитальных вложений в национальное производство товаров и услуг, сопровождаемых передачей технологий, новейших методов менеджмента и меняющих структуру развития экономики страны. 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добычу полезных ископаемых, обрабатывающие производства, транспорт и связь в Российской Федерации (млрд. руб.)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структуру инвестиций в добычу полезных ископаемых, обрабатывающие производства, транспорт и связь в Российской Федерации 2010 – 2017 гг. (рисунок </w:t>
      </w:r>
      <w:r w:rsid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можно сделать следующие выводы: денежные вложения в добычу полезных ископаемых были планомерными и за последние 7 лет выросли со 1 264 млрд. руб. до 2 936,7 млрд. руб. Капиталовложения в обрабатывающие производства постепенно росли достигнув своего пика в 2015 году – 2 172,6 млрд. руб., затем в 2016 – 2017 гг. наблюдается незначительное снижение вкладываемых денежных средств до 2 014,7 млрд. руб. Инвестиции транспорт и связь были неравномерными, в период с 2010 по 2012 гг. денежные вложения росли и достигли в 2012 году максимальной отметки – 3 330,7 млрд. руб., затем в период с 2013 по 2015 наблюдается значительный спад инвестируемых денежных средств в данную 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сферу до 2 499,7 млрд. руб. в 2016 году наблюдался незначительный подъем и резкий спад в 2017 до 2 248,8 млрд. руб.</w:t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CB6B14" w:rsidP="00CB6B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горнодобывающую промышленность, обрабатывающие производства, транспортную деятельность, складирование, почтовую и курьерскую деятельность в республике Беларусь (млрд. руб.)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инвестиции в горнодобывающую промышленность, обрабатывающие производства, транспортную деятельность, складирование, почтовую и курьерскую деятельность в республике Беларусь 2010 – 2017 гг. (рисунок </w:t>
      </w:r>
      <w:r w:rsid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следует отметить, что капиталовложения в горнодобывающую промышленность планомерно росли и достигли максимальной отметки в 2013 году – 3 666,2 млрд. руб., затем наблюдался незначительный спад до 2 505,3 млрд. руб. в 2015 году и резкое падение в 2016 – 2017 гг. до 0,4 млрд. руб. Денежные средства вкладываемые в обрабатывающие производства стремительно росли в период с 2010 по 2014 гг., с отметки 10 750,9 млрд. руб. до 60 591,4 млрд. руб., в 2015 году инвестиции уменьшились до 54 942,4 млрд. руб. и 2016 – 2017 гг. значительно уменьшились до 4,6 млрд. руб. Инвестиции в транспортную деятельность, складирование, почтовую и курьерскую деятельность планомерно росли с 2010 по 2015 гг., с 3 935,5 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млрд. руб. до 17 132,5 млрд. руб., в 2016 – 2017 годах заметен резкий спад инвестируемых денежных средств до 4,6 млрд. руб.</w:t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B27D9C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26" type="#_x0000_t202" style="position:absolute;left:0;text-align:left;margin-left:0;margin-top:249.25pt;width:133.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" fillcolor="window" stroked="f" strokeweight=".5pt">
            <v:textbox>
              <w:txbxContent>
                <w:p w:rsidR="00CB6B14" w:rsidRPr="00C90900" w:rsidRDefault="00CB6B14" w:rsidP="00CB6B14">
                  <w:pPr>
                    <w:rPr>
                      <w:b/>
                    </w:rPr>
                  </w:pPr>
                  <w:r w:rsidRPr="00C90900">
                    <w:rPr>
                      <w:b/>
                    </w:rPr>
                    <w:t>Российская Федерация</w:t>
                  </w:r>
                </w:p>
                <w:p w:rsidR="00CB6B14" w:rsidRDefault="00CB6B14" w:rsidP="00CB6B14"/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Надпись 21" o:spid="_x0000_s1027" type="#_x0000_t202" style="position:absolute;left:0;text-align:left;margin-left:0;margin-top:-16.95pt;width:131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" fillcolor="window" stroked="f" strokeweight=".5pt">
            <v:textbox>
              <w:txbxContent>
                <w:p w:rsidR="00CB6B14" w:rsidRPr="00C90900" w:rsidRDefault="00CB6B14" w:rsidP="00CB6B14">
                  <w:pPr>
                    <w:rPr>
                      <w:b/>
                    </w:rPr>
                  </w:pPr>
                  <w:r w:rsidRPr="00C90900">
                    <w:rPr>
                      <w:b/>
                    </w:rPr>
                    <w:t>Республика Беларусь</w:t>
                  </w:r>
                </w:p>
              </w:txbxContent>
            </v:textbox>
            <w10:wrap anchorx="margin"/>
          </v:shape>
        </w:pict>
      </w:r>
      <w:r w:rsidR="00CB6B14" w:rsidRPr="00CB6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724525" cy="327660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добычу полезных ископаемых, обрабатывающие производства, транспорт и связь (%)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2000 год за базовый, рассчитаем динамику инвестиций в добычу полезных ископаемых, обрабатывающие производства, транспорт и связь.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Изучая инвестиции в добычу полезных ископаемых (рисунок </w:t>
      </w:r>
      <w:r w:rsid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можно сделать вывод о том, что в Российской Федерации за последние 7 лет капиталовложения выросли почти в 2,5 раза, со 100% до 232,3%. Денежные вложения в обрабатывающие производства к 2015 году выросли до 179,9%, затем уменьшились до 166,8 % в 2017 году. Инвестиции в транспорт и связь в период с 2010 по 2013 гг. увеличились в 1,5 раза, достигнув отметки 140,7%, затем наблюдался резкий спад вкладываемых денежных средств до 96,2 % в 2017 году. В республике Беларусь, денежные </w:t>
      </w:r>
      <w:proofErr w:type="gramStart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вкладываемые в горнодобывающую промышленность планомерно росли и достигли максимума в 2013 году увеличившись в 4 раза до 420,3%, затем наблюдался незначительный спад до 287,2% в 2015 году и резкое падение в 2016 – 2017 гг. до 0,5%. Капиталовложения в обрабатывающие производства стремительно росли в период с 2010 по 2014 гг., увеличившись в 5,5 раз с отметки 100% до 563,6%, в 2015 году инвестиции уменьшились до 506,9% и 2016 – 2017 гг. значительно уменьшились до 0,04%. Инвестиции в транспортную деятельность, складирование, почтовую и курьерскую деятельность планомерно росли с 2010 по 2015 гг., и увеличились в 4,5 раза со 100% до 435,3%, в 2016 – 2017 годах заметен резкий спад инвестируемых денежных средств до 0,05%.</w:t>
      </w:r>
    </w:p>
    <w:p w:rsidR="00CB6B14" w:rsidRPr="00CB6B14" w:rsidRDefault="009B0703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инвестиции в производство и распределение электроэнергии, газа и воды, строительство, финансовую деятельность в Российской Федерации 2010 – 2017 гг. (рисунок 4), можно сделать следующие выводы: денежные вложения в производство и распределение электроэнергии, газа и воды росли постепенно и своего пика достигли в 2013 году – 1 187,6 млрд. руб., затем в период с 2014 по 2017 гг. наблюдался спад вкладываемых денежных средств до 885,3 млрд. руб. в 2017 году. Капиталовложения в строительство были не равномерными и своей максимальной отметки достигли в 2014 году – 469,3 млрд. руб., в 2017 году наблюдался резкий спад инвестиций в данную отрасль до 266,5 млрд. руб. Денежные вложения в финансовую деятельность на протяжении всего </w:t>
      </w:r>
      <w:r w:rsidRPr="009B0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 постепенно росли и достигли своего пика в 2017 году – 252 млрд.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14" w:rsidRPr="00CB6B14" w:rsidRDefault="00CB6B14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B14" w:rsidRDefault="00CB6B14" w:rsidP="0084173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производство и распределение электроэнергии, газа и воды, строительство, финансовую деятельность в Российской Федерации (млрд. руб.)</w:t>
      </w:r>
    </w:p>
    <w:p w:rsidR="00CB6B14" w:rsidRPr="00CB6B14" w:rsidRDefault="00CB6B14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снабжение электроэнергией, газом, паром, горячей водой и кондиционированным воздухом, строительство, финансовую и страховую деятельность в республике Беларусь (млрд. руб.)</w:t>
      </w:r>
    </w:p>
    <w:p w:rsid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Проведя анализ инвестиций в снабжение электроэнергией, газом, паром, горячей водой и кондиционированным воздухом, строительство, финансовую и страховую деятельность в республике Беларусь</w:t>
      </w:r>
      <w:r w:rsid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5),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выводы: денежные средства, вкладываемые в снабжение электроэнергией, газом, паром, горячей водой и кондиционированным воздухом росли с 2010 по 2013 гг. достигнув максимального значения в 19 470,4 млрд. руб., затем в 2014 году наблюдался небольшой спад 15 104,4 млрд. руб. и в 2015 году инвестиции выросли до 18 967,9 млрд. руб., после чего наблюдается резкий спад в 2016 – 2017 гг. до 2,9 млрд. руб. Инвестиции в строительство планомерно росли до 2014 года достигнув отметки в 8 636,3 млрд. руб., в 2015 году наблюдалось сокращение вкладываемых денежных средств в 2 раза – 4 922 млрд. руб., и резкий спад в 2016 –2017 гг. до 0,2 млрд. руб. Капиталовложения в финансовую и страховую деятельность росли с 2010 по 2015 гг., с отметки 656,3 млрд. руб. до 2 838,8 млрд. руб., затем в 2016 – 2017 гг. наблюдается резкий спад до 0,1 млрд. руб.</w:t>
      </w:r>
    </w:p>
    <w:p w:rsidR="00841739" w:rsidRPr="00841739" w:rsidRDefault="00841739" w:rsidP="00841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2000 год за базовый, рассчитаем динамику инвестиций в производство и распределение электроэнергии, газа и воды, строительство, финансовую деятельность.</w:t>
      </w:r>
    </w:p>
    <w:p w:rsidR="00841739" w:rsidRPr="00CB6B14" w:rsidRDefault="00841739" w:rsidP="008417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структуру инвестиций в производство и распределение электроэнергии, газа и воды (рисунок 6), можно сделать вывод о том, что в Российской Федерации к 2013 году инвестиции увеличились в 1,5 раза, достигнув отметки 145%, затем наблюдается спад до 108,1% в 2017 году. </w:t>
      </w:r>
      <w:proofErr w:type="gramStart"/>
      <w:r w:rsidRP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Капиталовложения в строительство были не равномерными и своей максимальной отметки достигли в 2014 году – 137,2%, в 2017 году наблюдался резкий спад инвестиций в данную отрасль до 77,9%. Денежные средства, вкладываемые в финансовую деятельность в период с 2010 по 2012 гг. выросли со 100% до 170,6%, затем в период с 2012 по 2014 гг. наблюдается спад финансирования до 137,2%, в период</w:t>
      </w:r>
      <w:proofErr w:type="gramEnd"/>
      <w:r w:rsidRPr="0084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2017 гг. инвестиции выросли в 2 раза, со 142,4% до 210,5%.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14" w:rsidRPr="00CB6B14" w:rsidRDefault="00B27D9C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28" type="#_x0000_t202" style="position:absolute;left:0;text-align:left;margin-left:0;margin-top:250.8pt;width:131.25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" fillcolor="window" stroked="f" strokeweight=".5pt">
            <v:textbox>
              <w:txbxContent>
                <w:p w:rsidR="00CB6B14" w:rsidRPr="00C90900" w:rsidRDefault="00CB6B14" w:rsidP="00CB6B14">
                  <w:pPr>
                    <w:rPr>
                      <w:b/>
                    </w:rPr>
                  </w:pPr>
                  <w:r w:rsidRPr="00C90900">
                    <w:rPr>
                      <w:b/>
                    </w:rPr>
                    <w:t>Р</w:t>
                  </w:r>
                  <w:r>
                    <w:rPr>
                      <w:b/>
                    </w:rPr>
                    <w:t xml:space="preserve">еспублика </w:t>
                  </w:r>
                  <w:r w:rsidRPr="00C90900">
                    <w:rPr>
                      <w:b/>
                    </w:rPr>
                    <w:t>Беларусь</w:t>
                  </w: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3" o:spid="_x0000_s1029" type="#_x0000_t202" style="position:absolute;left:0;text-align:left;margin-left:0;margin-top:-14.7pt;width:153.75pt;height:18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" fillcolor="window" stroked="f" strokeweight=".5pt">
            <v:textbox>
              <w:txbxContent>
                <w:p w:rsidR="00CB6B14" w:rsidRPr="00C90900" w:rsidRDefault="00CB6B14" w:rsidP="00CB6B14">
                  <w:pPr>
                    <w:rPr>
                      <w:b/>
                    </w:rPr>
                  </w:pPr>
                  <w:r w:rsidRPr="00C90900">
                    <w:rPr>
                      <w:b/>
                    </w:rPr>
                    <w:t>Российская Федерация</w:t>
                  </w:r>
                </w:p>
              </w:txbxContent>
            </v:textbox>
            <w10:wrap anchorx="margin"/>
          </v:shape>
        </w:pict>
      </w:r>
      <w:r w:rsidR="00CB6B14"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CB6B1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6B14" w:rsidRPr="00CB6B14" w:rsidRDefault="00CB6B14" w:rsidP="00CB6B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CB70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производство и распределение электроэнергии, газа и воды, строительство, финансовую деятельность (%)</w:t>
      </w:r>
    </w:p>
    <w:p w:rsidR="00CB6B14" w:rsidRPr="00CB6B14" w:rsidRDefault="00CB6B14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инвестиции в снабжение электроэнергией, газом, паром, горячей водой и кондиционированным воздухом с 2010 по 2015 гг. увеличились в 5 раз со 100% до 580%, в 2016 – 2017 гг. наблюдался резкий спад до 0,08%. Денежные средства, вкладываемые в строительство росли в период с 2010 по 2014 гг., увеличившись в 3 раза со 100% до 337,9%, </w:t>
      </w: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 году</w:t>
      </w:r>
      <w:proofErr w:type="gramEnd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 уменьшились до 192,6%, в 2016 – 2017 гг. наблюдается резкое уменьшение финансирования данной области до 0,07%. </w:t>
      </w:r>
      <w:proofErr w:type="gramStart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Капиталовложения</w:t>
      </w:r>
      <w:proofErr w:type="gramEnd"/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вкладываемые в финансовую и страховую деятельность с 2010 по 2015 гг. увеличились в 4 раз со 100% до 432,5%, в 2016 – 2017 гг. наблюдался резкий спад до 0,01%.</w:t>
      </w:r>
    </w:p>
    <w:p w:rsidR="00CB6B14" w:rsidRPr="00CB6B14" w:rsidRDefault="00CB6B14" w:rsidP="00CB6B1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CB6B14" w:rsidRPr="00CB6B14" w:rsidRDefault="006C112A" w:rsidP="00CB6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Характеризуя итоговый период за 2010-2017 года, можно сделать следующие выводы: 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изменились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транспорт и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170" w:rsidRP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производство и распределение электроэнергии, газа и воды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финансовую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выросли капиталовложения в добычу полезных иско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паемых и в среднем в обрабатываю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производст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</w:t>
      </w:r>
      <w:proofErr w:type="gramStart"/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="0086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строительство снизились в двое. В Республике Беларусь резко снизились инвестиции во все отросли экономической деятельности.</w:t>
      </w:r>
    </w:p>
    <w:p w:rsidR="00CB6B14" w:rsidRPr="00CB6B14" w:rsidRDefault="00CB6B14" w:rsidP="00CB6B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</w:t>
      </w:r>
    </w:p>
    <w:p w:rsidR="00CB6B14" w:rsidRPr="00CB6B14" w:rsidRDefault="00CB6B14" w:rsidP="00CB6B1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Национальный статический комитет Республики Беларусь. [Электронный ресурс] </w:t>
      </w:r>
      <w:r w:rsidRPr="00CB6B1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5" w:history="1"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http://www.belstat.gov.by/ofitsialnaya-statistika/realny-sector-ekonomiki/investitsii-i-stroitelstvo/</w:t>
        </w:r>
      </w:hyperlink>
    </w:p>
    <w:p w:rsidR="00CB6B14" w:rsidRPr="00CB6B14" w:rsidRDefault="00CB6B14" w:rsidP="00CB6B1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6B14" w:rsidRPr="00CB6B14" w:rsidRDefault="00CB6B14" w:rsidP="00CB6B1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статистики. [Электронный ресурс] URL: </w:t>
      </w:r>
      <w:hyperlink r:id="rId16" w:history="1"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http://www.gks.ru</w:t>
        </w:r>
      </w:hyperlink>
    </w:p>
    <w:p w:rsidR="00CB6B14" w:rsidRPr="00CB6B14" w:rsidRDefault="00CB6B14" w:rsidP="00CB6B1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Инвестиции в основной капитал в Российской Федерации по видам основных фондов. [Электронный ресурс] </w:t>
      </w:r>
      <w:r w:rsidRPr="00CB6B1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gks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free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new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site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business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invest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tab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inv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vf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CB6B14" w:rsidRPr="00CB6B14" w:rsidRDefault="00CB6B14" w:rsidP="00CB6B14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6B14" w:rsidRPr="00CB6B14" w:rsidRDefault="00CB6B14" w:rsidP="00CB6B1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Инвестиции в основной капитал в Российской Федерации по видам экономической деятельности. [Электронный ресурс] </w:t>
      </w:r>
      <w:r w:rsidRPr="00CB6B1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CB6B1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8" w:history="1"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gks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free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doc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new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site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business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invest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tab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inv</w:t>
        </w:r>
        <w:proofErr w:type="spellEnd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OKVED</w:t>
        </w:r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B6B1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CB6B14" w:rsidRPr="00CB6B14" w:rsidRDefault="00CB6B14" w:rsidP="00CB6B14"/>
    <w:p w:rsidR="001E0C9B" w:rsidRDefault="00B27D9C"/>
    <w:sectPr w:rsidR="001E0C9B" w:rsidSect="009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C6A"/>
    <w:multiLevelType w:val="hybridMultilevel"/>
    <w:tmpl w:val="8854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D81"/>
    <w:rsid w:val="004461B1"/>
    <w:rsid w:val="004523A8"/>
    <w:rsid w:val="006378DD"/>
    <w:rsid w:val="006C112A"/>
    <w:rsid w:val="00841739"/>
    <w:rsid w:val="00863170"/>
    <w:rsid w:val="009066A8"/>
    <w:rsid w:val="009943D0"/>
    <w:rsid w:val="009B0703"/>
    <w:rsid w:val="00A86D81"/>
    <w:rsid w:val="00B27D9C"/>
    <w:rsid w:val="00CB6B14"/>
    <w:rsid w:val="00CB70DA"/>
    <w:rsid w:val="00CF7B49"/>
    <w:rsid w:val="00F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www.gks.ru/free_doc/new_site/business/invest/tab_inv-OKVED.htm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yperlink" Target="http://www.gks.ru/free_doc/new_site/business/invest/tab_inv-vf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etsenko.nasty@yandex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www.belstat.gov.by/ofitsialnaya-statistika/realny-sector-ekonomiki/investitsii-i-stroitelstvo/" TargetMode="Externa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1264</c:v>
                </c:pt>
                <c:pt idx="1">
                  <c:v>1534.3</c:v>
                </c:pt>
                <c:pt idx="2">
                  <c:v>1858.4</c:v>
                </c:pt>
                <c:pt idx="3">
                  <c:v>2004</c:v>
                </c:pt>
                <c:pt idx="4">
                  <c:v>2144.8000000000002</c:v>
                </c:pt>
                <c:pt idx="5">
                  <c:v>2385.1999999999998</c:v>
                </c:pt>
                <c:pt idx="6">
                  <c:v>2710.5</c:v>
                </c:pt>
                <c:pt idx="7">
                  <c:v>2936.7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1207.5999999999999</c:v>
                </c:pt>
                <c:pt idx="1">
                  <c:v>1418.7</c:v>
                </c:pt>
                <c:pt idx="2">
                  <c:v>1688.7</c:v>
                </c:pt>
                <c:pt idx="3">
                  <c:v>1945.3</c:v>
                </c:pt>
                <c:pt idx="4">
                  <c:v>2084.6</c:v>
                </c:pt>
                <c:pt idx="5">
                  <c:v>2172.6</c:v>
                </c:pt>
                <c:pt idx="6">
                  <c:v>2108.5</c:v>
                </c:pt>
                <c:pt idx="7">
                  <c:v>2014.7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Транспорт и связь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2336.8000000000002</c:v>
                </c:pt>
                <c:pt idx="1">
                  <c:v>3107.7</c:v>
                </c:pt>
                <c:pt idx="2">
                  <c:v>3330.7</c:v>
                </c:pt>
                <c:pt idx="3">
                  <c:v>3288.6</c:v>
                </c:pt>
                <c:pt idx="4">
                  <c:v>2981</c:v>
                </c:pt>
                <c:pt idx="5">
                  <c:v>2499.6999999999998</c:v>
                </c:pt>
                <c:pt idx="6">
                  <c:v>2815.3</c:v>
                </c:pt>
                <c:pt idx="7">
                  <c:v>2248.8000000000002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76032"/>
        <c:axId val="186124544"/>
      </c:barChart>
      <c:catAx>
        <c:axId val="1864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4544"/>
        <c:crosses val="autoZero"/>
        <c:auto val="1"/>
        <c:lblAlgn val="ctr"/>
        <c:lblOffset val="100"/>
        <c:noMultiLvlLbl val="0"/>
      </c:catAx>
      <c:valAx>
        <c:axId val="18612454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76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горнодобывающая промышленность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872.2</c:v>
                </c:pt>
                <c:pt idx="1">
                  <c:v>2726.4</c:v>
                </c:pt>
                <c:pt idx="2">
                  <c:v>3459.9</c:v>
                </c:pt>
                <c:pt idx="3">
                  <c:v>3666.2</c:v>
                </c:pt>
                <c:pt idx="4">
                  <c:v>3082.8</c:v>
                </c:pt>
                <c:pt idx="5">
                  <c:v>2505.3000000000002</c:v>
                </c:pt>
                <c:pt idx="6">
                  <c:v>0.2</c:v>
                </c:pt>
                <c:pt idx="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10750.9</c:v>
                </c:pt>
                <c:pt idx="1">
                  <c:v>28262.3</c:v>
                </c:pt>
                <c:pt idx="2">
                  <c:v>41186.699999999997</c:v>
                </c:pt>
                <c:pt idx="3">
                  <c:v>49262.400000000001</c:v>
                </c:pt>
                <c:pt idx="4">
                  <c:v>60591.4</c:v>
                </c:pt>
                <c:pt idx="5">
                  <c:v>54492.4</c:v>
                </c:pt>
                <c:pt idx="6">
                  <c:v>4.0999999999999996</c:v>
                </c:pt>
                <c:pt idx="7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транспортная деятельность, складирование, почтовая и курьерская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3935.5</c:v>
                </c:pt>
                <c:pt idx="1">
                  <c:v>8257</c:v>
                </c:pt>
                <c:pt idx="2">
                  <c:v>17007</c:v>
                </c:pt>
                <c:pt idx="3">
                  <c:v>17136.3</c:v>
                </c:pt>
                <c:pt idx="4">
                  <c:v>17347.599999999988</c:v>
                </c:pt>
                <c:pt idx="5">
                  <c:v>17132.5</c:v>
                </c:pt>
                <c:pt idx="6">
                  <c:v>1.9000000000000001</c:v>
                </c:pt>
                <c:pt idx="7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0608"/>
        <c:axId val="186126272"/>
      </c:barChart>
      <c:catAx>
        <c:axId val="18650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6272"/>
        <c:crosses val="autoZero"/>
        <c:auto val="1"/>
        <c:lblAlgn val="ctr"/>
        <c:lblOffset val="100"/>
        <c:noMultiLvlLbl val="0"/>
      </c:catAx>
      <c:valAx>
        <c:axId val="18612627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06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782006415864693E-2"/>
          <c:y val="4.0089363829521329E-2"/>
          <c:w val="0.5716427894429863"/>
          <c:h val="0.85653105861767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горнодобывающая промышленность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312.60000000000002</c:v>
                </c:pt>
                <c:pt idx="2">
                  <c:v>396.7</c:v>
                </c:pt>
                <c:pt idx="3">
                  <c:v>420.3</c:v>
                </c:pt>
                <c:pt idx="4">
                  <c:v>353.5</c:v>
                </c:pt>
                <c:pt idx="5">
                  <c:v>287.2</c:v>
                </c:pt>
                <c:pt idx="6">
                  <c:v>2.0000000000000011E-2</c:v>
                </c:pt>
                <c:pt idx="7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262.89999999999981</c:v>
                </c:pt>
                <c:pt idx="2">
                  <c:v>383.1</c:v>
                </c:pt>
                <c:pt idx="3">
                  <c:v>458.2</c:v>
                </c:pt>
                <c:pt idx="4">
                  <c:v>563.6</c:v>
                </c:pt>
                <c:pt idx="5">
                  <c:v>506.9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транспортная деятельность, складирование, почтовая и курьерская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209.8</c:v>
                </c:pt>
                <c:pt idx="2">
                  <c:v>432.1</c:v>
                </c:pt>
                <c:pt idx="3">
                  <c:v>435.4</c:v>
                </c:pt>
                <c:pt idx="4">
                  <c:v>440.8</c:v>
                </c:pt>
                <c:pt idx="5">
                  <c:v>435.3</c:v>
                </c:pt>
                <c:pt idx="6">
                  <c:v>0.05</c:v>
                </c:pt>
                <c:pt idx="7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78080"/>
        <c:axId val="158456576"/>
      </c:barChart>
      <c:catAx>
        <c:axId val="18647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56576"/>
        <c:crosses val="autoZero"/>
        <c:auto val="1"/>
        <c:lblAlgn val="ctr"/>
        <c:lblOffset val="100"/>
        <c:noMultiLvlLbl val="0"/>
      </c:catAx>
      <c:valAx>
        <c:axId val="15845657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780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597.9</c:v>
                </c:pt>
                <c:pt idx="1">
                  <c:v>725.8</c:v>
                </c:pt>
                <c:pt idx="2">
                  <c:v>879.1</c:v>
                </c:pt>
                <c:pt idx="3">
                  <c:v>948</c:v>
                </c:pt>
                <c:pt idx="4">
                  <c:v>1014.6</c:v>
                </c:pt>
                <c:pt idx="5">
                  <c:v>1128.3</c:v>
                </c:pt>
                <c:pt idx="6">
                  <c:v>1282.2</c:v>
                </c:pt>
                <c:pt idx="7">
                  <c:v>1389.1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634.9</c:v>
                </c:pt>
                <c:pt idx="1">
                  <c:v>745.9</c:v>
                </c:pt>
                <c:pt idx="2">
                  <c:v>887.9</c:v>
                </c:pt>
                <c:pt idx="3">
                  <c:v>1022.8</c:v>
                </c:pt>
                <c:pt idx="4">
                  <c:v>1096</c:v>
                </c:pt>
                <c:pt idx="5">
                  <c:v>1142.3</c:v>
                </c:pt>
                <c:pt idx="6">
                  <c:v>1108.5999999999999</c:v>
                </c:pt>
                <c:pt idx="7">
                  <c:v>1059.3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Транспорт и связь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947.6</c:v>
                </c:pt>
                <c:pt idx="1">
                  <c:v>1260.2</c:v>
                </c:pt>
                <c:pt idx="2">
                  <c:v>1350.6</c:v>
                </c:pt>
                <c:pt idx="3">
                  <c:v>1333.6</c:v>
                </c:pt>
                <c:pt idx="4">
                  <c:v>1208.8</c:v>
                </c:pt>
                <c:pt idx="5">
                  <c:v>1013.7</c:v>
                </c:pt>
                <c:pt idx="6">
                  <c:v>1141.5999999999999</c:v>
                </c:pt>
                <c:pt idx="7">
                  <c:v>911.9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8288"/>
        <c:axId val="186129152"/>
      </c:barChart>
      <c:catAx>
        <c:axId val="18650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9152"/>
        <c:crosses val="autoZero"/>
        <c:auto val="1"/>
        <c:lblAlgn val="ctr"/>
        <c:lblOffset val="100"/>
        <c:noMultiLvlLbl val="0"/>
      </c:catAx>
      <c:valAx>
        <c:axId val="18612915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82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818.8</c:v>
                </c:pt>
                <c:pt idx="1">
                  <c:v>1016.5</c:v>
                </c:pt>
                <c:pt idx="2">
                  <c:v>1166</c:v>
                </c:pt>
                <c:pt idx="3">
                  <c:v>1187.5999999999999</c:v>
                </c:pt>
                <c:pt idx="4">
                  <c:v>1186.2</c:v>
                </c:pt>
                <c:pt idx="5">
                  <c:v>980</c:v>
                </c:pt>
                <c:pt idx="6">
                  <c:v>944.7</c:v>
                </c:pt>
                <c:pt idx="7">
                  <c:v>885.3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342.1</c:v>
                </c:pt>
                <c:pt idx="1">
                  <c:v>336.8</c:v>
                </c:pt>
                <c:pt idx="2">
                  <c:v>348.6</c:v>
                </c:pt>
                <c:pt idx="3">
                  <c:v>438.1</c:v>
                </c:pt>
                <c:pt idx="4">
                  <c:v>469.3</c:v>
                </c:pt>
                <c:pt idx="5">
                  <c:v>401.2</c:v>
                </c:pt>
                <c:pt idx="6">
                  <c:v>443.8</c:v>
                </c:pt>
                <c:pt idx="7">
                  <c:v>266.5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119.7</c:v>
                </c:pt>
                <c:pt idx="1">
                  <c:v>159.19999999999999</c:v>
                </c:pt>
                <c:pt idx="2">
                  <c:v>204.2</c:v>
                </c:pt>
                <c:pt idx="3">
                  <c:v>186.7</c:v>
                </c:pt>
                <c:pt idx="4">
                  <c:v>170.5</c:v>
                </c:pt>
                <c:pt idx="5">
                  <c:v>195.4</c:v>
                </c:pt>
                <c:pt idx="6">
                  <c:v>212.6</c:v>
                </c:pt>
                <c:pt idx="7">
                  <c:v>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1120"/>
        <c:axId val="153002560"/>
      </c:barChart>
      <c:catAx>
        <c:axId val="18650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002560"/>
        <c:crosses val="autoZero"/>
        <c:auto val="1"/>
        <c:lblAlgn val="ctr"/>
        <c:lblOffset val="100"/>
        <c:noMultiLvlLbl val="0"/>
      </c:catAx>
      <c:valAx>
        <c:axId val="15300256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11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59609215514892"/>
          <c:y val="0.24851924759405136"/>
          <c:w val="0.32188538932633526"/>
          <c:h val="0.50296119235095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3268.5</c:v>
                </c:pt>
                <c:pt idx="1">
                  <c:v>7288.7</c:v>
                </c:pt>
                <c:pt idx="2">
                  <c:v>6772</c:v>
                </c:pt>
                <c:pt idx="3">
                  <c:v>19470.400000000001</c:v>
                </c:pt>
                <c:pt idx="4">
                  <c:v>15104.4</c:v>
                </c:pt>
                <c:pt idx="5">
                  <c:v>18967.900000000001</c:v>
                </c:pt>
                <c:pt idx="6">
                  <c:v>2.2999999999999998</c:v>
                </c:pt>
                <c:pt idx="7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2555.6999999999998</c:v>
                </c:pt>
                <c:pt idx="1">
                  <c:v>2530.6999999999998</c:v>
                </c:pt>
                <c:pt idx="2">
                  <c:v>3921.5</c:v>
                </c:pt>
                <c:pt idx="3">
                  <c:v>5874.2</c:v>
                </c:pt>
                <c:pt idx="4">
                  <c:v>8636.2999999999975</c:v>
                </c:pt>
                <c:pt idx="5">
                  <c:v>4922</c:v>
                </c:pt>
                <c:pt idx="6">
                  <c:v>0.2</c:v>
                </c:pt>
                <c:pt idx="7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Финансовая и страховая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656.3</c:v>
                </c:pt>
                <c:pt idx="1">
                  <c:v>1247.5</c:v>
                </c:pt>
                <c:pt idx="2">
                  <c:v>2337</c:v>
                </c:pt>
                <c:pt idx="3">
                  <c:v>2469.3000000000002</c:v>
                </c:pt>
                <c:pt idx="4">
                  <c:v>2422.1</c:v>
                </c:pt>
                <c:pt idx="5">
                  <c:v>2838.8</c:v>
                </c:pt>
                <c:pt idx="6">
                  <c:v>0.2</c:v>
                </c:pt>
                <c:pt idx="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1632"/>
        <c:axId val="186128576"/>
      </c:barChart>
      <c:catAx>
        <c:axId val="18650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8576"/>
        <c:crosses val="autoZero"/>
        <c:auto val="1"/>
        <c:lblAlgn val="ctr"/>
        <c:lblOffset val="100"/>
        <c:noMultiLvlLbl val="0"/>
      </c:catAx>
      <c:valAx>
        <c:axId val="18612857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16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59609215514914"/>
          <c:y val="0.24851924759405147"/>
          <c:w val="0.32188538932633542"/>
          <c:h val="0.58629452568428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1173.0999999999999</c:v>
                </c:pt>
                <c:pt idx="1">
                  <c:v>1456.3</c:v>
                </c:pt>
                <c:pt idx="2">
                  <c:v>1670.5</c:v>
                </c:pt>
                <c:pt idx="3">
                  <c:v>1701.4</c:v>
                </c:pt>
                <c:pt idx="4">
                  <c:v>1699.4</c:v>
                </c:pt>
                <c:pt idx="5">
                  <c:v>1404</c:v>
                </c:pt>
                <c:pt idx="6">
                  <c:v>1353.4</c:v>
                </c:pt>
                <c:pt idx="7">
                  <c:v>1268.3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456.7</c:v>
                </c:pt>
                <c:pt idx="1">
                  <c:v>449.7</c:v>
                </c:pt>
                <c:pt idx="2">
                  <c:v>465.4</c:v>
                </c:pt>
                <c:pt idx="3">
                  <c:v>584.9</c:v>
                </c:pt>
                <c:pt idx="4">
                  <c:v>626.6</c:v>
                </c:pt>
                <c:pt idx="5">
                  <c:v>535.6</c:v>
                </c:pt>
                <c:pt idx="6">
                  <c:v>592.5</c:v>
                </c:pt>
                <c:pt idx="7">
                  <c:v>355.8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1273.4000000000001</c:v>
                </c:pt>
                <c:pt idx="1">
                  <c:v>1693.6</c:v>
                </c:pt>
                <c:pt idx="2">
                  <c:v>2172.3000000000002</c:v>
                </c:pt>
                <c:pt idx="3">
                  <c:v>1986.2</c:v>
                </c:pt>
                <c:pt idx="4">
                  <c:v>1813.8</c:v>
                </c:pt>
                <c:pt idx="5">
                  <c:v>2048.6999999999998</c:v>
                </c:pt>
                <c:pt idx="6">
                  <c:v>2267.6999999999998</c:v>
                </c:pt>
                <c:pt idx="7">
                  <c:v>2680.9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09824"/>
        <c:axId val="186125120"/>
      </c:barChart>
      <c:catAx>
        <c:axId val="18650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125120"/>
        <c:crosses val="autoZero"/>
        <c:auto val="1"/>
        <c:lblAlgn val="ctr"/>
        <c:lblOffset val="100"/>
        <c:noMultiLvlLbl val="0"/>
      </c:catAx>
      <c:valAx>
        <c:axId val="18612512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50982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59609215514914"/>
          <c:y val="0.24851924759405147"/>
          <c:w val="0.32188538932633542"/>
          <c:h val="0.502961192350955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223</c:v>
                </c:pt>
                <c:pt idx="2">
                  <c:v>207</c:v>
                </c:pt>
                <c:pt idx="3">
                  <c:v>595.6</c:v>
                </c:pt>
                <c:pt idx="4">
                  <c:v>462.1</c:v>
                </c:pt>
                <c:pt idx="5">
                  <c:v>580.29999999999995</c:v>
                </c:pt>
                <c:pt idx="6">
                  <c:v>7.0000000000000021E-2</c:v>
                </c:pt>
                <c:pt idx="7">
                  <c:v>8.0000000000000016E-2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100</c:v>
                </c:pt>
                <c:pt idx="1">
                  <c:v>99</c:v>
                </c:pt>
                <c:pt idx="2">
                  <c:v>153.4</c:v>
                </c:pt>
                <c:pt idx="3">
                  <c:v>229.8</c:v>
                </c:pt>
                <c:pt idx="4">
                  <c:v>337.9</c:v>
                </c:pt>
                <c:pt idx="5">
                  <c:v>192.6</c:v>
                </c:pt>
                <c:pt idx="6">
                  <c:v>7.000000000000001E-3</c:v>
                </c:pt>
                <c:pt idx="7">
                  <c:v>7.000000000000001E-3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Финансовая и страховая деятельность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190</c:v>
                </c:pt>
                <c:pt idx="2">
                  <c:v>356</c:v>
                </c:pt>
                <c:pt idx="3">
                  <c:v>376.2</c:v>
                </c:pt>
                <c:pt idx="4">
                  <c:v>369</c:v>
                </c:pt>
                <c:pt idx="5">
                  <c:v>432.5</c:v>
                </c:pt>
                <c:pt idx="6">
                  <c:v>3.0000000000000002E-2</c:v>
                </c:pt>
                <c:pt idx="7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625088"/>
        <c:axId val="153008320"/>
      </c:barChart>
      <c:catAx>
        <c:axId val="20962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008320"/>
        <c:crosses val="autoZero"/>
        <c:auto val="1"/>
        <c:lblAlgn val="ctr"/>
        <c:lblOffset val="100"/>
        <c:noMultiLvlLbl val="0"/>
      </c:catAx>
      <c:valAx>
        <c:axId val="15300832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6250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59609215514914"/>
          <c:y val="0.24851924759405147"/>
          <c:w val="0.32188538932633542"/>
          <c:h val="0.58629452568428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Донцов</dc:creator>
  <cp:keywords/>
  <dc:description/>
  <cp:lastModifiedBy>Владимир Донцов</cp:lastModifiedBy>
  <cp:revision>10</cp:revision>
  <dcterms:created xsi:type="dcterms:W3CDTF">2019-01-21T11:22:00Z</dcterms:created>
  <dcterms:modified xsi:type="dcterms:W3CDTF">2019-03-06T17:46:00Z</dcterms:modified>
</cp:coreProperties>
</file>