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26" w:rsidRDefault="00683CEE" w:rsidP="00683CEE">
      <w:pPr>
        <w:ind w:firstLine="709"/>
        <w:rPr>
          <w:rFonts w:ascii="Times New Roman" w:hAnsi="Times New Roman" w:cs="Times New Roman"/>
          <w:b/>
          <w:sz w:val="32"/>
          <w:szCs w:val="32"/>
        </w:rPr>
      </w:pPr>
      <w:proofErr w:type="gramStart"/>
      <w:r w:rsidRPr="00683CEE">
        <w:rPr>
          <w:rFonts w:ascii="Times New Roman" w:hAnsi="Times New Roman" w:cs="Times New Roman"/>
          <w:b/>
          <w:sz w:val="32"/>
          <w:szCs w:val="32"/>
        </w:rPr>
        <w:t>Концепция  институционального</w:t>
      </w:r>
      <w:proofErr w:type="gramEnd"/>
      <w:r w:rsidRPr="00683CEE">
        <w:rPr>
          <w:rFonts w:ascii="Times New Roman" w:hAnsi="Times New Roman" w:cs="Times New Roman"/>
          <w:b/>
          <w:sz w:val="32"/>
          <w:szCs w:val="32"/>
        </w:rPr>
        <w:t xml:space="preserve"> рассмотрения теневой экономики в рамках постиндустриального общества</w:t>
      </w:r>
      <w:r>
        <w:rPr>
          <w:rFonts w:ascii="Times New Roman" w:hAnsi="Times New Roman" w:cs="Times New Roman"/>
          <w:b/>
          <w:sz w:val="32"/>
          <w:szCs w:val="32"/>
        </w:rPr>
        <w:t>.</w:t>
      </w:r>
    </w:p>
    <w:p w:rsidR="00261571" w:rsidRDefault="00683CEE" w:rsidP="00261571">
      <w:pPr>
        <w:pStyle w:val="a3"/>
        <w:ind w:firstLine="709"/>
        <w:jc w:val="both"/>
        <w:rPr>
          <w:rFonts w:ascii="Times New Roman" w:hAnsi="Times New Roman" w:cs="Times New Roman"/>
          <w:sz w:val="28"/>
          <w:szCs w:val="28"/>
        </w:rPr>
      </w:pPr>
      <w:r w:rsidRPr="00261571">
        <w:rPr>
          <w:rFonts w:ascii="Times New Roman" w:hAnsi="Times New Roman" w:cs="Times New Roman"/>
          <w:sz w:val="28"/>
          <w:szCs w:val="28"/>
        </w:rPr>
        <w:t xml:space="preserve">Теневая экономика представляет собой довольно </w:t>
      </w:r>
      <w:r w:rsidR="00D67AFC" w:rsidRPr="00261571">
        <w:rPr>
          <w:rFonts w:ascii="Times New Roman" w:hAnsi="Times New Roman" w:cs="Times New Roman"/>
          <w:sz w:val="28"/>
          <w:szCs w:val="28"/>
        </w:rPr>
        <w:t xml:space="preserve">сложное </w:t>
      </w:r>
      <w:r w:rsidR="00595B8E">
        <w:rPr>
          <w:rFonts w:ascii="Times New Roman" w:hAnsi="Times New Roman" w:cs="Times New Roman"/>
          <w:sz w:val="28"/>
          <w:szCs w:val="28"/>
        </w:rPr>
        <w:t>социальн</w:t>
      </w:r>
      <w:r w:rsidR="00FE5C9B">
        <w:rPr>
          <w:rFonts w:ascii="Times New Roman" w:hAnsi="Times New Roman" w:cs="Times New Roman"/>
          <w:sz w:val="28"/>
          <w:szCs w:val="28"/>
        </w:rPr>
        <w:t>о-</w:t>
      </w:r>
      <w:r w:rsidRPr="00261571">
        <w:rPr>
          <w:rFonts w:ascii="Times New Roman" w:hAnsi="Times New Roman" w:cs="Times New Roman"/>
          <w:sz w:val="28"/>
          <w:szCs w:val="28"/>
        </w:rPr>
        <w:t xml:space="preserve">экономическое явление, которое состоит из </w:t>
      </w:r>
      <w:r w:rsidR="00D67AFC" w:rsidRPr="00261571">
        <w:rPr>
          <w:rFonts w:ascii="Times New Roman" w:hAnsi="Times New Roman" w:cs="Times New Roman"/>
          <w:sz w:val="28"/>
          <w:szCs w:val="28"/>
        </w:rPr>
        <w:t xml:space="preserve">множества элементов, связанных друг с другом </w:t>
      </w:r>
      <w:proofErr w:type="gramStart"/>
      <w:r w:rsidR="00D67AFC" w:rsidRPr="00261571">
        <w:rPr>
          <w:rFonts w:ascii="Times New Roman" w:hAnsi="Times New Roman" w:cs="Times New Roman"/>
          <w:sz w:val="28"/>
          <w:szCs w:val="28"/>
        </w:rPr>
        <w:t>и  действует</w:t>
      </w:r>
      <w:proofErr w:type="gramEnd"/>
      <w:r w:rsidR="00D67AFC" w:rsidRPr="00261571">
        <w:rPr>
          <w:rFonts w:ascii="Times New Roman" w:hAnsi="Times New Roman" w:cs="Times New Roman"/>
          <w:sz w:val="28"/>
          <w:szCs w:val="28"/>
        </w:rPr>
        <w:t xml:space="preserve"> в различных сферах общественной жизни. В </w:t>
      </w:r>
      <w:proofErr w:type="gramStart"/>
      <w:r w:rsidR="00D67AFC" w:rsidRPr="00261571">
        <w:rPr>
          <w:rFonts w:ascii="Times New Roman" w:hAnsi="Times New Roman" w:cs="Times New Roman"/>
          <w:sz w:val="28"/>
          <w:szCs w:val="28"/>
        </w:rPr>
        <w:t>то  время</w:t>
      </w:r>
      <w:proofErr w:type="gramEnd"/>
      <w:r w:rsidR="00D67AFC" w:rsidRPr="00261571">
        <w:rPr>
          <w:rFonts w:ascii="Times New Roman" w:hAnsi="Times New Roman" w:cs="Times New Roman"/>
          <w:sz w:val="28"/>
          <w:szCs w:val="28"/>
        </w:rPr>
        <w:t>, когда теневая эк</w:t>
      </w:r>
      <w:r w:rsidR="007E007A" w:rsidRPr="00261571">
        <w:rPr>
          <w:rFonts w:ascii="Times New Roman" w:hAnsi="Times New Roman" w:cs="Times New Roman"/>
          <w:sz w:val="28"/>
          <w:szCs w:val="28"/>
        </w:rPr>
        <w:t>ономика начинала развиваться</w:t>
      </w:r>
      <w:r w:rsidR="00D67AFC" w:rsidRPr="00261571">
        <w:rPr>
          <w:rFonts w:ascii="Times New Roman" w:hAnsi="Times New Roman" w:cs="Times New Roman"/>
          <w:sz w:val="28"/>
          <w:szCs w:val="28"/>
        </w:rPr>
        <w:t>, её реализация была связана с производством и продажей товаров низкого качества</w:t>
      </w:r>
      <w:r w:rsidR="007E007A" w:rsidRPr="00261571">
        <w:rPr>
          <w:rFonts w:ascii="Times New Roman" w:hAnsi="Times New Roman" w:cs="Times New Roman"/>
          <w:sz w:val="28"/>
          <w:szCs w:val="28"/>
        </w:rPr>
        <w:t xml:space="preserve"> (</w:t>
      </w:r>
      <w:r w:rsidR="00D67AFC" w:rsidRPr="00261571">
        <w:rPr>
          <w:rFonts w:ascii="Times New Roman" w:hAnsi="Times New Roman" w:cs="Times New Roman"/>
          <w:sz w:val="28"/>
          <w:szCs w:val="28"/>
        </w:rPr>
        <w:t>в основном это были продукты питания, ок</w:t>
      </w:r>
      <w:r w:rsidR="007E007A" w:rsidRPr="00261571">
        <w:rPr>
          <w:rFonts w:ascii="Times New Roman" w:hAnsi="Times New Roman" w:cs="Times New Roman"/>
          <w:sz w:val="28"/>
          <w:szCs w:val="28"/>
        </w:rPr>
        <w:t>азание каких-либо услуг и т.п.</w:t>
      </w:r>
      <w:r w:rsidR="00D67AFC" w:rsidRPr="00261571">
        <w:rPr>
          <w:rFonts w:ascii="Times New Roman" w:hAnsi="Times New Roman" w:cs="Times New Roman"/>
          <w:sz w:val="28"/>
          <w:szCs w:val="28"/>
        </w:rPr>
        <w:t>)</w:t>
      </w:r>
      <w:r w:rsidR="007E007A" w:rsidRPr="00261571">
        <w:rPr>
          <w:rFonts w:ascii="Times New Roman" w:hAnsi="Times New Roman" w:cs="Times New Roman"/>
          <w:sz w:val="28"/>
          <w:szCs w:val="28"/>
        </w:rPr>
        <w:t xml:space="preserve">. Лица, которые занимались такой деятельностью, всячески пытались укрыться от уплаты платежей, а также от требований, которые предъявлялись к данным видам деятельности. На современном этапе теневая экономика получила широкое распространение, что в свою очередь ведет к угрозе экономической безопасности государств и обществу в целом. </w:t>
      </w:r>
    </w:p>
    <w:p w:rsidR="00FE5C9B" w:rsidRDefault="00FE5C9B" w:rsidP="0026157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Само понятие </w:t>
      </w:r>
      <w:proofErr w:type="gramStart"/>
      <w:r>
        <w:rPr>
          <w:rFonts w:ascii="Times New Roman" w:hAnsi="Times New Roman" w:cs="Times New Roman"/>
          <w:sz w:val="28"/>
          <w:szCs w:val="28"/>
        </w:rPr>
        <w:t>« теневая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экономика»появилось</w:t>
      </w:r>
      <w:proofErr w:type="spellEnd"/>
      <w:r>
        <w:rPr>
          <w:rFonts w:ascii="Times New Roman" w:hAnsi="Times New Roman" w:cs="Times New Roman"/>
          <w:sz w:val="28"/>
          <w:szCs w:val="28"/>
        </w:rPr>
        <w:t xml:space="preserve"> относительно недавно.</w:t>
      </w:r>
      <w:r w:rsidR="00140922" w:rsidRPr="00140922">
        <w:rPr>
          <w:rFonts w:ascii="Times New Roman" w:hAnsi="Times New Roman" w:cs="Times New Roman"/>
          <w:sz w:val="28"/>
          <w:szCs w:val="28"/>
        </w:rPr>
        <w:t xml:space="preserve"> </w:t>
      </w:r>
      <w:r>
        <w:rPr>
          <w:rFonts w:ascii="Times New Roman" w:hAnsi="Times New Roman" w:cs="Times New Roman"/>
          <w:sz w:val="28"/>
          <w:szCs w:val="28"/>
        </w:rPr>
        <w:t xml:space="preserve"> В 1970 году оно раскрывалось как способы скрытия доходов и сами доходы</w:t>
      </w:r>
      <w:r w:rsidR="00595B8E">
        <w:rPr>
          <w:rFonts w:ascii="Times New Roman" w:hAnsi="Times New Roman" w:cs="Times New Roman"/>
          <w:sz w:val="28"/>
          <w:szCs w:val="28"/>
        </w:rPr>
        <w:t>,</w:t>
      </w:r>
      <w:r>
        <w:rPr>
          <w:rFonts w:ascii="Times New Roman" w:hAnsi="Times New Roman" w:cs="Times New Roman"/>
          <w:sz w:val="28"/>
          <w:szCs w:val="28"/>
        </w:rPr>
        <w:t xml:space="preserve"> получаемые от такой деятельности. </w:t>
      </w:r>
    </w:p>
    <w:p w:rsidR="007E007A" w:rsidRDefault="007E007A" w:rsidP="00261571">
      <w:pPr>
        <w:pStyle w:val="a3"/>
        <w:ind w:firstLine="709"/>
        <w:jc w:val="both"/>
        <w:rPr>
          <w:rFonts w:ascii="Times New Roman" w:hAnsi="Times New Roman" w:cs="Times New Roman"/>
          <w:sz w:val="28"/>
          <w:szCs w:val="28"/>
        </w:rPr>
      </w:pPr>
      <w:r w:rsidRPr="00261571">
        <w:rPr>
          <w:rFonts w:ascii="Times New Roman" w:hAnsi="Times New Roman" w:cs="Times New Roman"/>
          <w:sz w:val="28"/>
          <w:szCs w:val="28"/>
        </w:rPr>
        <w:t>Теневая экономика развивается стихийно, доходы от такой деятельности скрываются от налогообложения.</w:t>
      </w:r>
      <w:r w:rsidR="00140922" w:rsidRPr="00140922">
        <w:rPr>
          <w:rFonts w:ascii="Times New Roman" w:hAnsi="Times New Roman" w:cs="Times New Roman"/>
          <w:sz w:val="28"/>
          <w:szCs w:val="28"/>
        </w:rPr>
        <w:t xml:space="preserve"> </w:t>
      </w:r>
      <w:r w:rsidR="00261571">
        <w:rPr>
          <w:rFonts w:ascii="Times New Roman" w:hAnsi="Times New Roman" w:cs="Times New Roman"/>
          <w:sz w:val="28"/>
          <w:szCs w:val="28"/>
        </w:rPr>
        <w:t xml:space="preserve">Её масштабы поражают своей величиной: это могут быть </w:t>
      </w:r>
      <w:proofErr w:type="gramStart"/>
      <w:r w:rsidR="00261571">
        <w:rPr>
          <w:rFonts w:ascii="Times New Roman" w:hAnsi="Times New Roman" w:cs="Times New Roman"/>
          <w:sz w:val="28"/>
          <w:szCs w:val="28"/>
        </w:rPr>
        <w:t>предприятия</w:t>
      </w:r>
      <w:proofErr w:type="gramEnd"/>
      <w:r w:rsidR="00261571">
        <w:rPr>
          <w:rFonts w:ascii="Times New Roman" w:hAnsi="Times New Roman" w:cs="Times New Roman"/>
          <w:sz w:val="28"/>
          <w:szCs w:val="28"/>
        </w:rPr>
        <w:t xml:space="preserve"> организованные для нелегального производства алкоголя, табачной продукции, наркобизнес и т.п.</w:t>
      </w:r>
    </w:p>
    <w:p w:rsidR="00FE5C9B" w:rsidRDefault="00FE5C9B" w:rsidP="00261571">
      <w:pPr>
        <w:pStyle w:val="a3"/>
        <w:ind w:firstLine="709"/>
        <w:jc w:val="both"/>
        <w:rPr>
          <w:rFonts w:ascii="Times New Roman" w:hAnsi="Times New Roman" w:cs="Times New Roman"/>
          <w:sz w:val="28"/>
          <w:szCs w:val="28"/>
        </w:rPr>
      </w:pPr>
      <w:r>
        <w:rPr>
          <w:rFonts w:ascii="Times New Roman" w:hAnsi="Times New Roman" w:cs="Times New Roman"/>
          <w:sz w:val="28"/>
          <w:szCs w:val="28"/>
        </w:rPr>
        <w:t>Структурно теневая экономика подразделяется на три вида:</w:t>
      </w:r>
    </w:p>
    <w:p w:rsidR="00FE5C9B" w:rsidRDefault="00FE5C9B" w:rsidP="0026157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95B8E">
        <w:rPr>
          <w:rFonts w:ascii="Times New Roman" w:hAnsi="Times New Roman" w:cs="Times New Roman"/>
          <w:sz w:val="28"/>
          <w:szCs w:val="28"/>
        </w:rPr>
        <w:t>Фиктивная (</w:t>
      </w:r>
      <w:proofErr w:type="spellStart"/>
      <w:r w:rsidR="00595B8E">
        <w:rPr>
          <w:rFonts w:ascii="Times New Roman" w:hAnsi="Times New Roman" w:cs="Times New Roman"/>
          <w:sz w:val="28"/>
          <w:szCs w:val="28"/>
        </w:rPr>
        <w:t>беловоротничковая</w:t>
      </w:r>
      <w:proofErr w:type="spellEnd"/>
      <w:r w:rsidR="00595B8E">
        <w:rPr>
          <w:rFonts w:ascii="Times New Roman" w:hAnsi="Times New Roman" w:cs="Times New Roman"/>
          <w:sz w:val="28"/>
          <w:szCs w:val="28"/>
        </w:rPr>
        <w:t xml:space="preserve">) - это деятельность работников, занимающих определенные </w:t>
      </w:r>
      <w:proofErr w:type="gramStart"/>
      <w:r w:rsidR="00595B8E">
        <w:rPr>
          <w:rFonts w:ascii="Times New Roman" w:hAnsi="Times New Roman" w:cs="Times New Roman"/>
          <w:sz w:val="28"/>
          <w:szCs w:val="28"/>
        </w:rPr>
        <w:t>руководящие  должности</w:t>
      </w:r>
      <w:proofErr w:type="gramEnd"/>
      <w:r w:rsidR="00595B8E">
        <w:rPr>
          <w:rFonts w:ascii="Times New Roman" w:hAnsi="Times New Roman" w:cs="Times New Roman"/>
          <w:sz w:val="28"/>
          <w:szCs w:val="28"/>
        </w:rPr>
        <w:t>, путем перераспределения доходов без производства, при этом используя легальную экономическую, а также хозяйственную и иные виды деятельности как основу и прикрытие;</w:t>
      </w:r>
    </w:p>
    <w:p w:rsidR="00595B8E" w:rsidRDefault="00595B8E" w:rsidP="00261571">
      <w:pPr>
        <w:pStyle w:val="a3"/>
        <w:ind w:firstLine="709"/>
        <w:jc w:val="both"/>
        <w:rPr>
          <w:rFonts w:ascii="Times New Roman" w:hAnsi="Times New Roman" w:cs="Times New Roman"/>
          <w:sz w:val="28"/>
          <w:szCs w:val="28"/>
        </w:rPr>
      </w:pPr>
      <w:r>
        <w:rPr>
          <w:rFonts w:ascii="Times New Roman" w:hAnsi="Times New Roman" w:cs="Times New Roman"/>
          <w:sz w:val="28"/>
          <w:szCs w:val="28"/>
        </w:rPr>
        <w:t>2) Неформальная (серая)</w:t>
      </w:r>
      <w:r w:rsidR="00140922" w:rsidRPr="00140922">
        <w:rPr>
          <w:rFonts w:ascii="Times New Roman" w:hAnsi="Times New Roman" w:cs="Times New Roman"/>
          <w:sz w:val="28"/>
          <w:szCs w:val="28"/>
        </w:rPr>
        <w:t xml:space="preserve"> </w:t>
      </w:r>
      <w:proofErr w:type="gramStart"/>
      <w:r w:rsidR="00140922" w:rsidRPr="00140922">
        <w:rPr>
          <w:rFonts w:ascii="Times New Roman" w:hAnsi="Times New Roman" w:cs="Times New Roman"/>
          <w:sz w:val="28"/>
          <w:szCs w:val="28"/>
        </w:rPr>
        <w:t xml:space="preserve">- </w:t>
      </w:r>
      <w:r>
        <w:rPr>
          <w:rFonts w:ascii="Times New Roman" w:hAnsi="Times New Roman" w:cs="Times New Roman"/>
          <w:sz w:val="28"/>
          <w:szCs w:val="28"/>
        </w:rPr>
        <w:t>это</w:t>
      </w:r>
      <w:proofErr w:type="gramEnd"/>
      <w:r w:rsidR="00140922" w:rsidRPr="00140922">
        <w:rPr>
          <w:rFonts w:ascii="Times New Roman" w:hAnsi="Times New Roman" w:cs="Times New Roman"/>
          <w:sz w:val="28"/>
          <w:szCs w:val="28"/>
        </w:rPr>
        <w:t xml:space="preserve"> </w:t>
      </w:r>
      <w:r w:rsidR="00DA65CF">
        <w:rPr>
          <w:rFonts w:ascii="Times New Roman" w:hAnsi="Times New Roman" w:cs="Times New Roman"/>
          <w:sz w:val="28"/>
          <w:szCs w:val="28"/>
        </w:rPr>
        <w:t>деятельность, которую разрешают законы, но она не регистрируется, обычно связанная с производством товаров и услуг, обладающая относительной самостоятельностью. К ней можно отнести мелкий бизнес, неофициальное устройство на работу, аренда недвижимости без заключения соответствующего договора и т.п.;</w:t>
      </w:r>
    </w:p>
    <w:p w:rsidR="00797798" w:rsidRPr="005B49EB" w:rsidRDefault="00DA65CF" w:rsidP="0014092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Нелегальная (черная)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запрещенная деятельность организаций (нелегальный бизнес) по получению доходов. Речь идет о контрабанде, наркобизнесе, рэкете и т.п.</w:t>
      </w:r>
    </w:p>
    <w:p w:rsidR="00797798" w:rsidRDefault="00797798" w:rsidP="00176B4F">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Цель проекта:</w:t>
      </w:r>
    </w:p>
    <w:p w:rsidR="00797798" w:rsidRDefault="00DC505B" w:rsidP="00176B4F">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изучение модификации системы теневой экономики чрез институциональный механизм;</w:t>
      </w:r>
    </w:p>
    <w:p w:rsidR="00DC505B" w:rsidRDefault="00DC505B" w:rsidP="00176B4F">
      <w:pPr>
        <w:pStyle w:val="a3"/>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причин существования теневой экономики;</w:t>
      </w:r>
    </w:p>
    <w:p w:rsidR="00DC505B" w:rsidRPr="005B49EB" w:rsidRDefault="00DC505B" w:rsidP="00140922">
      <w:pPr>
        <w:pStyle w:val="a3"/>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посл</w:t>
      </w:r>
      <w:r w:rsidR="00521A06">
        <w:rPr>
          <w:rFonts w:ascii="Times New Roman" w:hAnsi="Times New Roman" w:cs="Times New Roman"/>
          <w:sz w:val="28"/>
          <w:szCs w:val="28"/>
        </w:rPr>
        <w:t>едствий теневой экономики и мер</w:t>
      </w:r>
      <w:r>
        <w:rPr>
          <w:rFonts w:ascii="Times New Roman" w:hAnsi="Times New Roman" w:cs="Times New Roman"/>
          <w:sz w:val="28"/>
          <w:szCs w:val="28"/>
        </w:rPr>
        <w:t xml:space="preserve"> по борьбе с ней.</w:t>
      </w:r>
    </w:p>
    <w:p w:rsidR="00DC505B" w:rsidRDefault="00DC505B" w:rsidP="00176B4F">
      <w:pPr>
        <w:pStyle w:val="a3"/>
        <w:ind w:firstLine="709"/>
        <w:jc w:val="center"/>
        <w:rPr>
          <w:rFonts w:ascii="Times New Roman" w:hAnsi="Times New Roman" w:cs="Times New Roman"/>
          <w:b/>
          <w:sz w:val="28"/>
          <w:szCs w:val="28"/>
        </w:rPr>
      </w:pPr>
      <w:r w:rsidRPr="00DC505B">
        <w:rPr>
          <w:rFonts w:ascii="Times New Roman" w:hAnsi="Times New Roman" w:cs="Times New Roman"/>
          <w:b/>
          <w:sz w:val="28"/>
          <w:szCs w:val="28"/>
        </w:rPr>
        <w:t>Задачи проекта:</w:t>
      </w:r>
    </w:p>
    <w:p w:rsidR="00DC505B" w:rsidRDefault="00305839" w:rsidP="00176B4F">
      <w:pPr>
        <w:pStyle w:val="a3"/>
        <w:ind w:firstLine="709"/>
        <w:jc w:val="both"/>
        <w:rPr>
          <w:rFonts w:ascii="Times New Roman" w:hAnsi="Times New Roman" w:cs="Times New Roman"/>
          <w:sz w:val="28"/>
          <w:szCs w:val="28"/>
        </w:rPr>
      </w:pPr>
      <w:r>
        <w:rPr>
          <w:rFonts w:ascii="Times New Roman" w:hAnsi="Times New Roman" w:cs="Times New Roman"/>
          <w:sz w:val="28"/>
          <w:szCs w:val="28"/>
        </w:rPr>
        <w:t>- исследование системных признаков теневой экономики;</w:t>
      </w:r>
    </w:p>
    <w:p w:rsidR="00305839" w:rsidRDefault="00305839" w:rsidP="00176B4F">
      <w:pPr>
        <w:pStyle w:val="a3"/>
        <w:ind w:firstLine="709"/>
        <w:jc w:val="both"/>
        <w:rPr>
          <w:rFonts w:ascii="Times New Roman" w:hAnsi="Times New Roman" w:cs="Times New Roman"/>
          <w:sz w:val="28"/>
          <w:szCs w:val="28"/>
        </w:rPr>
      </w:pPr>
      <w:r>
        <w:rPr>
          <w:rFonts w:ascii="Times New Roman" w:hAnsi="Times New Roman" w:cs="Times New Roman"/>
          <w:sz w:val="28"/>
          <w:szCs w:val="28"/>
        </w:rPr>
        <w:t>- рассмотрение структуры теневой экономики, а именно выделение её секторов;</w:t>
      </w:r>
    </w:p>
    <w:p w:rsidR="00305839" w:rsidRDefault="00305839" w:rsidP="00176B4F">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выявление</w:t>
      </w:r>
      <w:r w:rsidR="00EE3F17">
        <w:rPr>
          <w:rFonts w:ascii="Times New Roman" w:hAnsi="Times New Roman" w:cs="Times New Roman"/>
          <w:sz w:val="28"/>
          <w:szCs w:val="28"/>
        </w:rPr>
        <w:t xml:space="preserve"> противоречий теневой экономики;</w:t>
      </w:r>
    </w:p>
    <w:p w:rsidR="00EE3F17" w:rsidRDefault="0018570F" w:rsidP="00176B4F">
      <w:pPr>
        <w:pStyle w:val="a3"/>
        <w:ind w:firstLine="709"/>
        <w:jc w:val="both"/>
        <w:rPr>
          <w:rFonts w:ascii="Times New Roman" w:hAnsi="Times New Roman" w:cs="Times New Roman"/>
          <w:sz w:val="28"/>
          <w:szCs w:val="28"/>
        </w:rPr>
      </w:pPr>
      <w:r>
        <w:rPr>
          <w:rFonts w:ascii="Times New Roman" w:hAnsi="Times New Roman" w:cs="Times New Roman"/>
          <w:sz w:val="28"/>
          <w:szCs w:val="28"/>
        </w:rPr>
        <w:t>- выявление новых методов по борьбе с теневой экономикой</w:t>
      </w:r>
    </w:p>
    <w:p w:rsidR="0018570F" w:rsidRDefault="0018570F" w:rsidP="007421CB">
      <w:pPr>
        <w:pStyle w:val="a3"/>
        <w:ind w:firstLine="709"/>
        <w:jc w:val="both"/>
        <w:rPr>
          <w:rFonts w:ascii="Times New Roman" w:hAnsi="Times New Roman" w:cs="Times New Roman"/>
          <w:sz w:val="28"/>
          <w:szCs w:val="28"/>
        </w:rPr>
      </w:pPr>
      <w:r>
        <w:rPr>
          <w:rFonts w:ascii="Times New Roman" w:hAnsi="Times New Roman" w:cs="Times New Roman"/>
          <w:sz w:val="28"/>
          <w:szCs w:val="28"/>
        </w:rPr>
        <w:t>Актуальность проекта заключается в том, что</w:t>
      </w:r>
      <w:r w:rsidR="007421CB">
        <w:rPr>
          <w:rFonts w:ascii="Times New Roman" w:hAnsi="Times New Roman" w:cs="Times New Roman"/>
          <w:sz w:val="28"/>
          <w:szCs w:val="28"/>
        </w:rPr>
        <w:t xml:space="preserve"> такое явление как теневая экономика является одной из глобальных угроз не только государственной безопасности, но и национальной, поэтому</w:t>
      </w:r>
      <w:r>
        <w:rPr>
          <w:rFonts w:ascii="Times New Roman" w:hAnsi="Times New Roman" w:cs="Times New Roman"/>
          <w:sz w:val="28"/>
          <w:szCs w:val="28"/>
        </w:rPr>
        <w:t xml:space="preserve"> необходимо целостно исследовать </w:t>
      </w:r>
      <w:r w:rsidR="007421CB">
        <w:rPr>
          <w:rFonts w:ascii="Times New Roman" w:hAnsi="Times New Roman" w:cs="Times New Roman"/>
          <w:sz w:val="28"/>
          <w:szCs w:val="28"/>
        </w:rPr>
        <w:t xml:space="preserve">такое явление, но </w:t>
      </w:r>
      <w:r>
        <w:rPr>
          <w:rFonts w:ascii="Times New Roman" w:hAnsi="Times New Roman" w:cs="Times New Roman"/>
          <w:sz w:val="28"/>
          <w:szCs w:val="28"/>
        </w:rPr>
        <w:t xml:space="preserve">и </w:t>
      </w:r>
      <w:r w:rsidR="007421CB">
        <w:rPr>
          <w:rFonts w:ascii="Times New Roman" w:hAnsi="Times New Roman" w:cs="Times New Roman"/>
          <w:sz w:val="28"/>
          <w:szCs w:val="28"/>
        </w:rPr>
        <w:t xml:space="preserve">выявить необходимые методы борьбы с ней. </w:t>
      </w:r>
    </w:p>
    <w:p w:rsidR="00A944BF" w:rsidRDefault="007421CB" w:rsidP="00ED2E36">
      <w:pPr>
        <w:pStyle w:val="a3"/>
        <w:ind w:firstLine="709"/>
        <w:jc w:val="both"/>
        <w:rPr>
          <w:rFonts w:ascii="Times New Roman" w:hAnsi="Times New Roman" w:cs="Times New Roman"/>
          <w:sz w:val="28"/>
          <w:szCs w:val="28"/>
        </w:rPr>
      </w:pPr>
      <w:r>
        <w:rPr>
          <w:rFonts w:ascii="Times New Roman" w:hAnsi="Times New Roman" w:cs="Times New Roman"/>
          <w:sz w:val="28"/>
          <w:szCs w:val="28"/>
        </w:rPr>
        <w:t>Постоянный рост незаконной экономической деятельности</w:t>
      </w:r>
      <w:r w:rsidR="00950FBE">
        <w:rPr>
          <w:rFonts w:ascii="Times New Roman" w:hAnsi="Times New Roman" w:cs="Times New Roman"/>
          <w:sz w:val="28"/>
          <w:szCs w:val="28"/>
        </w:rPr>
        <w:t>,</w:t>
      </w:r>
      <w:r>
        <w:rPr>
          <w:rFonts w:ascii="Times New Roman" w:hAnsi="Times New Roman" w:cs="Times New Roman"/>
          <w:sz w:val="28"/>
          <w:szCs w:val="28"/>
        </w:rPr>
        <w:t xml:space="preserve"> а также слабый контроль со стороны государства за теневой экономикой, стали привлекать внимание большого количества ученых, специалистов, которые стали говорить об этой проблеме и предлагать пути её решения</w:t>
      </w:r>
      <w:r w:rsidR="009A41BC">
        <w:rPr>
          <w:rFonts w:ascii="Times New Roman" w:hAnsi="Times New Roman" w:cs="Times New Roman"/>
          <w:sz w:val="28"/>
          <w:szCs w:val="28"/>
        </w:rPr>
        <w:t>.</w:t>
      </w:r>
    </w:p>
    <w:p w:rsidR="006864B3" w:rsidRPr="006864B3" w:rsidRDefault="006864B3" w:rsidP="006864B3">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Изучение теневой экономики как системы на </w:t>
      </w:r>
      <w:proofErr w:type="gramStart"/>
      <w:r>
        <w:rPr>
          <w:rFonts w:ascii="Times New Roman" w:hAnsi="Times New Roman" w:cs="Times New Roman"/>
          <w:sz w:val="28"/>
          <w:szCs w:val="28"/>
        </w:rPr>
        <w:t>Западе,  в</w:t>
      </w:r>
      <w:proofErr w:type="gramEnd"/>
      <w:r>
        <w:rPr>
          <w:rFonts w:ascii="Times New Roman" w:hAnsi="Times New Roman" w:cs="Times New Roman"/>
          <w:sz w:val="28"/>
          <w:szCs w:val="28"/>
        </w:rPr>
        <w:t xml:space="preserve"> нашей стране началось относительно недавно. </w:t>
      </w:r>
      <w:r w:rsidRPr="006864B3">
        <w:rPr>
          <w:rFonts w:ascii="Times New Roman" w:hAnsi="Times New Roman" w:cs="Times New Roman"/>
          <w:color w:val="000000" w:themeColor="text1"/>
          <w:sz w:val="28"/>
          <w:szCs w:val="28"/>
          <w:shd w:val="clear" w:color="auto" w:fill="FFFFFF"/>
        </w:rPr>
        <w:t xml:space="preserve">Экономическая теория ХVIII – ХIХ вв. игнорировала теневые стороны экономической жизни, считая их маловажными. Изучение теневой экономики стало развиваться лишь в ХХ в. под влиянием институционализма – течения в экономической мысли, представители которого обращали приоритетное внимание на социальные аспекты хозяйственной жизни (в силу чего его иногда называют институционально-социологическим направлением). Еще в 1939 г. американский криминолог Э. </w:t>
      </w:r>
      <w:proofErr w:type="spellStart"/>
      <w:r w:rsidRPr="006864B3">
        <w:rPr>
          <w:rFonts w:ascii="Times New Roman" w:hAnsi="Times New Roman" w:cs="Times New Roman"/>
          <w:color w:val="000000" w:themeColor="text1"/>
          <w:sz w:val="28"/>
          <w:szCs w:val="28"/>
          <w:shd w:val="clear" w:color="auto" w:fill="FFFFFF"/>
        </w:rPr>
        <w:t>Сатерленд</w:t>
      </w:r>
      <w:proofErr w:type="spellEnd"/>
      <w:r w:rsidRPr="006864B3">
        <w:rPr>
          <w:rFonts w:ascii="Times New Roman" w:hAnsi="Times New Roman" w:cs="Times New Roman"/>
          <w:color w:val="000000" w:themeColor="text1"/>
          <w:sz w:val="28"/>
          <w:szCs w:val="28"/>
          <w:shd w:val="clear" w:color="auto" w:fill="FFFFFF"/>
        </w:rPr>
        <w:t xml:space="preserve"> сформулировал концепцию «преступности среди людей в белых воротничках», согласно которой скрытая, противоправная деятельность фактически является неотъемлемым компонентом повседневной деловой практики «большого бизнеса». «Прорыв» в изучении экономики преступности связан с именем знаменитого американского </w:t>
      </w:r>
      <w:proofErr w:type="spellStart"/>
      <w:r w:rsidRPr="006864B3">
        <w:rPr>
          <w:rFonts w:ascii="Times New Roman" w:hAnsi="Times New Roman" w:cs="Times New Roman"/>
          <w:color w:val="000000" w:themeColor="text1"/>
          <w:sz w:val="28"/>
          <w:szCs w:val="28"/>
          <w:shd w:val="clear" w:color="auto" w:fill="FFFFFF"/>
        </w:rPr>
        <w:t>неоинституционалиста</w:t>
      </w:r>
      <w:proofErr w:type="spellEnd"/>
      <w:r w:rsidRPr="006864B3">
        <w:rPr>
          <w:rFonts w:ascii="Times New Roman" w:hAnsi="Times New Roman" w:cs="Times New Roman"/>
          <w:color w:val="000000" w:themeColor="text1"/>
          <w:sz w:val="28"/>
          <w:szCs w:val="28"/>
          <w:shd w:val="clear" w:color="auto" w:fill="FFFFFF"/>
        </w:rPr>
        <w:t xml:space="preserve"> Г. Беккера: в 1968 г. он опубликовал статью «Преступление и наказание: экономический подход”, где анализировал преступность как деятельность рационального индивида, </w:t>
      </w:r>
      <w:proofErr w:type="spellStart"/>
      <w:r w:rsidRPr="006864B3">
        <w:rPr>
          <w:rFonts w:ascii="Times New Roman" w:hAnsi="Times New Roman" w:cs="Times New Roman"/>
          <w:color w:val="000000" w:themeColor="text1"/>
          <w:sz w:val="28"/>
          <w:szCs w:val="28"/>
          <w:shd w:val="clear" w:color="auto" w:fill="FFFFFF"/>
        </w:rPr>
        <w:t>максимизирующего</w:t>
      </w:r>
      <w:proofErr w:type="spellEnd"/>
      <w:r w:rsidRPr="006864B3">
        <w:rPr>
          <w:rFonts w:ascii="Times New Roman" w:hAnsi="Times New Roman" w:cs="Times New Roman"/>
          <w:color w:val="000000" w:themeColor="text1"/>
          <w:sz w:val="28"/>
          <w:szCs w:val="28"/>
          <w:shd w:val="clear" w:color="auto" w:fill="FFFFFF"/>
        </w:rPr>
        <w:t xml:space="preserve"> свою выгоду». С 1970-х гг., после сенсационного открытия английским социологом </w:t>
      </w:r>
      <w:proofErr w:type="spellStart"/>
      <w:r w:rsidRPr="006864B3">
        <w:rPr>
          <w:rFonts w:ascii="Times New Roman" w:hAnsi="Times New Roman" w:cs="Times New Roman"/>
          <w:color w:val="000000" w:themeColor="text1"/>
          <w:sz w:val="28"/>
          <w:szCs w:val="28"/>
          <w:shd w:val="clear" w:color="auto" w:fill="FFFFFF"/>
        </w:rPr>
        <w:t>К.Хартом</w:t>
      </w:r>
      <w:proofErr w:type="spellEnd"/>
      <w:r w:rsidRPr="006864B3">
        <w:rPr>
          <w:rFonts w:ascii="Times New Roman" w:hAnsi="Times New Roman" w:cs="Times New Roman"/>
          <w:color w:val="000000" w:themeColor="text1"/>
          <w:sz w:val="28"/>
          <w:szCs w:val="28"/>
          <w:shd w:val="clear" w:color="auto" w:fill="FFFFFF"/>
        </w:rPr>
        <w:t xml:space="preserve"> неформального сектора экономики в Гане, экономисты Запада стали активно изучать неформальную экономику как важный элемент экономической жизни развитых и, особенно, развивающихся стран. Изучение теневых экономических отношений в «социалистической» экономике начинает бурно развиваться с 1980-х гг., после пионерных работ Г. Гроссмана и А. </w:t>
      </w:r>
      <w:proofErr w:type="spellStart"/>
      <w:r w:rsidRPr="006864B3">
        <w:rPr>
          <w:rFonts w:ascii="Times New Roman" w:hAnsi="Times New Roman" w:cs="Times New Roman"/>
          <w:color w:val="000000" w:themeColor="text1"/>
          <w:sz w:val="28"/>
          <w:szCs w:val="28"/>
          <w:shd w:val="clear" w:color="auto" w:fill="FFFFFF"/>
        </w:rPr>
        <w:t>Каценелинбойгена</w:t>
      </w:r>
      <w:proofErr w:type="spellEnd"/>
      <w:r w:rsidRPr="006864B3">
        <w:rPr>
          <w:rFonts w:ascii="Times New Roman" w:hAnsi="Times New Roman" w:cs="Times New Roman"/>
          <w:color w:val="000000" w:themeColor="text1"/>
          <w:sz w:val="28"/>
          <w:szCs w:val="28"/>
          <w:shd w:val="clear" w:color="auto" w:fill="FFFFFF"/>
        </w:rPr>
        <w:t>; позже эстафету у советологов приняли специалисты по переходной экономике.</w:t>
      </w:r>
    </w:p>
    <w:p w:rsidR="006864B3" w:rsidRDefault="006864B3" w:rsidP="006864B3">
      <w:pPr>
        <w:spacing w:after="0" w:line="240" w:lineRule="auto"/>
        <w:ind w:firstLine="709"/>
        <w:jc w:val="both"/>
        <w:rPr>
          <w:rFonts w:ascii="Times New Roman" w:hAnsi="Times New Roman" w:cs="Times New Roman"/>
          <w:color w:val="000000"/>
          <w:sz w:val="28"/>
          <w:szCs w:val="28"/>
          <w:shd w:val="clear" w:color="auto" w:fill="FFFFFF"/>
        </w:rPr>
      </w:pPr>
      <w:r w:rsidRPr="00BF48A8">
        <w:rPr>
          <w:rFonts w:ascii="Times New Roman" w:hAnsi="Times New Roman" w:cs="Times New Roman"/>
          <w:color w:val="000000"/>
          <w:sz w:val="28"/>
          <w:szCs w:val="28"/>
          <w:shd w:val="clear" w:color="auto" w:fill="FFFFFF"/>
        </w:rPr>
        <w:t>Институциональные изменения происходят медленно, процесс трансформации институтов будет насыщен противоречиям, конфликтами интересов, борьбой мнений. И чем менее последовательна будет политика их осуществления, тем больше времени потребует создание в России конкурентоспособных институтов, привлекательных для капиталов и интеллекта. Тем больше будет усложняться задача достижения мировой конкурентоспособности российских товаров и услуг.</w:t>
      </w:r>
    </w:p>
    <w:p w:rsidR="006864B3" w:rsidRDefault="006864B3" w:rsidP="006864B3">
      <w:pPr>
        <w:pStyle w:val="a3"/>
        <w:ind w:firstLine="709"/>
        <w:jc w:val="both"/>
        <w:rPr>
          <w:rFonts w:ascii="Times New Roman" w:hAnsi="Times New Roman" w:cs="Times New Roman"/>
          <w:sz w:val="28"/>
          <w:szCs w:val="28"/>
          <w:lang w:eastAsia="ru-RU"/>
        </w:rPr>
      </w:pPr>
      <w:r w:rsidRPr="006864B3">
        <w:rPr>
          <w:rFonts w:ascii="Times New Roman" w:hAnsi="Times New Roman" w:cs="Times New Roman"/>
          <w:sz w:val="28"/>
          <w:szCs w:val="28"/>
          <w:lang w:eastAsia="ru-RU"/>
        </w:rPr>
        <w:t xml:space="preserve">История развития государств свидетельствует о том, что эффективность и независимость национальной экономики, устойчивость </w:t>
      </w:r>
      <w:r w:rsidRPr="006864B3">
        <w:rPr>
          <w:rFonts w:ascii="Times New Roman" w:hAnsi="Times New Roman" w:cs="Times New Roman"/>
          <w:sz w:val="28"/>
          <w:szCs w:val="28"/>
          <w:lang w:eastAsia="ru-RU"/>
        </w:rPr>
        <w:lastRenderedPageBreak/>
        <w:t>общественно - экономической формации и благосостояние населения страны зависят от сложившейся в государстве экономической системы. Стабильное функционирование и прогрессивное развитие экономической системы, а также организация управления экономической системой являются необходимыми условиями для реализации стратегии экономической безопасности государства.</w:t>
      </w:r>
    </w:p>
    <w:p w:rsidR="006864B3" w:rsidRDefault="006864B3" w:rsidP="006864B3">
      <w:pPr>
        <w:pStyle w:val="a3"/>
        <w:ind w:firstLine="709"/>
        <w:jc w:val="both"/>
        <w:rPr>
          <w:rFonts w:ascii="Times New Roman" w:hAnsi="Times New Roman" w:cs="Times New Roman"/>
          <w:sz w:val="28"/>
          <w:szCs w:val="28"/>
          <w:lang w:eastAsia="ru-RU"/>
        </w:rPr>
      </w:pPr>
      <w:r w:rsidRPr="006864B3">
        <w:rPr>
          <w:rFonts w:ascii="Times New Roman" w:hAnsi="Times New Roman" w:cs="Times New Roman"/>
          <w:sz w:val="28"/>
          <w:szCs w:val="28"/>
          <w:lang w:eastAsia="ru-RU"/>
        </w:rPr>
        <w:t>Экономическая безопасность государства предполагает прежде всего защиту национальных экономических целей и приоритетов. Коренные национальные интересы являются общими для всех государств и представляют собой:</w:t>
      </w:r>
    </w:p>
    <w:p w:rsidR="00140922" w:rsidRPr="00140922" w:rsidRDefault="006864B3" w:rsidP="00140922">
      <w:pPr>
        <w:pStyle w:val="a3"/>
        <w:numPr>
          <w:ilvl w:val="2"/>
          <w:numId w:val="1"/>
        </w:numPr>
        <w:ind w:left="0" w:firstLine="709"/>
        <w:jc w:val="both"/>
        <w:rPr>
          <w:rFonts w:ascii="Times New Roman" w:hAnsi="Times New Roman" w:cs="Times New Roman"/>
          <w:sz w:val="28"/>
          <w:szCs w:val="28"/>
          <w:lang w:eastAsia="ru-RU"/>
        </w:rPr>
      </w:pPr>
      <w:r w:rsidRPr="006864B3">
        <w:rPr>
          <w:rFonts w:ascii="Times New Roman" w:hAnsi="Times New Roman" w:cs="Times New Roman"/>
          <w:sz w:val="28"/>
          <w:szCs w:val="28"/>
          <w:lang w:eastAsia="ru-RU"/>
        </w:rPr>
        <w:t>национально-государственный суверенитет;</w:t>
      </w:r>
    </w:p>
    <w:p w:rsidR="00140922" w:rsidRPr="00140922" w:rsidRDefault="006864B3" w:rsidP="00140922">
      <w:pPr>
        <w:pStyle w:val="a3"/>
        <w:numPr>
          <w:ilvl w:val="2"/>
          <w:numId w:val="1"/>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 xml:space="preserve"> территориальную целостность государства;</w:t>
      </w:r>
    </w:p>
    <w:p w:rsidR="00140922" w:rsidRPr="00140922" w:rsidRDefault="006864B3" w:rsidP="00140922">
      <w:pPr>
        <w:pStyle w:val="a3"/>
        <w:numPr>
          <w:ilvl w:val="2"/>
          <w:numId w:val="1"/>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незыблемость конституционного строя</w:t>
      </w:r>
    </w:p>
    <w:p w:rsidR="00140922" w:rsidRPr="00140922" w:rsidRDefault="006864B3" w:rsidP="00140922">
      <w:pPr>
        <w:pStyle w:val="a3"/>
        <w:numPr>
          <w:ilvl w:val="2"/>
          <w:numId w:val="1"/>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социально - экономическую стабильность общества;</w:t>
      </w:r>
    </w:p>
    <w:p w:rsidR="00140922" w:rsidRPr="00140922" w:rsidRDefault="006864B3" w:rsidP="00140922">
      <w:pPr>
        <w:pStyle w:val="a3"/>
        <w:numPr>
          <w:ilvl w:val="2"/>
          <w:numId w:val="1"/>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 xml:space="preserve">обеспечение уровня и качества жизни населения в соответствии с </w:t>
      </w:r>
      <w:proofErr w:type="spellStart"/>
      <w:r w:rsidRPr="00140922">
        <w:rPr>
          <w:rFonts w:ascii="Times New Roman" w:hAnsi="Times New Roman" w:cs="Times New Roman"/>
          <w:sz w:val="28"/>
          <w:szCs w:val="28"/>
          <w:lang w:eastAsia="ru-RU"/>
        </w:rPr>
        <w:t>мировымистандартами</w:t>
      </w:r>
      <w:proofErr w:type="spellEnd"/>
      <w:r w:rsidRPr="00140922">
        <w:rPr>
          <w:rFonts w:ascii="Times New Roman" w:hAnsi="Times New Roman" w:cs="Times New Roman"/>
          <w:sz w:val="28"/>
          <w:szCs w:val="28"/>
          <w:lang w:eastAsia="ru-RU"/>
        </w:rPr>
        <w:t>;</w:t>
      </w:r>
    </w:p>
    <w:p w:rsidR="00140922" w:rsidRPr="00140922" w:rsidRDefault="006864B3" w:rsidP="00140922">
      <w:pPr>
        <w:pStyle w:val="a3"/>
        <w:numPr>
          <w:ilvl w:val="2"/>
          <w:numId w:val="1"/>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 xml:space="preserve"> создание условий для формирования, становления и развития личности;</w:t>
      </w:r>
    </w:p>
    <w:p w:rsidR="006864B3" w:rsidRPr="00140922" w:rsidRDefault="006864B3" w:rsidP="00140922">
      <w:pPr>
        <w:pStyle w:val="a3"/>
        <w:numPr>
          <w:ilvl w:val="2"/>
          <w:numId w:val="1"/>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духовное и культурное развитие общества.</w:t>
      </w:r>
    </w:p>
    <w:p w:rsidR="006864B3" w:rsidRDefault="006864B3" w:rsidP="006864B3">
      <w:pPr>
        <w:pStyle w:val="a3"/>
        <w:ind w:firstLine="709"/>
        <w:jc w:val="both"/>
        <w:rPr>
          <w:rFonts w:ascii="Times New Roman" w:hAnsi="Times New Roman" w:cs="Times New Roman"/>
          <w:sz w:val="28"/>
          <w:szCs w:val="28"/>
          <w:lang w:eastAsia="ru-RU"/>
        </w:rPr>
      </w:pPr>
      <w:r w:rsidRPr="006864B3">
        <w:rPr>
          <w:rFonts w:ascii="Times New Roman" w:hAnsi="Times New Roman" w:cs="Times New Roman"/>
          <w:sz w:val="28"/>
          <w:szCs w:val="28"/>
          <w:lang w:eastAsia="ru-RU"/>
        </w:rPr>
        <w:t>Проявлениям теневой экономики, создающими угрозу экономической безопасности государства, могут способствовать:</w:t>
      </w:r>
    </w:p>
    <w:p w:rsidR="00140922" w:rsidRPr="00140922" w:rsidRDefault="006864B3" w:rsidP="00140922">
      <w:pPr>
        <w:pStyle w:val="a3"/>
        <w:numPr>
          <w:ilvl w:val="0"/>
          <w:numId w:val="2"/>
        </w:numPr>
        <w:ind w:left="0" w:firstLine="709"/>
        <w:jc w:val="both"/>
        <w:rPr>
          <w:rFonts w:ascii="Times New Roman" w:hAnsi="Times New Roman" w:cs="Times New Roman"/>
          <w:sz w:val="28"/>
          <w:szCs w:val="28"/>
          <w:lang w:eastAsia="ru-RU"/>
        </w:rPr>
      </w:pPr>
      <w:r w:rsidRPr="006864B3">
        <w:rPr>
          <w:rFonts w:ascii="Times New Roman" w:hAnsi="Times New Roman" w:cs="Times New Roman"/>
          <w:sz w:val="28"/>
          <w:szCs w:val="28"/>
          <w:lang w:eastAsia="ru-RU"/>
        </w:rPr>
        <w:t>межнациональные и межрегиональные противоречия, вызываемые неравномерностью развития и причинами историко-культурного и конфессионального характера;</w:t>
      </w:r>
    </w:p>
    <w:p w:rsidR="00140922" w:rsidRPr="00140922" w:rsidRDefault="006864B3" w:rsidP="00140922">
      <w:pPr>
        <w:pStyle w:val="a3"/>
        <w:numPr>
          <w:ilvl w:val="0"/>
          <w:numId w:val="2"/>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 xml:space="preserve"> утрата официальной властью контроля над ситуацией в государстве в целом и в его отдельных регионах;</w:t>
      </w:r>
    </w:p>
    <w:p w:rsidR="00140922" w:rsidRPr="00140922" w:rsidRDefault="006864B3" w:rsidP="00140922">
      <w:pPr>
        <w:pStyle w:val="a3"/>
        <w:numPr>
          <w:ilvl w:val="0"/>
          <w:numId w:val="2"/>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явное преобладание в государственной экономической политике интересов господствующих элитарных групп;</w:t>
      </w:r>
    </w:p>
    <w:p w:rsidR="00140922" w:rsidRPr="00140922" w:rsidRDefault="006864B3" w:rsidP="00140922">
      <w:pPr>
        <w:pStyle w:val="a3"/>
        <w:numPr>
          <w:ilvl w:val="0"/>
          <w:numId w:val="2"/>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нежелание властей идти на конструктивный диалог с оппозицией;</w:t>
      </w:r>
    </w:p>
    <w:p w:rsidR="006864B3" w:rsidRPr="00140922" w:rsidRDefault="006864B3" w:rsidP="00140922">
      <w:pPr>
        <w:pStyle w:val="a3"/>
        <w:numPr>
          <w:ilvl w:val="0"/>
          <w:numId w:val="2"/>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внешнеполитический авант</w:t>
      </w:r>
      <w:r w:rsidR="00140922">
        <w:rPr>
          <w:rFonts w:ascii="Times New Roman" w:hAnsi="Times New Roman" w:cs="Times New Roman"/>
          <w:sz w:val="28"/>
          <w:szCs w:val="28"/>
          <w:lang w:eastAsia="ru-RU"/>
        </w:rPr>
        <w:t>юризм высших эшелонов власти</w:t>
      </w:r>
      <w:r w:rsidRPr="00140922">
        <w:rPr>
          <w:rFonts w:ascii="Times New Roman" w:hAnsi="Times New Roman" w:cs="Times New Roman"/>
          <w:sz w:val="28"/>
          <w:szCs w:val="28"/>
          <w:lang w:eastAsia="ru-RU"/>
        </w:rPr>
        <w:t>.</w:t>
      </w:r>
    </w:p>
    <w:p w:rsidR="006864B3" w:rsidRDefault="00140922" w:rsidP="006864B3">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сложившихся социально-</w:t>
      </w:r>
      <w:r w:rsidR="006864B3" w:rsidRPr="006864B3">
        <w:rPr>
          <w:rFonts w:ascii="Times New Roman" w:hAnsi="Times New Roman" w:cs="Times New Roman"/>
          <w:sz w:val="28"/>
          <w:szCs w:val="28"/>
          <w:lang w:eastAsia="ru-RU"/>
        </w:rPr>
        <w:t>экономических условиях для противодействия теневой экономике главными направлениями экономической политики государства должны стать:</w:t>
      </w:r>
    </w:p>
    <w:p w:rsidR="00140922" w:rsidRPr="00140922" w:rsidRDefault="006864B3" w:rsidP="00140922">
      <w:pPr>
        <w:pStyle w:val="a3"/>
        <w:numPr>
          <w:ilvl w:val="0"/>
          <w:numId w:val="3"/>
        </w:numPr>
        <w:ind w:left="0" w:firstLine="709"/>
        <w:jc w:val="both"/>
        <w:rPr>
          <w:rFonts w:ascii="Times New Roman" w:hAnsi="Times New Roman" w:cs="Times New Roman"/>
          <w:sz w:val="28"/>
          <w:szCs w:val="28"/>
          <w:lang w:eastAsia="ru-RU"/>
        </w:rPr>
      </w:pPr>
      <w:r w:rsidRPr="006864B3">
        <w:rPr>
          <w:rFonts w:ascii="Times New Roman" w:hAnsi="Times New Roman" w:cs="Times New Roman"/>
          <w:sz w:val="28"/>
          <w:szCs w:val="28"/>
          <w:lang w:eastAsia="ru-RU"/>
        </w:rPr>
        <w:t>повышение конкурентоспособности государства на мировых рынках товаров, услуг и информации;</w:t>
      </w:r>
    </w:p>
    <w:p w:rsidR="00140922" w:rsidRPr="00140922" w:rsidRDefault="00140922" w:rsidP="00140922">
      <w:pPr>
        <w:pStyle w:val="a3"/>
        <w:numPr>
          <w:ilvl w:val="0"/>
          <w:numId w:val="3"/>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совершенствование денежно-</w:t>
      </w:r>
      <w:r w:rsidR="006864B3" w:rsidRPr="00140922">
        <w:rPr>
          <w:rFonts w:ascii="Times New Roman" w:hAnsi="Times New Roman" w:cs="Times New Roman"/>
          <w:sz w:val="28"/>
          <w:szCs w:val="28"/>
          <w:lang w:eastAsia="ru-RU"/>
        </w:rPr>
        <w:t>кредитной политики государства путем укрепления национальной валюты;</w:t>
      </w:r>
    </w:p>
    <w:p w:rsidR="00140922" w:rsidRPr="00140922" w:rsidRDefault="006864B3" w:rsidP="00140922">
      <w:pPr>
        <w:pStyle w:val="a3"/>
        <w:numPr>
          <w:ilvl w:val="0"/>
          <w:numId w:val="3"/>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создание механизма самонастройки рыночной экономики;</w:t>
      </w:r>
    </w:p>
    <w:p w:rsidR="00140922" w:rsidRPr="00140922" w:rsidRDefault="006864B3" w:rsidP="00140922">
      <w:pPr>
        <w:pStyle w:val="a3"/>
        <w:numPr>
          <w:ilvl w:val="0"/>
          <w:numId w:val="3"/>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реструктуризация и демонополизация промышленного сектора экономики;</w:t>
      </w:r>
    </w:p>
    <w:p w:rsidR="00140922" w:rsidRPr="00140922" w:rsidRDefault="006864B3" w:rsidP="00140922">
      <w:pPr>
        <w:pStyle w:val="a3"/>
        <w:numPr>
          <w:ilvl w:val="0"/>
          <w:numId w:val="3"/>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создание благоприятного предпринимательского климата, особенно в сфере малого и среднего бизнеса;</w:t>
      </w:r>
    </w:p>
    <w:p w:rsidR="00140922" w:rsidRPr="00140922" w:rsidRDefault="006864B3" w:rsidP="00140922">
      <w:pPr>
        <w:pStyle w:val="a3"/>
        <w:numPr>
          <w:ilvl w:val="0"/>
          <w:numId w:val="3"/>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существенное улучшение ситуации в сельском хозяйстве;</w:t>
      </w:r>
    </w:p>
    <w:p w:rsidR="00140922" w:rsidRPr="00140922" w:rsidRDefault="006864B3" w:rsidP="00140922">
      <w:pPr>
        <w:pStyle w:val="a3"/>
        <w:numPr>
          <w:ilvl w:val="0"/>
          <w:numId w:val="3"/>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lastRenderedPageBreak/>
        <w:t>реформирование системы управления, отказ от лишних управленческих звеньев;</w:t>
      </w:r>
    </w:p>
    <w:p w:rsidR="00140922" w:rsidRPr="00140922" w:rsidRDefault="006864B3" w:rsidP="00140922">
      <w:pPr>
        <w:pStyle w:val="a3"/>
        <w:numPr>
          <w:ilvl w:val="0"/>
          <w:numId w:val="3"/>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реализация курса на большую экономическую открытость;</w:t>
      </w:r>
    </w:p>
    <w:p w:rsidR="00140922" w:rsidRPr="00140922" w:rsidRDefault="006864B3" w:rsidP="00140922">
      <w:pPr>
        <w:pStyle w:val="a3"/>
        <w:numPr>
          <w:ilvl w:val="0"/>
          <w:numId w:val="3"/>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последовательное проведение рыночного экономического курса;</w:t>
      </w:r>
    </w:p>
    <w:p w:rsidR="00140922" w:rsidRPr="00140922" w:rsidRDefault="006864B3" w:rsidP="00140922">
      <w:pPr>
        <w:pStyle w:val="a3"/>
        <w:numPr>
          <w:ilvl w:val="0"/>
          <w:numId w:val="3"/>
        </w:numPr>
        <w:ind w:left="0" w:firstLine="709"/>
        <w:jc w:val="both"/>
        <w:rPr>
          <w:rFonts w:ascii="Times New Roman" w:hAnsi="Times New Roman" w:cs="Times New Roman"/>
          <w:sz w:val="28"/>
          <w:szCs w:val="28"/>
          <w:lang w:eastAsia="ru-RU"/>
        </w:rPr>
      </w:pPr>
      <w:r w:rsidRPr="00140922">
        <w:rPr>
          <w:rFonts w:ascii="Times New Roman" w:hAnsi="Times New Roman" w:cs="Times New Roman"/>
          <w:sz w:val="28"/>
          <w:szCs w:val="28"/>
          <w:lang w:eastAsia="ru-RU"/>
        </w:rPr>
        <w:t>улучшение инвестиционного климата как для внутренних, так и для иностранных инвестиций.</w:t>
      </w:r>
    </w:p>
    <w:p w:rsidR="00ED4C36" w:rsidRPr="00140922" w:rsidRDefault="00ED4C36" w:rsidP="00140922">
      <w:pPr>
        <w:pStyle w:val="a3"/>
        <w:ind w:firstLine="709"/>
        <w:jc w:val="both"/>
        <w:rPr>
          <w:rFonts w:ascii="Times New Roman" w:hAnsi="Times New Roman" w:cs="Times New Roman"/>
          <w:sz w:val="28"/>
          <w:szCs w:val="28"/>
          <w:lang w:eastAsia="ru-RU"/>
        </w:rPr>
      </w:pPr>
      <w:r w:rsidRPr="00140922">
        <w:rPr>
          <w:rFonts w:ascii="Times New Roman" w:hAnsi="Times New Roman" w:cs="Times New Roman"/>
          <w:sz w:val="28"/>
          <w:szCs w:val="28"/>
          <w:shd w:val="clear" w:color="auto" w:fill="FFFFFF"/>
        </w:rPr>
        <w:t xml:space="preserve">Теневая и незаконная экономика наиболее громко заявила о себе в 1930-е годы, когда </w:t>
      </w:r>
      <w:hyperlink r:id="rId8" w:tooltip="Итальянская мафия" w:history="1">
        <w:r w:rsidRPr="00140922">
          <w:rPr>
            <w:rFonts w:ascii="Times New Roman" w:hAnsi="Times New Roman" w:cs="Times New Roman"/>
            <w:sz w:val="28"/>
            <w:szCs w:val="28"/>
            <w:shd w:val="clear" w:color="auto" w:fill="FFFFFF"/>
          </w:rPr>
          <w:t>итальянская мафия</w:t>
        </w:r>
      </w:hyperlink>
      <w:r w:rsidRPr="00140922">
        <w:rPr>
          <w:rFonts w:ascii="Times New Roman" w:hAnsi="Times New Roman" w:cs="Times New Roman"/>
          <w:sz w:val="28"/>
          <w:szCs w:val="28"/>
          <w:shd w:val="clear" w:color="auto" w:fill="FFFFFF"/>
        </w:rPr>
        <w:t xml:space="preserve"> вторглась в американскую экономику и на пиратский манер взяла ее «на абордаж». С тех пор эта экономика превратилась из проблемы правоохранительных органов в экономическую и общегосударственную проблему.</w:t>
      </w:r>
    </w:p>
    <w:p w:rsidR="00ED4C36" w:rsidRDefault="00ED4C36" w:rsidP="00ED4C36">
      <w:pPr>
        <w:pStyle w:val="a3"/>
        <w:ind w:firstLine="709"/>
        <w:jc w:val="both"/>
        <w:rPr>
          <w:rFonts w:ascii="Times New Roman" w:hAnsi="Times New Roman" w:cs="Times New Roman"/>
          <w:sz w:val="28"/>
          <w:szCs w:val="28"/>
          <w:shd w:val="clear" w:color="auto" w:fill="FFFFFF"/>
        </w:rPr>
      </w:pPr>
      <w:r w:rsidRPr="00ED4C36">
        <w:rPr>
          <w:rFonts w:ascii="Times New Roman" w:hAnsi="Times New Roman" w:cs="Times New Roman"/>
          <w:sz w:val="28"/>
          <w:szCs w:val="28"/>
          <w:shd w:val="clear" w:color="auto" w:fill="FFFFFF"/>
        </w:rPr>
        <w:t>В 1930-е годы появились исследования, которые касались только криминальной стороны такой деятельности. В 1970-е годы к изучению этой проблемы подключились экономисты. Автором одной из первых работ, посвященных изучению всех аспектов неформальной экономики, был американский ученый П. Гутман. В своей статье под названием «Подпольная экономика» он убедительно показал, что недоучитывать «теневую» деятельность нельзя.</w:t>
      </w:r>
    </w:p>
    <w:p w:rsidR="00ED4C36" w:rsidRDefault="00ED4C36" w:rsidP="00ED4C36">
      <w:pPr>
        <w:pStyle w:val="a3"/>
        <w:ind w:firstLine="709"/>
        <w:jc w:val="both"/>
        <w:rPr>
          <w:rFonts w:ascii="Times New Roman" w:hAnsi="Times New Roman" w:cs="Times New Roman"/>
          <w:sz w:val="28"/>
          <w:szCs w:val="28"/>
          <w:shd w:val="clear" w:color="auto" w:fill="FFFFFF"/>
        </w:rPr>
      </w:pPr>
      <w:r w:rsidRPr="00ED4C36">
        <w:rPr>
          <w:rFonts w:ascii="Times New Roman" w:hAnsi="Times New Roman" w:cs="Times New Roman"/>
          <w:sz w:val="28"/>
          <w:szCs w:val="28"/>
          <w:shd w:val="clear" w:color="auto" w:fill="FFFFFF"/>
        </w:rPr>
        <w:t>В начале 60-х годов прошлого столетия доля теневой деятельности в мировой экономике составляла всего 5,6%, а в последние годы более трети мирового ВВП (по расчетам МВФ ВВП составил в 2014г. 107,92 трлн долларов) скрыто в неформальном и незаконном секторе. То есть здесь производится порядка 39 трлн долларов (для сравнения в 2014г.: ВВП США - 17,42 трлн, Китая - 18,03 трлн, Еврозоны - 18,53 трлн).</w:t>
      </w:r>
    </w:p>
    <w:p w:rsidR="00ED4C36" w:rsidRDefault="00ED4C36" w:rsidP="00ED4C36">
      <w:pPr>
        <w:pStyle w:val="a3"/>
        <w:ind w:firstLine="709"/>
        <w:jc w:val="both"/>
        <w:rPr>
          <w:rFonts w:ascii="Times New Roman" w:hAnsi="Times New Roman" w:cs="Times New Roman"/>
          <w:sz w:val="28"/>
          <w:szCs w:val="28"/>
          <w:shd w:val="clear" w:color="auto" w:fill="FFFFFF"/>
        </w:rPr>
      </w:pPr>
      <w:r w:rsidRPr="00ED4C36">
        <w:rPr>
          <w:rFonts w:ascii="Times New Roman" w:hAnsi="Times New Roman" w:cs="Times New Roman"/>
          <w:sz w:val="28"/>
          <w:szCs w:val="28"/>
          <w:shd w:val="clear" w:color="auto" w:fill="FFFFFF"/>
        </w:rPr>
        <w:t xml:space="preserve">Особенно показателен рост неформальной экономики в европейских странах. По данным доктора экономических наук </w:t>
      </w:r>
      <w:proofErr w:type="spellStart"/>
      <w:r w:rsidRPr="00ED4C36">
        <w:rPr>
          <w:rFonts w:ascii="Times New Roman" w:hAnsi="Times New Roman" w:cs="Times New Roman"/>
          <w:sz w:val="28"/>
          <w:szCs w:val="28"/>
          <w:shd w:val="clear" w:color="auto" w:fill="FFFFFF"/>
        </w:rPr>
        <w:t>А.Сафонова</w:t>
      </w:r>
      <w:proofErr w:type="spellEnd"/>
      <w:r w:rsidRPr="00ED4C36">
        <w:rPr>
          <w:rFonts w:ascii="Times New Roman" w:hAnsi="Times New Roman" w:cs="Times New Roman"/>
          <w:sz w:val="28"/>
          <w:szCs w:val="28"/>
          <w:shd w:val="clear" w:color="auto" w:fill="FFFFFF"/>
        </w:rPr>
        <w:t xml:space="preserve"> за 45 лет ее доля в ВВП увеличилась в Швеции в 11 раз, в Германии почти в 8 раз, в Дании почти в 4 раза. И это показатели самых благополучных стран мира. В большинстве других европейских стран, входящих в ОЭСР, к </w:t>
      </w:r>
      <w:smartTag w:uri="urn:schemas-microsoft-com:office:smarttags" w:element="metricconverter">
        <w:smartTagPr>
          <w:attr w:name="ProductID" w:val="2007 г"/>
        </w:smartTagPr>
        <w:r w:rsidRPr="00ED4C36">
          <w:rPr>
            <w:rFonts w:ascii="Times New Roman" w:hAnsi="Times New Roman" w:cs="Times New Roman"/>
            <w:sz w:val="28"/>
            <w:szCs w:val="28"/>
            <w:shd w:val="clear" w:color="auto" w:fill="FFFFFF"/>
          </w:rPr>
          <w:t>2007 г</w:t>
        </w:r>
      </w:smartTag>
      <w:r w:rsidRPr="00ED4C36">
        <w:rPr>
          <w:rFonts w:ascii="Times New Roman" w:hAnsi="Times New Roman" w:cs="Times New Roman"/>
          <w:sz w:val="28"/>
          <w:szCs w:val="28"/>
          <w:shd w:val="clear" w:color="auto" w:fill="FFFFFF"/>
        </w:rPr>
        <w:t>. теневой оборот увеличился или сохранился на уровне предыдущего десятка лет либо несколько снизился и составил 2,2 трлн евро. Однако во время кризиса 2008-2009</w:t>
      </w:r>
      <w:r w:rsidR="00140922" w:rsidRPr="00140922">
        <w:rPr>
          <w:rFonts w:ascii="Times New Roman" w:hAnsi="Times New Roman" w:cs="Times New Roman"/>
          <w:sz w:val="28"/>
          <w:szCs w:val="28"/>
          <w:shd w:val="clear" w:color="auto" w:fill="FFFFFF"/>
        </w:rPr>
        <w:t xml:space="preserve"> </w:t>
      </w:r>
      <w:r w:rsidRPr="00ED4C36">
        <w:rPr>
          <w:rFonts w:ascii="Times New Roman" w:hAnsi="Times New Roman" w:cs="Times New Roman"/>
          <w:sz w:val="28"/>
          <w:szCs w:val="28"/>
          <w:shd w:val="clear" w:color="auto" w:fill="FFFFFF"/>
        </w:rPr>
        <w:t xml:space="preserve">гг. и последующей стагнации экономики неформальная экономика начала расти, что свидетельствует о том, что сложное экономическое положение и безработица стимулируют теневую деятельность. </w:t>
      </w:r>
    </w:p>
    <w:p w:rsidR="00ED4C36" w:rsidRDefault="00ED4C36" w:rsidP="00ED4C36">
      <w:pPr>
        <w:pStyle w:val="a3"/>
        <w:ind w:firstLine="709"/>
        <w:jc w:val="both"/>
        <w:rPr>
          <w:rFonts w:ascii="Times New Roman" w:hAnsi="Times New Roman" w:cs="Times New Roman"/>
          <w:sz w:val="28"/>
          <w:szCs w:val="28"/>
          <w:shd w:val="clear" w:color="auto" w:fill="FFFFFF"/>
        </w:rPr>
      </w:pPr>
      <w:r w:rsidRPr="00ED4C36">
        <w:rPr>
          <w:rFonts w:ascii="Times New Roman" w:hAnsi="Times New Roman" w:cs="Times New Roman"/>
          <w:sz w:val="28"/>
          <w:szCs w:val="28"/>
          <w:shd w:val="clear" w:color="auto" w:fill="FFFFFF"/>
        </w:rPr>
        <w:t xml:space="preserve">В </w:t>
      </w:r>
      <w:smartTag w:uri="urn:schemas-microsoft-com:office:smarttags" w:element="metricconverter">
        <w:smartTagPr>
          <w:attr w:name="ProductID" w:val="2013 г"/>
        </w:smartTagPr>
        <w:r w:rsidRPr="00ED4C36">
          <w:rPr>
            <w:rFonts w:ascii="Times New Roman" w:hAnsi="Times New Roman" w:cs="Times New Roman"/>
            <w:sz w:val="28"/>
            <w:szCs w:val="28"/>
            <w:shd w:val="clear" w:color="auto" w:fill="FFFFFF"/>
          </w:rPr>
          <w:t>2013 г</w:t>
        </w:r>
      </w:smartTag>
      <w:r w:rsidRPr="00ED4C36">
        <w:rPr>
          <w:rFonts w:ascii="Times New Roman" w:hAnsi="Times New Roman" w:cs="Times New Roman"/>
          <w:sz w:val="28"/>
          <w:szCs w:val="28"/>
          <w:shd w:val="clear" w:color="auto" w:fill="FFFFFF"/>
        </w:rPr>
        <w:t>. неформальная экономика оценивалась в 18,4% ВВП в странах Европейского союза (ЕС-27) и 8,6% в среднем в Австралии, Канаде, Японии, Новой Зеландии и США.</w:t>
      </w:r>
    </w:p>
    <w:p w:rsidR="00ED4C36" w:rsidRDefault="00ED4C36" w:rsidP="00ED4C36">
      <w:pPr>
        <w:pStyle w:val="a3"/>
        <w:ind w:firstLine="709"/>
        <w:jc w:val="both"/>
        <w:rPr>
          <w:rFonts w:ascii="Times New Roman" w:hAnsi="Times New Roman" w:cs="Times New Roman"/>
          <w:sz w:val="28"/>
          <w:szCs w:val="28"/>
          <w:shd w:val="clear" w:color="auto" w:fill="FFFFFF"/>
        </w:rPr>
      </w:pPr>
      <w:r w:rsidRPr="00ED4C36">
        <w:rPr>
          <w:rFonts w:ascii="Times New Roman" w:hAnsi="Times New Roman" w:cs="Times New Roman"/>
          <w:sz w:val="28"/>
          <w:szCs w:val="28"/>
          <w:shd w:val="clear" w:color="auto" w:fill="FFFFFF"/>
        </w:rPr>
        <w:t xml:space="preserve">В </w:t>
      </w:r>
      <w:smartTag w:uri="urn:schemas-microsoft-com:office:smarttags" w:element="metricconverter">
        <w:smartTagPr>
          <w:attr w:name="ProductID" w:val="2015 г"/>
        </w:smartTagPr>
        <w:r w:rsidRPr="00ED4C36">
          <w:rPr>
            <w:rFonts w:ascii="Times New Roman" w:hAnsi="Times New Roman" w:cs="Times New Roman"/>
            <w:sz w:val="28"/>
            <w:szCs w:val="28"/>
            <w:shd w:val="clear" w:color="auto" w:fill="FFFFFF"/>
          </w:rPr>
          <w:t>2015 г</w:t>
        </w:r>
      </w:smartTag>
      <w:r w:rsidRPr="00ED4C36">
        <w:rPr>
          <w:rFonts w:ascii="Times New Roman" w:hAnsi="Times New Roman" w:cs="Times New Roman"/>
          <w:sz w:val="28"/>
          <w:szCs w:val="28"/>
          <w:shd w:val="clear" w:color="auto" w:fill="FFFFFF"/>
        </w:rPr>
        <w:t xml:space="preserve">. согласно исследованию профессора австрийского университета </w:t>
      </w:r>
      <w:proofErr w:type="spellStart"/>
      <w:r w:rsidRPr="00ED4C36">
        <w:rPr>
          <w:rFonts w:ascii="Times New Roman" w:hAnsi="Times New Roman" w:cs="Times New Roman"/>
          <w:sz w:val="28"/>
          <w:szCs w:val="28"/>
          <w:shd w:val="clear" w:color="auto" w:fill="FFFFFF"/>
        </w:rPr>
        <w:t>Йоханнеса</w:t>
      </w:r>
      <w:proofErr w:type="spellEnd"/>
      <w:r w:rsidRPr="00ED4C36">
        <w:rPr>
          <w:rFonts w:ascii="Times New Roman" w:hAnsi="Times New Roman" w:cs="Times New Roman"/>
          <w:sz w:val="28"/>
          <w:szCs w:val="28"/>
          <w:shd w:val="clear" w:color="auto" w:fill="FFFFFF"/>
        </w:rPr>
        <w:t xml:space="preserve"> Кеплера Ф.</w:t>
      </w:r>
      <w:r w:rsidR="00140922" w:rsidRPr="00140922">
        <w:rPr>
          <w:rFonts w:ascii="Times New Roman" w:hAnsi="Times New Roman" w:cs="Times New Roman"/>
          <w:sz w:val="28"/>
          <w:szCs w:val="28"/>
          <w:shd w:val="clear" w:color="auto" w:fill="FFFFFF"/>
        </w:rPr>
        <w:t xml:space="preserve"> </w:t>
      </w:r>
      <w:r w:rsidRPr="00ED4C36">
        <w:rPr>
          <w:rFonts w:ascii="Times New Roman" w:hAnsi="Times New Roman" w:cs="Times New Roman"/>
          <w:sz w:val="28"/>
          <w:szCs w:val="28"/>
          <w:shd w:val="clear" w:color="auto" w:fill="FFFFFF"/>
        </w:rPr>
        <w:t>Шнейдера в среднем размер теневой деятельности составил в странах Европы 18% ВВП.</w:t>
      </w:r>
    </w:p>
    <w:p w:rsidR="005C1103" w:rsidRDefault="00D7013E" w:rsidP="003A7CC7">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данным ассоциации дипломированных сертифицированных бухгалтеров (АССА) Россия вошла в пятерку крупнейших теневых экономик, при этом заняв четвертую позицию в рейтинги, где находится 28 стран</w:t>
      </w:r>
      <w:r w:rsidR="00584458">
        <w:rPr>
          <w:rFonts w:ascii="Times New Roman" w:hAnsi="Times New Roman" w:cs="Times New Roman"/>
          <w:sz w:val="28"/>
          <w:szCs w:val="28"/>
          <w:shd w:val="clear" w:color="auto" w:fill="FFFFFF"/>
        </w:rPr>
        <w:t xml:space="preserve">. </w:t>
      </w:r>
      <w:r w:rsidR="00140922" w:rsidRPr="00140922">
        <w:rPr>
          <w:rFonts w:ascii="Times New Roman" w:hAnsi="Times New Roman" w:cs="Times New Roman"/>
          <w:sz w:val="28"/>
          <w:szCs w:val="28"/>
          <w:shd w:val="clear" w:color="auto" w:fill="FFFFFF"/>
        </w:rPr>
        <w:t xml:space="preserve">        </w:t>
      </w:r>
      <w:r w:rsidR="00584458">
        <w:rPr>
          <w:rFonts w:ascii="Times New Roman" w:hAnsi="Times New Roman" w:cs="Times New Roman"/>
          <w:sz w:val="28"/>
          <w:szCs w:val="28"/>
          <w:shd w:val="clear" w:color="auto" w:fill="FFFFFF"/>
        </w:rPr>
        <w:t>В соответствии с рисунком 1 на 2017 год</w:t>
      </w:r>
      <w:r>
        <w:rPr>
          <w:rFonts w:ascii="Times New Roman" w:hAnsi="Times New Roman" w:cs="Times New Roman"/>
          <w:sz w:val="28"/>
          <w:szCs w:val="28"/>
          <w:shd w:val="clear" w:color="auto" w:fill="FFFFFF"/>
        </w:rPr>
        <w:t xml:space="preserve"> ВВП России составило 39% ВВП </w:t>
      </w:r>
      <w:r w:rsidR="00140922">
        <w:rPr>
          <w:rFonts w:ascii="Times New Roman" w:hAnsi="Times New Roman" w:cs="Times New Roman"/>
          <w:sz w:val="28"/>
          <w:szCs w:val="28"/>
          <w:shd w:val="clear" w:color="auto" w:fill="FFFFFF"/>
        </w:rPr>
        <w:lastRenderedPageBreak/>
        <w:t xml:space="preserve">страны (33,6 трлн руб.). </w:t>
      </w:r>
      <w:r>
        <w:rPr>
          <w:rFonts w:ascii="Times New Roman" w:hAnsi="Times New Roman" w:cs="Times New Roman"/>
          <w:sz w:val="28"/>
          <w:szCs w:val="28"/>
          <w:shd w:val="clear" w:color="auto" w:fill="FFFFFF"/>
        </w:rPr>
        <w:t>Одним из самых высоких показателей теневой экономики является Россия, выше неё по этому показателю лишь Украина (46% от ВВП), Нигерия (67%) и Азербайджан (67%).</w:t>
      </w:r>
    </w:p>
    <w:p w:rsidR="00D7013E" w:rsidRPr="003A7CC7" w:rsidRDefault="00D7013E" w:rsidP="003A7CC7">
      <w:pPr>
        <w:pStyle w:val="a3"/>
        <w:jc w:val="both"/>
        <w:rPr>
          <w:rFonts w:ascii="Times New Roman" w:hAnsi="Times New Roman" w:cs="Times New Roman"/>
          <w:sz w:val="28"/>
          <w:szCs w:val="28"/>
          <w:shd w:val="clear" w:color="auto" w:fill="FFFFFF"/>
        </w:rPr>
      </w:pPr>
      <w:r w:rsidRPr="00D7013E">
        <w:rPr>
          <w:rFonts w:ascii="Times New Roman" w:hAnsi="Times New Roman" w:cs="Times New Roman"/>
          <w:noProof/>
          <w:sz w:val="28"/>
          <w:szCs w:val="28"/>
          <w:shd w:val="clear" w:color="auto" w:fill="FFFFFF"/>
          <w:lang w:eastAsia="ru-RU"/>
        </w:rPr>
        <w:drawing>
          <wp:inline distT="0" distB="0" distL="0" distR="0">
            <wp:extent cx="5763564" cy="2942822"/>
            <wp:effectExtent l="19050" t="0" r="27636"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013E" w:rsidRPr="00AF25BB" w:rsidRDefault="00E30FEE" w:rsidP="00E30FEE">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График</w:t>
      </w:r>
      <w:r w:rsidR="00AF25BB" w:rsidRPr="00AF25BB">
        <w:rPr>
          <w:rFonts w:ascii="Times New Roman" w:hAnsi="Times New Roman" w:cs="Times New Roman"/>
          <w:shd w:val="clear" w:color="auto" w:fill="FFFFFF"/>
        </w:rPr>
        <w:t xml:space="preserve"> </w:t>
      </w:r>
      <w:r w:rsidR="00D7013E" w:rsidRPr="00AF25BB">
        <w:rPr>
          <w:rFonts w:ascii="Times New Roman" w:hAnsi="Times New Roman" w:cs="Times New Roman"/>
          <w:shd w:val="clear" w:color="auto" w:fill="FFFFFF"/>
        </w:rPr>
        <w:t>1</w:t>
      </w:r>
      <w:r w:rsidR="00584458">
        <w:rPr>
          <w:rFonts w:ascii="Times New Roman" w:hAnsi="Times New Roman" w:cs="Times New Roman"/>
          <w:shd w:val="clear" w:color="auto" w:fill="FFFFFF"/>
        </w:rPr>
        <w:t xml:space="preserve"> Страны с крупнейшей теневой экономикой</w:t>
      </w:r>
    </w:p>
    <w:p w:rsidR="005C1103" w:rsidRDefault="005C1103" w:rsidP="00ED4C36">
      <w:pPr>
        <w:pStyle w:val="a3"/>
        <w:ind w:firstLine="709"/>
        <w:jc w:val="both"/>
        <w:rPr>
          <w:rFonts w:ascii="Times New Roman" w:hAnsi="Times New Roman" w:cs="Times New Roman"/>
          <w:sz w:val="28"/>
          <w:szCs w:val="28"/>
          <w:shd w:val="clear" w:color="auto" w:fill="FFFFFF"/>
        </w:rPr>
      </w:pPr>
    </w:p>
    <w:p w:rsidR="00D7013E" w:rsidRDefault="00D7013E" w:rsidP="00ED4C3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Теневой экономике эксперты АССА дают определение как такой экономической деятельности, которая протекает за пределами системы государственного регулирования, а её доход не </w:t>
      </w:r>
      <w:proofErr w:type="spellStart"/>
      <w:r>
        <w:rPr>
          <w:rFonts w:ascii="Times New Roman" w:hAnsi="Times New Roman" w:cs="Times New Roman"/>
          <w:sz w:val="28"/>
          <w:szCs w:val="28"/>
          <w:shd w:val="clear" w:color="auto" w:fill="FFFFFF"/>
        </w:rPr>
        <w:t>налогооблагаем</w:t>
      </w:r>
      <w:proofErr w:type="spellEnd"/>
      <w:r>
        <w:rPr>
          <w:rFonts w:ascii="Times New Roman" w:hAnsi="Times New Roman" w:cs="Times New Roman"/>
          <w:sz w:val="28"/>
          <w:szCs w:val="28"/>
          <w:shd w:val="clear" w:color="auto" w:fill="FFFFFF"/>
        </w:rPr>
        <w:t xml:space="preserve"> и неподконтролен. Самый маленький показатель объёма теневой экономики </w:t>
      </w:r>
      <w:r w:rsidR="00A90CF6">
        <w:rPr>
          <w:rFonts w:ascii="Times New Roman" w:hAnsi="Times New Roman" w:cs="Times New Roman"/>
          <w:sz w:val="28"/>
          <w:szCs w:val="28"/>
          <w:shd w:val="clear" w:color="auto" w:fill="FFFFFF"/>
        </w:rPr>
        <w:t>в конце 2016 года был определен у США (7,8%), Японии (10%) и Китая (10,2%).</w:t>
      </w:r>
    </w:p>
    <w:p w:rsidR="00D7013E" w:rsidRDefault="00584458" w:rsidP="00ED4C3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ходе исследования в </w:t>
      </w:r>
      <w:r w:rsidR="00A90CF6">
        <w:rPr>
          <w:rFonts w:ascii="Times New Roman" w:hAnsi="Times New Roman" w:cs="Times New Roman"/>
          <w:sz w:val="28"/>
          <w:szCs w:val="28"/>
          <w:shd w:val="clear" w:color="auto" w:fill="FFFFFF"/>
        </w:rPr>
        <w:t xml:space="preserve">АССА </w:t>
      </w:r>
      <w:r>
        <w:rPr>
          <w:rFonts w:ascii="Times New Roman" w:hAnsi="Times New Roman" w:cs="Times New Roman"/>
          <w:sz w:val="28"/>
          <w:szCs w:val="28"/>
          <w:shd w:val="clear" w:color="auto" w:fill="FFFFFF"/>
        </w:rPr>
        <w:t xml:space="preserve">пришли к выводу, что </w:t>
      </w:r>
      <w:r w:rsidR="00A90CF6">
        <w:rPr>
          <w:rFonts w:ascii="Times New Roman" w:hAnsi="Times New Roman" w:cs="Times New Roman"/>
          <w:sz w:val="28"/>
          <w:szCs w:val="28"/>
          <w:shd w:val="clear" w:color="auto" w:fill="FFFFFF"/>
        </w:rPr>
        <w:t>доля теневой экономики в мировом ВВП</w:t>
      </w:r>
      <w:r>
        <w:rPr>
          <w:rFonts w:ascii="Times New Roman" w:hAnsi="Times New Roman" w:cs="Times New Roman"/>
          <w:sz w:val="28"/>
          <w:szCs w:val="28"/>
          <w:shd w:val="clear" w:color="auto" w:fill="FFFFFF"/>
        </w:rPr>
        <w:t xml:space="preserve"> в 2016 году 22,66%. По мнению дипломированных бухгалтеров АССА</w:t>
      </w:r>
      <w:r w:rsidR="00A90CF6">
        <w:rPr>
          <w:rFonts w:ascii="Times New Roman" w:hAnsi="Times New Roman" w:cs="Times New Roman"/>
          <w:sz w:val="28"/>
          <w:szCs w:val="28"/>
          <w:shd w:val="clear" w:color="auto" w:fill="FFFFFF"/>
        </w:rPr>
        <w:t xml:space="preserve"> в ближайшем будущем доля теневой экономики будет сокращаться: до 22,1% в 2020 году, 21,4% к 2025.</w:t>
      </w:r>
    </w:p>
    <w:p w:rsidR="00A90CF6" w:rsidRDefault="00A90CF6" w:rsidP="00A90CF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Российской Федерации доля теневой экономики </w:t>
      </w:r>
      <w:r w:rsidR="00140922">
        <w:rPr>
          <w:rFonts w:ascii="Times New Roman" w:hAnsi="Times New Roman" w:cs="Times New Roman"/>
          <w:sz w:val="28"/>
          <w:szCs w:val="28"/>
          <w:shd w:val="clear" w:color="auto" w:fill="FFFFFF"/>
        </w:rPr>
        <w:t>изменчива</w:t>
      </w:r>
      <w:r>
        <w:rPr>
          <w:rFonts w:ascii="Times New Roman" w:hAnsi="Times New Roman" w:cs="Times New Roman"/>
          <w:sz w:val="28"/>
          <w:szCs w:val="28"/>
          <w:shd w:val="clear" w:color="auto" w:fill="FFFFFF"/>
        </w:rPr>
        <w:t>,</w:t>
      </w:r>
      <w:r w:rsidR="00F93365">
        <w:rPr>
          <w:rFonts w:ascii="Times New Roman" w:hAnsi="Times New Roman" w:cs="Times New Roman"/>
          <w:sz w:val="28"/>
          <w:szCs w:val="28"/>
          <w:shd w:val="clear" w:color="auto" w:fill="FFFFFF"/>
        </w:rPr>
        <w:t xml:space="preserve"> если в 2015 - 2016 годах этот показатель составлял 28%, то на 2018 </w:t>
      </w:r>
      <w:proofErr w:type="gramStart"/>
      <w:r w:rsidR="00F93365">
        <w:rPr>
          <w:rFonts w:ascii="Times New Roman" w:hAnsi="Times New Roman" w:cs="Times New Roman"/>
          <w:sz w:val="28"/>
          <w:szCs w:val="28"/>
          <w:shd w:val="clear" w:color="auto" w:fill="FFFFFF"/>
        </w:rPr>
        <w:t xml:space="preserve">год </w:t>
      </w:r>
      <w:r>
        <w:rPr>
          <w:rFonts w:ascii="Times New Roman" w:hAnsi="Times New Roman" w:cs="Times New Roman"/>
          <w:sz w:val="28"/>
          <w:szCs w:val="28"/>
          <w:shd w:val="clear" w:color="auto" w:fill="FFFFFF"/>
        </w:rPr>
        <w:t xml:space="preserve"> ежегодная</w:t>
      </w:r>
      <w:proofErr w:type="gramEnd"/>
      <w:r>
        <w:rPr>
          <w:rFonts w:ascii="Times New Roman" w:hAnsi="Times New Roman" w:cs="Times New Roman"/>
          <w:sz w:val="28"/>
          <w:szCs w:val="28"/>
          <w:shd w:val="clear" w:color="auto" w:fill="FFFFFF"/>
        </w:rPr>
        <w:t xml:space="preserve"> оценка Росфинмониторинга показала, что объем теневой экономики России составила 20% ВВП.</w:t>
      </w:r>
    </w:p>
    <w:p w:rsidR="00E30FEE" w:rsidRDefault="00E30FEE" w:rsidP="00A90CF6">
      <w:pPr>
        <w:pStyle w:val="a3"/>
        <w:ind w:firstLine="709"/>
        <w:jc w:val="both"/>
        <w:rPr>
          <w:rFonts w:ascii="Times New Roman" w:hAnsi="Times New Roman" w:cs="Times New Roman"/>
          <w:sz w:val="28"/>
          <w:szCs w:val="28"/>
          <w:shd w:val="clear" w:color="auto" w:fill="FFFFFF"/>
        </w:rPr>
      </w:pPr>
    </w:p>
    <w:p w:rsidR="004E251A" w:rsidRDefault="004E251A" w:rsidP="00140922">
      <w:pPr>
        <w:pStyle w:val="a3"/>
        <w:jc w:val="both"/>
        <w:rPr>
          <w:rFonts w:ascii="Times New Roman" w:hAnsi="Times New Roman" w:cs="Times New Roman"/>
          <w:sz w:val="28"/>
          <w:szCs w:val="28"/>
          <w:shd w:val="clear" w:color="auto" w:fill="FFFFFF"/>
        </w:rPr>
      </w:pPr>
      <w:r w:rsidRPr="004E251A">
        <w:rPr>
          <w:rFonts w:ascii="Times New Roman" w:hAnsi="Times New Roman" w:cs="Times New Roman"/>
          <w:noProof/>
          <w:sz w:val="28"/>
          <w:szCs w:val="28"/>
          <w:shd w:val="clear" w:color="auto" w:fill="FFFFFF"/>
          <w:lang w:eastAsia="ru-RU"/>
        </w:rPr>
        <w:drawing>
          <wp:inline distT="0" distB="0" distL="0" distR="0">
            <wp:extent cx="5860156" cy="1989786"/>
            <wp:effectExtent l="19050" t="0" r="26294"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251A" w:rsidRPr="004E251A" w:rsidRDefault="00E30FEE" w:rsidP="00E30FEE">
      <w:pPr>
        <w:pStyle w:val="a3"/>
        <w:rPr>
          <w:rFonts w:ascii="Times New Roman" w:hAnsi="Times New Roman" w:cs="Times New Roman"/>
          <w:shd w:val="clear" w:color="auto" w:fill="FFFFFF"/>
        </w:rPr>
      </w:pPr>
      <w:r>
        <w:rPr>
          <w:rFonts w:ascii="Times New Roman" w:hAnsi="Times New Roman" w:cs="Times New Roman"/>
          <w:shd w:val="clear" w:color="auto" w:fill="FFFFFF"/>
        </w:rPr>
        <w:t xml:space="preserve">График 2  </w:t>
      </w:r>
      <w:r w:rsidR="004E251A">
        <w:rPr>
          <w:rFonts w:ascii="Times New Roman" w:hAnsi="Times New Roman" w:cs="Times New Roman"/>
          <w:shd w:val="clear" w:color="auto" w:fill="FFFFFF"/>
        </w:rPr>
        <w:t xml:space="preserve"> Статистика теневой экономики в России в период с 2009 по 2018 год</w:t>
      </w:r>
    </w:p>
    <w:p w:rsidR="004E251A" w:rsidRDefault="004E251A" w:rsidP="004E251A">
      <w:pPr>
        <w:pStyle w:val="a3"/>
        <w:ind w:firstLine="709"/>
        <w:jc w:val="both"/>
        <w:rPr>
          <w:rFonts w:ascii="Times New Roman" w:hAnsi="Times New Roman" w:cs="Times New Roman"/>
          <w:sz w:val="28"/>
          <w:szCs w:val="28"/>
          <w:shd w:val="clear" w:color="auto" w:fill="FFFFFF"/>
        </w:rPr>
      </w:pPr>
    </w:p>
    <w:p w:rsidR="004E251A" w:rsidRDefault="004E251A" w:rsidP="004E251A">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 приведенного выше графика видно, что в 2017 году произошёл резкий спад доли неучтенного дохода в общей экономике страны. Специалисты пришли к выводу, что это может быть связано с сокращением теневого бизнеса. Кроме того произошло снижение объёма нелегально поступающих в Российскую Федерацию денежных средств из-за рубежа и сокращение нелегальных потоков денежных средств из России в другие страны.</w:t>
      </w:r>
    </w:p>
    <w:p w:rsidR="00F93365" w:rsidRDefault="00F93365" w:rsidP="00A90CF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проведении исследования, которое посвящено оценке и прогнозу развития глобальной экономики,</w:t>
      </w:r>
      <w:r w:rsidR="00663B27">
        <w:rPr>
          <w:rFonts w:ascii="Times New Roman" w:hAnsi="Times New Roman" w:cs="Times New Roman"/>
          <w:sz w:val="28"/>
          <w:szCs w:val="28"/>
          <w:shd w:val="clear" w:color="auto" w:fill="FFFFFF"/>
        </w:rPr>
        <w:t xml:space="preserve"> эксперты</w:t>
      </w:r>
      <w:r>
        <w:rPr>
          <w:rFonts w:ascii="Times New Roman" w:hAnsi="Times New Roman" w:cs="Times New Roman"/>
          <w:sz w:val="28"/>
          <w:szCs w:val="28"/>
          <w:shd w:val="clear" w:color="auto" w:fill="FFFFFF"/>
        </w:rPr>
        <w:t xml:space="preserve"> выделили две г</w:t>
      </w:r>
      <w:r w:rsidR="00137820">
        <w:rPr>
          <w:rFonts w:ascii="Times New Roman" w:hAnsi="Times New Roman" w:cs="Times New Roman"/>
          <w:sz w:val="28"/>
          <w:szCs w:val="28"/>
          <w:shd w:val="clear" w:color="auto" w:fill="FFFFFF"/>
        </w:rPr>
        <w:t>руппы факторов. К первой группе (</w:t>
      </w:r>
      <w:r>
        <w:rPr>
          <w:rFonts w:ascii="Times New Roman" w:hAnsi="Times New Roman" w:cs="Times New Roman"/>
          <w:sz w:val="28"/>
          <w:szCs w:val="28"/>
          <w:shd w:val="clear" w:color="auto" w:fill="FFFFFF"/>
        </w:rPr>
        <w:t>актуальные факторы</w:t>
      </w:r>
      <w:r w:rsidR="0013782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относятся </w:t>
      </w:r>
      <w:r w:rsidR="00137820">
        <w:rPr>
          <w:rFonts w:ascii="Times New Roman" w:hAnsi="Times New Roman" w:cs="Times New Roman"/>
          <w:sz w:val="28"/>
          <w:szCs w:val="28"/>
          <w:shd w:val="clear" w:color="auto" w:fill="FFFFFF"/>
        </w:rPr>
        <w:t>экономические, со</w:t>
      </w:r>
      <w:r w:rsidR="000C7572">
        <w:rPr>
          <w:rFonts w:ascii="Times New Roman" w:hAnsi="Times New Roman" w:cs="Times New Roman"/>
          <w:sz w:val="28"/>
          <w:szCs w:val="28"/>
          <w:shd w:val="clear" w:color="auto" w:fill="FFFFFF"/>
        </w:rPr>
        <w:t>цио</w:t>
      </w:r>
      <w:r w:rsidR="00663B27">
        <w:rPr>
          <w:rFonts w:ascii="Times New Roman" w:hAnsi="Times New Roman" w:cs="Times New Roman"/>
          <w:sz w:val="28"/>
          <w:szCs w:val="28"/>
          <w:shd w:val="clear" w:color="auto" w:fill="FFFFFF"/>
        </w:rPr>
        <w:t>-</w:t>
      </w:r>
      <w:r w:rsidR="00137820">
        <w:rPr>
          <w:rFonts w:ascii="Times New Roman" w:hAnsi="Times New Roman" w:cs="Times New Roman"/>
          <w:sz w:val="28"/>
          <w:szCs w:val="28"/>
          <w:shd w:val="clear" w:color="auto" w:fill="FFFFFF"/>
        </w:rPr>
        <w:t>демографические, государственные</w:t>
      </w:r>
      <w:r w:rsidR="000C7572">
        <w:rPr>
          <w:rFonts w:ascii="Times New Roman" w:hAnsi="Times New Roman" w:cs="Times New Roman"/>
          <w:sz w:val="28"/>
          <w:szCs w:val="28"/>
          <w:shd w:val="clear" w:color="auto" w:fill="FFFFFF"/>
        </w:rPr>
        <w:t>, социальные</w:t>
      </w:r>
      <w:r w:rsidR="00137820">
        <w:rPr>
          <w:rFonts w:ascii="Times New Roman" w:hAnsi="Times New Roman" w:cs="Times New Roman"/>
          <w:sz w:val="28"/>
          <w:szCs w:val="28"/>
          <w:shd w:val="clear" w:color="auto" w:fill="FFFFFF"/>
        </w:rPr>
        <w:t xml:space="preserve"> и бизнес-факторы. Во вторую группу (формирующиеся) входят научно-технологические факторы. Обе эти группы факторов определяют развитие теневых экономик.</w:t>
      </w:r>
    </w:p>
    <w:p w:rsidR="00137820" w:rsidRDefault="00137820" w:rsidP="00A90CF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Однако одним из главных факторов, который поддерживает теневую экономику, является экономический. По оценка экспертов АССА важнейшими из них являются налоговое бремя, рецессия в местных экономиках, легкость работы в неформальном секторе экономики, помимо этого ими были названы такие факторы как: большое давление на бизнес жесткая рыночная конкуренция</w:t>
      </w:r>
      <w:r w:rsidR="000C7572">
        <w:rPr>
          <w:rFonts w:ascii="Times New Roman" w:hAnsi="Times New Roman" w:cs="Times New Roman"/>
          <w:sz w:val="28"/>
          <w:szCs w:val="28"/>
          <w:shd w:val="clear" w:color="auto" w:fill="FFFFFF"/>
        </w:rPr>
        <w:t xml:space="preserve">, увеличение числа независимых работников </w:t>
      </w:r>
      <w:r w:rsidR="00663B27">
        <w:rPr>
          <w:rFonts w:ascii="Times New Roman" w:hAnsi="Times New Roman" w:cs="Times New Roman"/>
          <w:sz w:val="28"/>
          <w:szCs w:val="28"/>
          <w:shd w:val="clear" w:color="auto" w:fill="FFFFFF"/>
        </w:rPr>
        <w:t xml:space="preserve"> (</w:t>
      </w:r>
      <w:r w:rsidR="000C7572">
        <w:rPr>
          <w:rFonts w:ascii="Times New Roman" w:hAnsi="Times New Roman" w:cs="Times New Roman"/>
          <w:sz w:val="28"/>
          <w:szCs w:val="28"/>
          <w:shd w:val="clear" w:color="auto" w:fill="FFFFFF"/>
        </w:rPr>
        <w:t>бизнес-факторы), рост безработицы, повышение уровня бедности, ограничение доступа к образованию (</w:t>
      </w:r>
      <w:proofErr w:type="spellStart"/>
      <w:r w:rsidR="000C7572">
        <w:rPr>
          <w:rFonts w:ascii="Times New Roman" w:hAnsi="Times New Roman" w:cs="Times New Roman"/>
          <w:sz w:val="28"/>
          <w:szCs w:val="28"/>
          <w:shd w:val="clear" w:color="auto" w:fill="FFFFFF"/>
        </w:rPr>
        <w:t>социодемографические</w:t>
      </w:r>
      <w:proofErr w:type="spellEnd"/>
      <w:r w:rsidR="000C7572">
        <w:rPr>
          <w:rFonts w:ascii="Times New Roman" w:hAnsi="Times New Roman" w:cs="Times New Roman"/>
          <w:sz w:val="28"/>
          <w:szCs w:val="28"/>
          <w:shd w:val="clear" w:color="auto" w:fill="FFFFFF"/>
        </w:rPr>
        <w:t>).</w:t>
      </w:r>
    </w:p>
    <w:p w:rsidR="004E251A" w:rsidRDefault="004E251A" w:rsidP="00A90CF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качестве полного понимания заявленной тематики исследования следует рассмотреть каждый из этих факторов для полного анализа данного института.</w:t>
      </w:r>
    </w:p>
    <w:p w:rsidR="00F93365" w:rsidRDefault="00CE7648" w:rsidP="00A90CF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Большое значение на развитие теневой экономике </w:t>
      </w:r>
      <w:r w:rsidR="006961B3">
        <w:rPr>
          <w:rFonts w:ascii="Times New Roman" w:hAnsi="Times New Roman" w:cs="Times New Roman"/>
          <w:sz w:val="28"/>
          <w:szCs w:val="28"/>
          <w:shd w:val="clear" w:color="auto" w:fill="FFFFFF"/>
        </w:rPr>
        <w:t xml:space="preserve">оказывает </w:t>
      </w:r>
      <w:r>
        <w:rPr>
          <w:rFonts w:ascii="Times New Roman" w:hAnsi="Times New Roman" w:cs="Times New Roman"/>
          <w:sz w:val="28"/>
          <w:szCs w:val="28"/>
          <w:shd w:val="clear" w:color="auto" w:fill="FFFFFF"/>
        </w:rPr>
        <w:t xml:space="preserve">налоговая нагрузка. В настоящее время можно выделить три основных точки зрения влияния налогового бремени на </w:t>
      </w:r>
      <w:r w:rsidR="00E17D51">
        <w:rPr>
          <w:rFonts w:ascii="Times New Roman" w:hAnsi="Times New Roman" w:cs="Times New Roman"/>
          <w:sz w:val="28"/>
          <w:szCs w:val="28"/>
          <w:shd w:val="clear" w:color="auto" w:fill="FFFFFF"/>
        </w:rPr>
        <w:t>уход бизнеса в теневую экономику</w:t>
      </w:r>
      <w:r>
        <w:rPr>
          <w:rFonts w:ascii="Times New Roman" w:hAnsi="Times New Roman" w:cs="Times New Roman"/>
          <w:sz w:val="28"/>
          <w:szCs w:val="28"/>
          <w:shd w:val="clear" w:color="auto" w:fill="FFFFFF"/>
        </w:rPr>
        <w:t>:</w:t>
      </w:r>
    </w:p>
    <w:p w:rsidR="00CE7648" w:rsidRDefault="00CE7648" w:rsidP="00A90CF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E17D51">
        <w:rPr>
          <w:rFonts w:ascii="Times New Roman" w:hAnsi="Times New Roman" w:cs="Times New Roman"/>
          <w:sz w:val="28"/>
          <w:szCs w:val="28"/>
          <w:shd w:val="clear" w:color="auto" w:fill="FFFFFF"/>
        </w:rPr>
        <w:t>высокое влияние - способствует переходу бизнеса в теневую экономику, так как налоговая нагрузка слишком велика;</w:t>
      </w:r>
    </w:p>
    <w:p w:rsidR="00E17D51" w:rsidRDefault="00E17D51" w:rsidP="00A90CF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низкое влияние - налоги частично влияют на выбор бизнесмена уйти в нелегальную экономику, но иные факторы в большей степени влияют на этот уход;</w:t>
      </w:r>
    </w:p>
    <w:p w:rsidR="00E17D51" w:rsidRDefault="00E17D51" w:rsidP="00A90CF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влияние отсутствует - уровень налогового бремени (его снижение и увеличение) никак не влияет на выбор предпринимателей увести свой бизнес в «тень».</w:t>
      </w:r>
    </w:p>
    <w:p w:rsidR="006961B3" w:rsidRDefault="005F7499" w:rsidP="006961B3">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настоящее вр</w:t>
      </w:r>
      <w:r w:rsidR="00663B27">
        <w:rPr>
          <w:rFonts w:ascii="Times New Roman" w:hAnsi="Times New Roman" w:cs="Times New Roman"/>
          <w:sz w:val="28"/>
          <w:szCs w:val="28"/>
          <w:shd w:val="clear" w:color="auto" w:fill="FFFFFF"/>
        </w:rPr>
        <w:t>емя Минфин предлагает внести в Н</w:t>
      </w:r>
      <w:r>
        <w:rPr>
          <w:rFonts w:ascii="Times New Roman" w:hAnsi="Times New Roman" w:cs="Times New Roman"/>
          <w:sz w:val="28"/>
          <w:szCs w:val="28"/>
          <w:shd w:val="clear" w:color="auto" w:fill="FFFFFF"/>
        </w:rPr>
        <w:t xml:space="preserve">алоговый </w:t>
      </w:r>
      <w:proofErr w:type="gramStart"/>
      <w:r>
        <w:rPr>
          <w:rFonts w:ascii="Times New Roman" w:hAnsi="Times New Roman" w:cs="Times New Roman"/>
          <w:sz w:val="28"/>
          <w:szCs w:val="28"/>
          <w:shd w:val="clear" w:color="auto" w:fill="FFFFFF"/>
        </w:rPr>
        <w:t xml:space="preserve">кодекс </w:t>
      </w:r>
      <w:r w:rsidR="00AF25BB">
        <w:rPr>
          <w:rFonts w:ascii="Times New Roman" w:hAnsi="Times New Roman" w:cs="Times New Roman"/>
          <w:sz w:val="28"/>
          <w:szCs w:val="28"/>
          <w:shd w:val="clear" w:color="auto" w:fill="FFFFFF"/>
        </w:rPr>
        <w:t xml:space="preserve"> отдельные</w:t>
      </w:r>
      <w:proofErr w:type="gramEnd"/>
      <w:r w:rsidR="00AF25BB">
        <w:rPr>
          <w:rFonts w:ascii="Times New Roman" w:hAnsi="Times New Roman" w:cs="Times New Roman"/>
          <w:sz w:val="28"/>
          <w:szCs w:val="28"/>
          <w:shd w:val="clear" w:color="auto" w:fill="FFFFFF"/>
        </w:rPr>
        <w:t xml:space="preserve"> виды</w:t>
      </w:r>
      <w:r>
        <w:rPr>
          <w:rFonts w:ascii="Times New Roman" w:hAnsi="Times New Roman" w:cs="Times New Roman"/>
          <w:sz w:val="28"/>
          <w:szCs w:val="28"/>
          <w:shd w:val="clear" w:color="auto" w:fill="FFFFFF"/>
        </w:rPr>
        <w:t xml:space="preserve"> неналоговых платежей.</w:t>
      </w:r>
    </w:p>
    <w:p w:rsidR="00E30FEE" w:rsidRDefault="00E30FEE" w:rsidP="006961B3">
      <w:pPr>
        <w:pStyle w:val="a3"/>
        <w:ind w:firstLine="709"/>
        <w:jc w:val="both"/>
        <w:rPr>
          <w:rFonts w:ascii="Times New Roman" w:hAnsi="Times New Roman" w:cs="Times New Roman"/>
          <w:sz w:val="28"/>
          <w:szCs w:val="28"/>
          <w:shd w:val="clear" w:color="auto" w:fill="FFFFFF"/>
        </w:rPr>
      </w:pPr>
    </w:p>
    <w:tbl>
      <w:tblPr>
        <w:tblStyle w:val="ab"/>
        <w:tblW w:w="9576" w:type="dxa"/>
        <w:tblLook w:val="04A0" w:firstRow="1" w:lastRow="0" w:firstColumn="1" w:lastColumn="0" w:noHBand="0" w:noVBand="1"/>
      </w:tblPr>
      <w:tblGrid>
        <w:gridCol w:w="4928"/>
        <w:gridCol w:w="4648"/>
      </w:tblGrid>
      <w:tr w:rsidR="00700C91" w:rsidTr="003A7CC7">
        <w:trPr>
          <w:trHeight w:val="624"/>
        </w:trPr>
        <w:tc>
          <w:tcPr>
            <w:tcW w:w="4928" w:type="dxa"/>
          </w:tcPr>
          <w:p w:rsidR="00700C91" w:rsidRPr="00700C91" w:rsidRDefault="00700C91" w:rsidP="00ED4C36">
            <w:pPr>
              <w:pStyle w:val="a3"/>
              <w:jc w:val="both"/>
              <w:rPr>
                <w:rFonts w:ascii="Times New Roman" w:hAnsi="Times New Roman" w:cs="Times New Roman"/>
                <w:color w:val="000000" w:themeColor="text1"/>
                <w:sz w:val="28"/>
                <w:szCs w:val="28"/>
              </w:rPr>
            </w:pPr>
            <w:r w:rsidRPr="00700C91">
              <w:rPr>
                <w:rFonts w:ascii="Times New Roman" w:hAnsi="Times New Roman" w:cs="Times New Roman"/>
                <w:color w:val="000000" w:themeColor="text1"/>
                <w:sz w:val="28"/>
                <w:szCs w:val="28"/>
              </w:rPr>
              <w:t>Вводимый платеж</w:t>
            </w:r>
          </w:p>
        </w:tc>
        <w:tc>
          <w:tcPr>
            <w:tcW w:w="4648" w:type="dxa"/>
          </w:tcPr>
          <w:p w:rsidR="00700C91" w:rsidRPr="00700C91" w:rsidRDefault="00700C91" w:rsidP="00ED4C36">
            <w:pPr>
              <w:pStyle w:val="a3"/>
              <w:jc w:val="both"/>
              <w:rPr>
                <w:rFonts w:ascii="Times New Roman" w:hAnsi="Times New Roman" w:cs="Times New Roman"/>
                <w:color w:val="000000" w:themeColor="text1"/>
                <w:sz w:val="28"/>
                <w:szCs w:val="28"/>
              </w:rPr>
            </w:pPr>
            <w:r w:rsidRPr="00700C91">
              <w:rPr>
                <w:rFonts w:ascii="Times New Roman" w:hAnsi="Times New Roman" w:cs="Times New Roman"/>
                <w:color w:val="000000" w:themeColor="text1"/>
                <w:sz w:val="28"/>
                <w:szCs w:val="28"/>
              </w:rPr>
              <w:t>Заменяемый налогом налоговый платеж</w:t>
            </w:r>
          </w:p>
        </w:tc>
      </w:tr>
      <w:tr w:rsidR="00700C91" w:rsidTr="003A7CC7">
        <w:trPr>
          <w:trHeight w:val="634"/>
        </w:trPr>
        <w:tc>
          <w:tcPr>
            <w:tcW w:w="4928" w:type="dxa"/>
          </w:tcPr>
          <w:p w:rsidR="00700C91" w:rsidRPr="00700C91" w:rsidRDefault="00700C91" w:rsidP="00ED4C36">
            <w:pPr>
              <w:pStyle w:val="a3"/>
              <w:jc w:val="both"/>
              <w:rPr>
                <w:rFonts w:ascii="Times New Roman" w:hAnsi="Times New Roman" w:cs="Times New Roman"/>
                <w:b/>
                <w:i/>
                <w:color w:val="000000" w:themeColor="text1"/>
                <w:sz w:val="28"/>
                <w:szCs w:val="28"/>
              </w:rPr>
            </w:pPr>
            <w:r w:rsidRPr="00700C91">
              <w:rPr>
                <w:rFonts w:ascii="Times New Roman" w:hAnsi="Times New Roman" w:cs="Times New Roman"/>
                <w:i/>
                <w:color w:val="000000" w:themeColor="text1"/>
                <w:sz w:val="28"/>
                <w:szCs w:val="28"/>
              </w:rPr>
              <w:t>Экологический налог</w:t>
            </w:r>
          </w:p>
        </w:tc>
        <w:tc>
          <w:tcPr>
            <w:tcW w:w="4648" w:type="dxa"/>
          </w:tcPr>
          <w:p w:rsidR="00700C91" w:rsidRPr="00700C91" w:rsidRDefault="00700C91" w:rsidP="00ED4C36">
            <w:pPr>
              <w:pStyle w:val="a3"/>
              <w:jc w:val="both"/>
              <w:rPr>
                <w:rFonts w:ascii="Times New Roman" w:hAnsi="Times New Roman" w:cs="Times New Roman"/>
                <w:i/>
                <w:color w:val="000000" w:themeColor="text1"/>
                <w:sz w:val="28"/>
                <w:szCs w:val="28"/>
              </w:rPr>
            </w:pPr>
            <w:r w:rsidRPr="00700C91">
              <w:rPr>
                <w:rFonts w:ascii="Times New Roman" w:hAnsi="Times New Roman" w:cs="Times New Roman"/>
                <w:i/>
                <w:color w:val="000000" w:themeColor="text1"/>
                <w:sz w:val="28"/>
                <w:szCs w:val="28"/>
              </w:rPr>
              <w:t>Плата за негативное воздействие на окружающую среду</w:t>
            </w:r>
          </w:p>
        </w:tc>
      </w:tr>
      <w:tr w:rsidR="00700C91" w:rsidTr="003A7CC7">
        <w:trPr>
          <w:trHeight w:val="624"/>
        </w:trPr>
        <w:tc>
          <w:tcPr>
            <w:tcW w:w="4928" w:type="dxa"/>
          </w:tcPr>
          <w:p w:rsidR="00700C91" w:rsidRPr="00700C91" w:rsidRDefault="00700C91" w:rsidP="00ED4C36">
            <w:pPr>
              <w:pStyle w:val="a3"/>
              <w:jc w:val="both"/>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lastRenderedPageBreak/>
              <w:t>Утилизационный налог</w:t>
            </w:r>
          </w:p>
        </w:tc>
        <w:tc>
          <w:tcPr>
            <w:tcW w:w="4648" w:type="dxa"/>
          </w:tcPr>
          <w:p w:rsidR="00700C91" w:rsidRPr="00700C91" w:rsidRDefault="00700C91" w:rsidP="00ED4C36">
            <w:pPr>
              <w:pStyle w:val="a3"/>
              <w:jc w:val="both"/>
              <w:rPr>
                <w:rFonts w:ascii="Times New Roman" w:hAnsi="Times New Roman" w:cs="Times New Roman"/>
                <w:i/>
                <w:color w:val="000000" w:themeColor="text1"/>
                <w:sz w:val="28"/>
                <w:szCs w:val="28"/>
              </w:rPr>
            </w:pPr>
            <w:r w:rsidRPr="00700C91">
              <w:rPr>
                <w:rFonts w:ascii="Times New Roman" w:hAnsi="Times New Roman" w:cs="Times New Roman"/>
                <w:i/>
                <w:color w:val="000000" w:themeColor="text1"/>
                <w:sz w:val="28"/>
                <w:szCs w:val="28"/>
              </w:rPr>
              <w:t>Экологический и утилизационный сборы</w:t>
            </w:r>
          </w:p>
        </w:tc>
      </w:tr>
      <w:tr w:rsidR="00700C91" w:rsidTr="003A7CC7">
        <w:trPr>
          <w:trHeight w:val="2514"/>
        </w:trPr>
        <w:tc>
          <w:tcPr>
            <w:tcW w:w="4928" w:type="dxa"/>
          </w:tcPr>
          <w:p w:rsidR="00700C91" w:rsidRPr="00700C91" w:rsidRDefault="00700C91" w:rsidP="00ED4C36">
            <w:pPr>
              <w:pStyle w:val="a3"/>
              <w:jc w:val="both"/>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Сбор за пользование автомобильными дорогами общего пользования федерального значения</w:t>
            </w:r>
          </w:p>
        </w:tc>
        <w:tc>
          <w:tcPr>
            <w:tcW w:w="4648" w:type="dxa"/>
          </w:tcPr>
          <w:p w:rsidR="00700C91" w:rsidRPr="005F7499" w:rsidRDefault="005F7499" w:rsidP="00ED4C36">
            <w:pPr>
              <w:pStyle w:val="a3"/>
              <w:jc w:val="both"/>
              <w:rPr>
                <w:rFonts w:ascii="Times New Roman" w:hAnsi="Times New Roman" w:cs="Times New Roman"/>
                <w:i/>
                <w:color w:val="000000" w:themeColor="text1"/>
                <w:sz w:val="28"/>
                <w:szCs w:val="28"/>
              </w:rPr>
            </w:pPr>
            <w:r w:rsidRPr="005F7499">
              <w:rPr>
                <w:rFonts w:ascii="Times New Roman" w:eastAsia="Times New Roman" w:hAnsi="Times New Roman" w:cs="Times New Roman"/>
                <w:i/>
                <w:color w:val="000000" w:themeColor="text1"/>
                <w:sz w:val="28"/>
                <w:szCs w:val="28"/>
                <w:lang w:eastAsia="ru-RU"/>
              </w:rPr>
              <w:t>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(система «Платон»)</w:t>
            </w:r>
          </w:p>
        </w:tc>
      </w:tr>
      <w:tr w:rsidR="00700C91" w:rsidTr="003A7CC7">
        <w:trPr>
          <w:trHeight w:val="634"/>
        </w:trPr>
        <w:tc>
          <w:tcPr>
            <w:tcW w:w="4928" w:type="dxa"/>
          </w:tcPr>
          <w:p w:rsidR="00700C91" w:rsidRPr="00700C91" w:rsidRDefault="00700C91" w:rsidP="00ED4C36">
            <w:pPr>
              <w:pStyle w:val="a3"/>
              <w:jc w:val="both"/>
              <w:rPr>
                <w:rFonts w:ascii="Times New Roman" w:hAnsi="Times New Roman" w:cs="Times New Roman"/>
                <w:b/>
                <w:i/>
                <w:color w:val="000000" w:themeColor="text1"/>
                <w:sz w:val="28"/>
                <w:szCs w:val="28"/>
              </w:rPr>
            </w:pPr>
            <w:r>
              <w:rPr>
                <w:rFonts w:ascii="Times New Roman" w:hAnsi="Times New Roman" w:cs="Times New Roman"/>
                <w:i/>
                <w:color w:val="000000" w:themeColor="text1"/>
                <w:sz w:val="28"/>
                <w:szCs w:val="28"/>
              </w:rPr>
              <w:t>Налог на операторов сети связи общего пользования</w:t>
            </w:r>
          </w:p>
        </w:tc>
        <w:tc>
          <w:tcPr>
            <w:tcW w:w="4648" w:type="dxa"/>
          </w:tcPr>
          <w:p w:rsidR="00700C91" w:rsidRPr="005F7499" w:rsidRDefault="005F7499" w:rsidP="00ED4C36">
            <w:pPr>
              <w:pStyle w:val="a3"/>
              <w:jc w:val="both"/>
              <w:rPr>
                <w:rFonts w:ascii="Times New Roman" w:hAnsi="Times New Roman" w:cs="Times New Roman"/>
                <w:i/>
                <w:color w:val="000000" w:themeColor="text1"/>
                <w:sz w:val="28"/>
                <w:szCs w:val="28"/>
              </w:rPr>
            </w:pPr>
            <w:r w:rsidRPr="005F7499">
              <w:rPr>
                <w:rFonts w:ascii="Times New Roman" w:eastAsia="Times New Roman" w:hAnsi="Times New Roman" w:cs="Times New Roman"/>
                <w:i/>
                <w:color w:val="000000" w:themeColor="text1"/>
                <w:sz w:val="28"/>
                <w:szCs w:val="28"/>
                <w:lang w:eastAsia="ru-RU"/>
              </w:rPr>
              <w:t>Обязательные отчисления операторов сетей</w:t>
            </w:r>
          </w:p>
        </w:tc>
      </w:tr>
      <w:tr w:rsidR="00700C91" w:rsidTr="003A7CC7">
        <w:trPr>
          <w:trHeight w:val="51"/>
        </w:trPr>
        <w:tc>
          <w:tcPr>
            <w:tcW w:w="4928" w:type="dxa"/>
          </w:tcPr>
          <w:p w:rsidR="00700C91" w:rsidRPr="00700C91" w:rsidRDefault="00700C91" w:rsidP="00ED4C36">
            <w:pPr>
              <w:pStyle w:val="a3"/>
              <w:jc w:val="both"/>
              <w:rPr>
                <w:rFonts w:ascii="Times New Roman" w:hAnsi="Times New Roman" w:cs="Times New Roman"/>
                <w:b/>
                <w:i/>
                <w:color w:val="000000" w:themeColor="text1"/>
                <w:sz w:val="28"/>
                <w:szCs w:val="28"/>
              </w:rPr>
            </w:pPr>
            <w:r w:rsidRPr="00700C91">
              <w:rPr>
                <w:rFonts w:ascii="Times New Roman" w:hAnsi="Times New Roman" w:cs="Times New Roman"/>
                <w:i/>
                <w:color w:val="000000" w:themeColor="text1"/>
                <w:sz w:val="28"/>
                <w:szCs w:val="28"/>
              </w:rPr>
              <w:t>Гостиничный сбор</w:t>
            </w:r>
          </w:p>
        </w:tc>
        <w:tc>
          <w:tcPr>
            <w:tcW w:w="4648" w:type="dxa"/>
          </w:tcPr>
          <w:p w:rsidR="00700C91" w:rsidRPr="005F7499" w:rsidRDefault="005F7499" w:rsidP="00ED4C36">
            <w:pPr>
              <w:pStyle w:val="a3"/>
              <w:jc w:val="both"/>
              <w:rPr>
                <w:rFonts w:ascii="Times New Roman" w:hAnsi="Times New Roman" w:cs="Times New Roman"/>
                <w:i/>
                <w:color w:val="000000" w:themeColor="text1"/>
                <w:sz w:val="28"/>
                <w:szCs w:val="28"/>
              </w:rPr>
            </w:pPr>
            <w:r w:rsidRPr="005F7499">
              <w:rPr>
                <w:rFonts w:ascii="Times New Roman" w:eastAsia="Times New Roman" w:hAnsi="Times New Roman" w:cs="Times New Roman"/>
                <w:i/>
                <w:color w:val="000000" w:themeColor="text1"/>
                <w:sz w:val="28"/>
                <w:szCs w:val="28"/>
                <w:lang w:eastAsia="ru-RU"/>
              </w:rPr>
              <w:t>Курортный сбор</w:t>
            </w:r>
          </w:p>
        </w:tc>
      </w:tr>
    </w:tbl>
    <w:p w:rsidR="006961B3" w:rsidRDefault="006961B3" w:rsidP="002E430A">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 xml:space="preserve">Таблица </w:t>
      </w:r>
      <w:r w:rsidR="00AF25BB" w:rsidRPr="00AF25BB">
        <w:rPr>
          <w:rFonts w:ascii="Times New Roman" w:hAnsi="Times New Roman" w:cs="Times New Roman"/>
        </w:rPr>
        <w:t>1</w:t>
      </w:r>
      <w:r>
        <w:rPr>
          <w:rFonts w:ascii="Times New Roman" w:hAnsi="Times New Roman" w:cs="Times New Roman"/>
        </w:rPr>
        <w:t xml:space="preserve"> </w:t>
      </w:r>
      <w:r w:rsidR="002E430A">
        <w:rPr>
          <w:rFonts w:ascii="Times New Roman" w:eastAsia="Times New Roman" w:hAnsi="Times New Roman" w:cs="Times New Roman"/>
          <w:color w:val="000000"/>
          <w:lang w:eastAsia="ru-RU"/>
        </w:rPr>
        <w:t>В</w:t>
      </w:r>
      <w:r w:rsidRPr="00747331">
        <w:rPr>
          <w:rFonts w:ascii="Times New Roman" w:eastAsia="Times New Roman" w:hAnsi="Times New Roman" w:cs="Times New Roman"/>
          <w:color w:val="000000"/>
          <w:lang w:eastAsia="ru-RU"/>
        </w:rPr>
        <w:t>водимые налоги и действующие платежи</w:t>
      </w:r>
      <w:r>
        <w:rPr>
          <w:rFonts w:ascii="Times New Roman" w:eastAsia="Times New Roman" w:hAnsi="Times New Roman" w:cs="Times New Roman"/>
          <w:color w:val="000000"/>
          <w:lang w:eastAsia="ru-RU"/>
        </w:rPr>
        <w:t>, которые они призваны заменить</w:t>
      </w:r>
    </w:p>
    <w:p w:rsidR="006961B3" w:rsidRPr="00747331" w:rsidRDefault="006961B3" w:rsidP="006961B3">
      <w:pPr>
        <w:shd w:val="clear" w:color="auto" w:fill="FFFFFF"/>
        <w:spacing w:after="0" w:line="240" w:lineRule="auto"/>
        <w:jc w:val="both"/>
        <w:rPr>
          <w:rFonts w:ascii="Times New Roman" w:eastAsia="Times New Roman" w:hAnsi="Times New Roman" w:cs="Times New Roman"/>
          <w:color w:val="000000"/>
          <w:lang w:eastAsia="ru-RU"/>
        </w:rPr>
      </w:pPr>
    </w:p>
    <w:p w:rsidR="00AF25BB" w:rsidRDefault="00AF25BB" w:rsidP="00AF25BB">
      <w:pPr>
        <w:pStyle w:val="a3"/>
        <w:ind w:firstLine="709"/>
        <w:jc w:val="both"/>
        <w:rPr>
          <w:rFonts w:ascii="Times New Roman" w:hAnsi="Times New Roman" w:cs="Times New Roman"/>
          <w:sz w:val="28"/>
          <w:szCs w:val="28"/>
        </w:rPr>
      </w:pPr>
      <w:r>
        <w:rPr>
          <w:rFonts w:ascii="Times New Roman" w:hAnsi="Times New Roman" w:cs="Times New Roman"/>
          <w:sz w:val="28"/>
          <w:szCs w:val="28"/>
        </w:rPr>
        <w:t>Утилизаци</w:t>
      </w:r>
      <w:r w:rsidR="00730130">
        <w:rPr>
          <w:rFonts w:ascii="Times New Roman" w:hAnsi="Times New Roman" w:cs="Times New Roman"/>
          <w:sz w:val="28"/>
          <w:szCs w:val="28"/>
        </w:rPr>
        <w:t>о</w:t>
      </w:r>
      <w:r>
        <w:rPr>
          <w:rFonts w:ascii="Times New Roman" w:hAnsi="Times New Roman" w:cs="Times New Roman"/>
          <w:sz w:val="28"/>
          <w:szCs w:val="28"/>
        </w:rPr>
        <w:t xml:space="preserve">нный сбор </w:t>
      </w:r>
      <w:r w:rsidR="00730130">
        <w:rPr>
          <w:rFonts w:ascii="Times New Roman" w:hAnsi="Times New Roman" w:cs="Times New Roman"/>
          <w:sz w:val="28"/>
          <w:szCs w:val="28"/>
        </w:rPr>
        <w:t>предполагает такой вид платежа, при котором деньги взимаются за уничтожение какого-либо товара. Предприниматели обратились с просьбой к премьер-министру об оставлении за ними самостоятельно решать проблему утилизации, так как в будущем на практике данный сбор может привести к тому, что будут расторгаться заключенные контракты на услуги переработчиков отходов, а также остановке инициированных проектов по сбору отходов, что приведет к значительным убыткам.</w:t>
      </w:r>
    </w:p>
    <w:p w:rsidR="00730130" w:rsidRDefault="00730130" w:rsidP="00AF25BB">
      <w:pPr>
        <w:pStyle w:val="a3"/>
        <w:ind w:firstLine="709"/>
        <w:jc w:val="both"/>
        <w:rPr>
          <w:rFonts w:ascii="Times New Roman" w:hAnsi="Times New Roman" w:cs="Times New Roman"/>
          <w:sz w:val="28"/>
          <w:szCs w:val="28"/>
        </w:rPr>
      </w:pPr>
      <w:r>
        <w:rPr>
          <w:rFonts w:ascii="Times New Roman" w:hAnsi="Times New Roman" w:cs="Times New Roman"/>
          <w:sz w:val="28"/>
          <w:szCs w:val="28"/>
        </w:rPr>
        <w:t>Сбор с пользователей автомобильных дорог: произойдет увеличение платежа (сейчас платят 1,91 руб., то ставка станет 3,73руб.) за проезд больших грузов, масса которых превышает 12 тонн.</w:t>
      </w:r>
    </w:p>
    <w:p w:rsidR="00730130" w:rsidRDefault="00561E40" w:rsidP="00AF25BB">
      <w:pPr>
        <w:pStyle w:val="a3"/>
        <w:ind w:firstLine="709"/>
        <w:jc w:val="both"/>
        <w:rPr>
          <w:rFonts w:ascii="Times New Roman" w:hAnsi="Times New Roman" w:cs="Times New Roman"/>
          <w:sz w:val="28"/>
          <w:szCs w:val="28"/>
        </w:rPr>
      </w:pPr>
      <w:r>
        <w:rPr>
          <w:rFonts w:ascii="Times New Roman" w:hAnsi="Times New Roman" w:cs="Times New Roman"/>
          <w:sz w:val="28"/>
          <w:szCs w:val="28"/>
        </w:rPr>
        <w:t>Гостиничный налог вид сбора с физических лиц и организаций, которые предоставляют гостиничные услуги. Данный вид налога будет снижать  инвестиционную привлекательность страны, соответстве</w:t>
      </w:r>
      <w:r w:rsidR="00594248">
        <w:rPr>
          <w:rFonts w:ascii="Times New Roman" w:hAnsi="Times New Roman" w:cs="Times New Roman"/>
          <w:sz w:val="28"/>
          <w:szCs w:val="28"/>
        </w:rPr>
        <w:t>нно будет нанесен ущерб бизнесу.</w:t>
      </w:r>
    </w:p>
    <w:p w:rsidR="00594248" w:rsidRDefault="00594248" w:rsidP="00594248">
      <w:pPr>
        <w:pStyle w:val="a3"/>
        <w:ind w:firstLine="709"/>
        <w:jc w:val="both"/>
        <w:rPr>
          <w:rFonts w:ascii="Times New Roman" w:hAnsi="Times New Roman" w:cs="Times New Roman"/>
          <w:sz w:val="28"/>
          <w:szCs w:val="28"/>
        </w:rPr>
      </w:pPr>
      <w:r>
        <w:rPr>
          <w:rFonts w:ascii="Times New Roman" w:hAnsi="Times New Roman" w:cs="Times New Roman"/>
          <w:sz w:val="28"/>
          <w:szCs w:val="28"/>
        </w:rPr>
        <w:t>Налог на операторов связи: операторы каждый год платят от 1,2 % дохода в «резерв универсального обслуживания», введя налог в налоговую базу для операторов будут поступать доходы, которые они получают в течении квартала, а ставка налога будет составлять 1,2 %. Данный вид налога может привести к тому, что операторы могут переложить налоговую нагрузку на абонентов, то есть вырастут цены на связь.</w:t>
      </w:r>
    </w:p>
    <w:p w:rsidR="00E9485B" w:rsidRDefault="00E9485B" w:rsidP="00E9485B">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Немало важным фактором является рецессии в местных экономиках.</w:t>
      </w:r>
      <w:r>
        <w:t xml:space="preserve"> </w:t>
      </w:r>
      <w:r>
        <w:rPr>
          <w:rFonts w:ascii="Times New Roman" w:eastAsia="Times New Roman" w:hAnsi="Times New Roman" w:cs="Times New Roman"/>
          <w:sz w:val="28"/>
          <w:szCs w:val="28"/>
          <w:lang w:eastAsia="ru-RU"/>
        </w:rPr>
        <w:t>Рост мировой экономики будет постепенно замедляться с 3,7% в 2017 и 2018 годах до 3,5% в 2021 году. В целом, для сектора внешней торговли, за исключением рынка нефти, заложены инерционные предпосылки. Соглашение России с ОПЕК и рядом других нефтедобывающих стран о замораживании добычи нефти будет действовать на условиях</w:t>
      </w:r>
      <w:r w:rsidR="001669EE">
        <w:rPr>
          <w:rFonts w:ascii="Times New Roman" w:eastAsia="Times New Roman" w:hAnsi="Times New Roman" w:cs="Times New Roman"/>
          <w:sz w:val="28"/>
          <w:szCs w:val="28"/>
          <w:lang w:eastAsia="ru-RU"/>
        </w:rPr>
        <w:t>, принятых в августе 2018 года (С</w:t>
      </w:r>
      <w:r>
        <w:rPr>
          <w:rFonts w:ascii="Times New Roman" w:eastAsia="Times New Roman" w:hAnsi="Times New Roman" w:cs="Times New Roman"/>
          <w:sz w:val="28"/>
          <w:szCs w:val="28"/>
          <w:lang w:eastAsia="ru-RU"/>
        </w:rPr>
        <w:t xml:space="preserve">ильное снижение цен на нефть в ноябре 2018 года создает предпосылки для снижения добычи нефти ОПЕК +. В этом случае рост российской экономики окажет положительное влияние на рост цен на </w:t>
      </w:r>
      <w:r>
        <w:rPr>
          <w:rFonts w:ascii="Times New Roman" w:eastAsia="Times New Roman" w:hAnsi="Times New Roman" w:cs="Times New Roman"/>
          <w:sz w:val="28"/>
          <w:szCs w:val="28"/>
          <w:lang w:eastAsia="ru-RU"/>
        </w:rPr>
        <w:lastRenderedPageBreak/>
        <w:t xml:space="preserve">нефть, отрицательное - на снижение добычи нефти. </w:t>
      </w:r>
      <w:r w:rsidR="001669EE">
        <w:rPr>
          <w:rFonts w:ascii="Times New Roman" w:eastAsia="Times New Roman" w:hAnsi="Times New Roman" w:cs="Times New Roman"/>
          <w:sz w:val="28"/>
          <w:szCs w:val="28"/>
          <w:lang w:eastAsia="ru-RU"/>
        </w:rPr>
        <w:t>Ожидаемый</w:t>
      </w:r>
      <w:r>
        <w:rPr>
          <w:rFonts w:ascii="Times New Roman" w:eastAsia="Times New Roman" w:hAnsi="Times New Roman" w:cs="Times New Roman"/>
          <w:sz w:val="28"/>
          <w:szCs w:val="28"/>
          <w:lang w:eastAsia="ru-RU"/>
        </w:rPr>
        <w:t xml:space="preserve"> эффект </w:t>
      </w:r>
      <w:r w:rsidR="001669EE">
        <w:rPr>
          <w:rFonts w:ascii="Times New Roman" w:eastAsia="Times New Roman" w:hAnsi="Times New Roman" w:cs="Times New Roman"/>
          <w:sz w:val="28"/>
          <w:szCs w:val="28"/>
          <w:lang w:eastAsia="ru-RU"/>
        </w:rPr>
        <w:t>зависит</w:t>
      </w:r>
      <w:r>
        <w:rPr>
          <w:rFonts w:ascii="Times New Roman" w:eastAsia="Times New Roman" w:hAnsi="Times New Roman" w:cs="Times New Roman"/>
          <w:sz w:val="28"/>
          <w:szCs w:val="28"/>
          <w:lang w:eastAsia="ru-RU"/>
        </w:rPr>
        <w:t xml:space="preserve"> от конкретных условий нового соглашения). Санкции США против Ирана с точки зрения экспорта нефти </w:t>
      </w:r>
      <w:r w:rsidR="001669EE">
        <w:rPr>
          <w:rFonts w:ascii="Times New Roman" w:eastAsia="Times New Roman" w:hAnsi="Times New Roman" w:cs="Times New Roman"/>
          <w:sz w:val="28"/>
          <w:szCs w:val="28"/>
          <w:lang w:eastAsia="ru-RU"/>
        </w:rPr>
        <w:t>не должны быть</w:t>
      </w:r>
      <w:r>
        <w:rPr>
          <w:rFonts w:ascii="Times New Roman" w:eastAsia="Times New Roman" w:hAnsi="Times New Roman" w:cs="Times New Roman"/>
          <w:sz w:val="28"/>
          <w:szCs w:val="28"/>
          <w:lang w:eastAsia="ru-RU"/>
        </w:rPr>
        <w:t xml:space="preserve"> такими жесткими, как считалось ранее. В сочетании с растущей конкуренцией стран ОПЕК + с другими нефтедобывающими странами это приведет к постепенному снижению цен на нефть марки </w:t>
      </w:r>
      <w:proofErr w:type="spellStart"/>
      <w:r w:rsidR="001669EE">
        <w:rPr>
          <w:rFonts w:ascii="Times New Roman" w:eastAsia="Times New Roman" w:hAnsi="Times New Roman" w:cs="Times New Roman"/>
          <w:sz w:val="28"/>
          <w:szCs w:val="28"/>
          <w:lang w:eastAsia="ru-RU"/>
        </w:rPr>
        <w:t>Urals</w:t>
      </w:r>
      <w:proofErr w:type="spellEnd"/>
      <w:r w:rsidR="001669EE">
        <w:rPr>
          <w:rFonts w:ascii="Times New Roman" w:eastAsia="Times New Roman" w:hAnsi="Times New Roman" w:cs="Times New Roman"/>
          <w:sz w:val="28"/>
          <w:szCs w:val="28"/>
          <w:lang w:eastAsia="ru-RU"/>
        </w:rPr>
        <w:t xml:space="preserve"> с 71 доллара за баррель. В</w:t>
      </w:r>
      <w:r>
        <w:rPr>
          <w:rFonts w:ascii="Times New Roman" w:eastAsia="Times New Roman" w:hAnsi="Times New Roman" w:cs="Times New Roman"/>
          <w:sz w:val="28"/>
          <w:szCs w:val="28"/>
          <w:lang w:eastAsia="ru-RU"/>
        </w:rPr>
        <w:t xml:space="preserve"> 2018 году до 68 долларов за баррель. в 2019 году и 63 доллара за бар</w:t>
      </w:r>
      <w:r w:rsidR="001669EE">
        <w:rPr>
          <w:rFonts w:ascii="Times New Roman" w:eastAsia="Times New Roman" w:hAnsi="Times New Roman" w:cs="Times New Roman"/>
          <w:sz w:val="28"/>
          <w:szCs w:val="28"/>
          <w:lang w:eastAsia="ru-RU"/>
        </w:rPr>
        <w:t>рель. В</w:t>
      </w:r>
      <w:r w:rsidR="00ED2E36">
        <w:rPr>
          <w:rFonts w:ascii="Times New Roman" w:eastAsia="Times New Roman" w:hAnsi="Times New Roman" w:cs="Times New Roman"/>
          <w:sz w:val="28"/>
          <w:szCs w:val="28"/>
          <w:lang w:eastAsia="ru-RU"/>
        </w:rPr>
        <w:t xml:space="preserve"> 2021 году (Рис. 3</w:t>
      </w:r>
      <w:r>
        <w:rPr>
          <w:rFonts w:ascii="Times New Roman" w:eastAsia="Times New Roman" w:hAnsi="Times New Roman" w:cs="Times New Roman"/>
          <w:sz w:val="28"/>
          <w:szCs w:val="28"/>
          <w:lang w:eastAsia="ru-RU"/>
        </w:rPr>
        <w:t xml:space="preserve">). В 2019-2020 гг. в России будет наблюдаться небольшой рост добычи нефти, однако из-за технологических санкций, соглашений с ОПЕК + и истощения наиболее прибыльных месторождений Россия не сможет значительно превысить добычу нефти, предшествующую соглашению. </w:t>
      </w:r>
    </w:p>
    <w:p w:rsidR="00E30FEE" w:rsidRDefault="00E30FEE" w:rsidP="00E9485B">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
    <w:p w:rsidR="00E9485B" w:rsidRDefault="00E9485B" w:rsidP="00E9485B">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82116" cy="2017391"/>
            <wp:effectExtent l="19050" t="0" r="0" b="0"/>
            <wp:docPr id="11" name="Рисунок 3" desc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2.jpg"/>
                    <pic:cNvPicPr>
                      <a:picLocks noChangeAspect="1" noChangeArrowheads="1"/>
                    </pic:cNvPicPr>
                  </pic:nvPicPr>
                  <pic:blipFill>
                    <a:blip r:embed="rId11" cstate="print"/>
                    <a:srcRect/>
                    <a:stretch>
                      <a:fillRect/>
                    </a:stretch>
                  </pic:blipFill>
                  <pic:spPr bwMode="auto">
                    <a:xfrm>
                      <a:off x="0" y="0"/>
                      <a:ext cx="4484861" cy="2018627"/>
                    </a:xfrm>
                    <a:prstGeom prst="rect">
                      <a:avLst/>
                    </a:prstGeom>
                    <a:noFill/>
                    <a:ln w="9525">
                      <a:noFill/>
                      <a:miter lim="800000"/>
                      <a:headEnd/>
                      <a:tailEnd/>
                    </a:ln>
                  </pic:spPr>
                </pic:pic>
              </a:graphicData>
            </a:graphic>
          </wp:inline>
        </w:drawing>
      </w:r>
    </w:p>
    <w:p w:rsidR="00E9485B" w:rsidRPr="00ED2E36" w:rsidRDefault="00E30FEE" w:rsidP="00E30FEE">
      <w:pPr>
        <w:shd w:val="clear" w:color="auto" w:fill="FFFFFF"/>
        <w:spacing w:after="0" w:line="240" w:lineRule="auto"/>
        <w:ind w:firstLine="709"/>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График </w:t>
      </w:r>
      <w:r w:rsidR="00985158" w:rsidRPr="00985158">
        <w:rPr>
          <w:rFonts w:ascii="Times New Roman" w:eastAsia="Times New Roman" w:hAnsi="Times New Roman" w:cs="Times New Roman"/>
          <w:lang w:eastAsia="ru-RU"/>
        </w:rPr>
        <w:t>3</w:t>
      </w:r>
      <w:r w:rsidR="00E9485B" w:rsidRPr="00ED2E36">
        <w:rPr>
          <w:rFonts w:ascii="Times New Roman" w:eastAsia="Times New Roman" w:hAnsi="Times New Roman" w:cs="Times New Roman"/>
          <w:lang w:eastAsia="ru-RU"/>
        </w:rPr>
        <w:t xml:space="preserve"> Динамика среднегодовой цены на нефть марки</w:t>
      </w:r>
      <w:r w:rsidR="00E9485B" w:rsidRPr="00ED2E36">
        <w:rPr>
          <w:rFonts w:ascii="Times New Roman" w:eastAsia="Times New Roman" w:hAnsi="Times New Roman" w:cs="Times New Roman"/>
          <w:lang w:val="en-US" w:eastAsia="ru-RU"/>
        </w:rPr>
        <w:t>Urals</w:t>
      </w:r>
      <w:r w:rsidR="00E9485B" w:rsidRPr="00ED2E36">
        <w:rPr>
          <w:rFonts w:ascii="Times New Roman" w:eastAsia="Times New Roman" w:hAnsi="Times New Roman" w:cs="Times New Roman"/>
          <w:lang w:eastAsia="ru-RU"/>
        </w:rPr>
        <w:t>, долл./</w:t>
      </w:r>
      <w:proofErr w:type="spellStart"/>
      <w:r w:rsidR="00E9485B" w:rsidRPr="00ED2E36">
        <w:rPr>
          <w:rFonts w:ascii="Times New Roman" w:eastAsia="Times New Roman" w:hAnsi="Times New Roman" w:cs="Times New Roman"/>
          <w:lang w:eastAsia="ru-RU"/>
        </w:rPr>
        <w:t>барр</w:t>
      </w:r>
      <w:proofErr w:type="spellEnd"/>
      <w:r w:rsidR="00E9485B" w:rsidRPr="00ED2E36">
        <w:rPr>
          <w:rFonts w:ascii="Times New Roman" w:eastAsia="Times New Roman" w:hAnsi="Times New Roman" w:cs="Times New Roman"/>
          <w:lang w:eastAsia="ru-RU"/>
        </w:rPr>
        <w:t>.</w:t>
      </w:r>
    </w:p>
    <w:p w:rsidR="00E9485B" w:rsidRDefault="00E9485B" w:rsidP="00E9485B">
      <w:pPr>
        <w:shd w:val="clear" w:color="auto" w:fill="FFFFFF"/>
        <w:spacing w:after="0" w:line="240" w:lineRule="auto"/>
        <w:ind w:firstLine="709"/>
        <w:jc w:val="both"/>
        <w:outlineLvl w:val="1"/>
        <w:rPr>
          <w:rFonts w:ascii="Times New Roman" w:eastAsia="Times New Roman" w:hAnsi="Times New Roman" w:cs="Times New Roman"/>
          <w:i/>
          <w:lang w:eastAsia="ru-RU"/>
        </w:rPr>
      </w:pPr>
    </w:p>
    <w:p w:rsidR="00E9485B" w:rsidRDefault="00E9485B" w:rsidP="00E9485B">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w:t>
      </w:r>
      <w:r w:rsidR="001669EE">
        <w:rPr>
          <w:rFonts w:ascii="Times New Roman" w:eastAsia="Times New Roman" w:hAnsi="Times New Roman" w:cs="Times New Roman"/>
          <w:sz w:val="28"/>
          <w:szCs w:val="28"/>
          <w:lang w:eastAsia="ru-RU"/>
        </w:rPr>
        <w:t>п</w:t>
      </w:r>
      <w:r w:rsidR="00663B27">
        <w:rPr>
          <w:rFonts w:ascii="Times New Roman" w:eastAsia="Times New Roman" w:hAnsi="Times New Roman" w:cs="Times New Roman"/>
          <w:sz w:val="28"/>
          <w:szCs w:val="28"/>
          <w:lang w:eastAsia="ru-RU"/>
        </w:rPr>
        <w:t xml:space="preserve">роизошёл </w:t>
      </w:r>
      <w:r>
        <w:rPr>
          <w:rFonts w:ascii="Times New Roman" w:eastAsia="Times New Roman" w:hAnsi="Times New Roman" w:cs="Times New Roman"/>
          <w:sz w:val="28"/>
          <w:szCs w:val="28"/>
          <w:lang w:eastAsia="ru-RU"/>
        </w:rPr>
        <w:t xml:space="preserve">переход от временного к постоянному бюджетному правилу, призванный уменьшить зависимость экономики от колебаний цен на нефть. Также в 2019 году налоговая </w:t>
      </w:r>
      <w:r w:rsidR="001669EE">
        <w:rPr>
          <w:rFonts w:ascii="Times New Roman" w:eastAsia="Times New Roman" w:hAnsi="Times New Roman" w:cs="Times New Roman"/>
          <w:sz w:val="28"/>
          <w:szCs w:val="28"/>
          <w:lang w:eastAsia="ru-RU"/>
        </w:rPr>
        <w:t>нагрузка увеличилась</w:t>
      </w:r>
      <w:r>
        <w:rPr>
          <w:rFonts w:ascii="Times New Roman" w:eastAsia="Times New Roman" w:hAnsi="Times New Roman" w:cs="Times New Roman"/>
          <w:sz w:val="28"/>
          <w:szCs w:val="28"/>
          <w:lang w:eastAsia="ru-RU"/>
        </w:rPr>
        <w:t xml:space="preserve"> - благодаря увеличению НДС с 18% до 20% - </w:t>
      </w:r>
      <w:r w:rsidR="001669EE">
        <w:rPr>
          <w:rFonts w:ascii="Times New Roman" w:eastAsia="Times New Roman" w:hAnsi="Times New Roman" w:cs="Times New Roman"/>
          <w:sz w:val="28"/>
          <w:szCs w:val="28"/>
          <w:lang w:eastAsia="ru-RU"/>
        </w:rPr>
        <w:t xml:space="preserve"> и уже действует</w:t>
      </w:r>
      <w:r>
        <w:rPr>
          <w:rFonts w:ascii="Times New Roman" w:eastAsia="Times New Roman" w:hAnsi="Times New Roman" w:cs="Times New Roman"/>
          <w:sz w:val="28"/>
          <w:szCs w:val="28"/>
          <w:lang w:eastAsia="ru-RU"/>
        </w:rPr>
        <w:t xml:space="preserve"> Фонд развития, который инвестир</w:t>
      </w:r>
      <w:r w:rsidR="001669EE">
        <w:rPr>
          <w:rFonts w:ascii="Times New Roman" w:eastAsia="Times New Roman" w:hAnsi="Times New Roman" w:cs="Times New Roman"/>
          <w:sz w:val="28"/>
          <w:szCs w:val="28"/>
          <w:lang w:eastAsia="ru-RU"/>
        </w:rPr>
        <w:t xml:space="preserve">ует </w:t>
      </w:r>
      <w:r>
        <w:rPr>
          <w:rFonts w:ascii="Times New Roman" w:eastAsia="Times New Roman" w:hAnsi="Times New Roman" w:cs="Times New Roman"/>
          <w:sz w:val="28"/>
          <w:szCs w:val="28"/>
          <w:lang w:eastAsia="ru-RU"/>
        </w:rPr>
        <w:t>в инфраструктурные проекты в размере около 0,5% ВВП в год. Средства ФНБ в течение прогнозируемого периода не будут использоваться для финансирования инфраструктурных проектов, даже если объем ФНБ превышает 7% ВВП. К концу 2019 года начнется реализация национальных проектов. Налоговый маневр в нефтяной сфере повлияет на структуру производства и экспорта нефти и нефтепродуктов.</w:t>
      </w:r>
    </w:p>
    <w:p w:rsidR="00E9485B" w:rsidRDefault="00E9485B" w:rsidP="00ED2E36">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основные риски для экономического роста падают на 2019 год: неблагоприятная динамика цен на нефть, завершение перехода к правилу постоянного бюджета, повышение ставки НДС (однако отрицательный эффект от повышения НДС компенсируется соответствующее увеличение расходов федерального бюджета) инвестиций к концу 2019 года, остановка снижения ключевой ставки с соответствующим пересмотром ее прогнозов динамики (влияет на ВВП с отставанием), адаптация к санкциям, </w:t>
      </w:r>
      <w:r w:rsidR="00663B27">
        <w:rPr>
          <w:rFonts w:ascii="Times New Roman" w:eastAsia="Times New Roman" w:hAnsi="Times New Roman" w:cs="Times New Roman"/>
          <w:sz w:val="28"/>
          <w:szCs w:val="28"/>
          <w:lang w:eastAsia="ru-RU"/>
        </w:rPr>
        <w:t>введенным в 2018 ямах, а также з</w:t>
      </w:r>
      <w:r>
        <w:rPr>
          <w:rFonts w:ascii="Times New Roman" w:eastAsia="Times New Roman" w:hAnsi="Times New Roman" w:cs="Times New Roman"/>
          <w:sz w:val="28"/>
          <w:szCs w:val="28"/>
          <w:lang w:eastAsia="ru-RU"/>
        </w:rPr>
        <w:t xml:space="preserve">амедление роста экспорта товаров и услуг в реальном выражении. В этих условиях рост ВВП замедлится с 1,8% в 2018 году до 1,3% в 2019 году. Поскольку влияние некоторых негативных факторов, характерных для 2019 года, ослабевает, а </w:t>
      </w:r>
      <w:r>
        <w:rPr>
          <w:rFonts w:ascii="Times New Roman" w:eastAsia="Times New Roman" w:hAnsi="Times New Roman" w:cs="Times New Roman"/>
          <w:sz w:val="28"/>
          <w:szCs w:val="28"/>
          <w:lang w:eastAsia="ru-RU"/>
        </w:rPr>
        <w:lastRenderedPageBreak/>
        <w:t xml:space="preserve">первые положительные эффекты осуществляемых реформ, экономический рост может ускориться до 1,6% в 2020 году и 1,9% в 2021 году (рис. </w:t>
      </w:r>
      <w:r w:rsidR="00663B2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что примерно соответствует верхним пределам потенциального темпа роста российского ВВП при существующей структуре экономики и отсутствии значительного улучшения инвестиционного климата.</w:t>
      </w:r>
    </w:p>
    <w:p w:rsidR="00772C27" w:rsidRDefault="006961B3" w:rsidP="00772C2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одним фактором</w:t>
      </w:r>
      <w:r w:rsidR="00772C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влияющим на рост теневой экономики</w:t>
      </w:r>
      <w:r w:rsidR="00772C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безработица. </w:t>
      </w:r>
      <w:r w:rsidR="004102BB">
        <w:rPr>
          <w:rFonts w:ascii="Times New Roman" w:eastAsia="Times New Roman" w:hAnsi="Times New Roman" w:cs="Times New Roman"/>
          <w:sz w:val="28"/>
          <w:szCs w:val="28"/>
          <w:lang w:eastAsia="ru-RU"/>
        </w:rPr>
        <w:t xml:space="preserve">Две эти категории тесно связанны между собой. Экономические кризисы повышают уровень безработицы, что в свою очередь ведет к снижению доходов населения и увеличению перехода масс работающих в «тень». </w:t>
      </w:r>
    </w:p>
    <w:p w:rsidR="00330C1B" w:rsidRDefault="00330C1B" w:rsidP="00ED2E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безработицы в России достаточно высокий. По итогам ноября 2018 года - января 2019-го средний уровень безработицы по России составил 4,8%, что на 0,3% ниже в прошлом году. При этом в январе 2019 года уровень безработицы составил 4,9%</w:t>
      </w:r>
      <w:r w:rsidR="001669EE">
        <w:rPr>
          <w:rFonts w:ascii="Times New Roman" w:eastAsia="Times New Roman" w:hAnsi="Times New Roman" w:cs="Times New Roman"/>
          <w:sz w:val="28"/>
          <w:szCs w:val="28"/>
          <w:lang w:eastAsia="ru-RU"/>
        </w:rPr>
        <w:t>.</w:t>
      </w:r>
    </w:p>
    <w:p w:rsidR="006A28DE" w:rsidRDefault="00400F46" w:rsidP="003A7CC7">
      <w:pPr>
        <w:pStyle w:val="a3"/>
        <w:ind w:firstLine="709"/>
        <w:jc w:val="both"/>
        <w:rPr>
          <w:rFonts w:ascii="Times New Roman" w:hAnsi="Times New Roman" w:cs="Times New Roman"/>
          <w:color w:val="000000" w:themeColor="text1"/>
          <w:sz w:val="28"/>
          <w:szCs w:val="28"/>
        </w:rPr>
      </w:pPr>
      <w:r w:rsidRPr="006A28DE">
        <w:rPr>
          <w:rFonts w:ascii="Times New Roman" w:hAnsi="Times New Roman" w:cs="Times New Roman"/>
          <w:sz w:val="28"/>
          <w:szCs w:val="28"/>
          <w:shd w:val="clear" w:color="auto" w:fill="FFFFFF"/>
        </w:rPr>
        <w:t xml:space="preserve">В то же время по результатам исследования РИА «Новости»  в Москве уровень безработицы составил 1,2%, что говорит о том, что это самый низкий показатель безработицы по регионам. Так же сюда вошли </w:t>
      </w:r>
      <w:r w:rsidR="006A28DE" w:rsidRPr="006A28DE">
        <w:rPr>
          <w:rFonts w:ascii="Times New Roman" w:hAnsi="Times New Roman" w:cs="Times New Roman"/>
          <w:sz w:val="28"/>
          <w:szCs w:val="28"/>
          <w:shd w:val="clear" w:color="auto" w:fill="FFFFFF"/>
        </w:rPr>
        <w:t>Санкт-Петербург (1,4</w:t>
      </w:r>
      <w:r w:rsidR="001669EE">
        <w:rPr>
          <w:rFonts w:ascii="Times New Roman" w:hAnsi="Times New Roman" w:cs="Times New Roman"/>
          <w:sz w:val="28"/>
          <w:szCs w:val="28"/>
          <w:shd w:val="clear" w:color="auto" w:fill="FFFFFF"/>
        </w:rPr>
        <w:t>%</w:t>
      </w:r>
      <w:r w:rsidR="006A28DE" w:rsidRPr="006A28DE">
        <w:rPr>
          <w:rFonts w:ascii="Times New Roman" w:hAnsi="Times New Roman" w:cs="Times New Roman"/>
          <w:sz w:val="28"/>
          <w:szCs w:val="28"/>
          <w:shd w:val="clear" w:color="auto" w:fill="FFFFFF"/>
        </w:rPr>
        <w:t xml:space="preserve">), </w:t>
      </w:r>
      <w:r w:rsidR="006A28DE" w:rsidRPr="006A28DE">
        <w:rPr>
          <w:rFonts w:ascii="Times New Roman" w:hAnsi="Times New Roman" w:cs="Times New Roman"/>
          <w:color w:val="000000" w:themeColor="text1"/>
          <w:sz w:val="28"/>
          <w:szCs w:val="28"/>
        </w:rPr>
        <w:t>Ямало-Ненецкий автономный округ (2,2%), Хабаровский край (2,5%), Ханты-Мансийский автономный округ - Югра (2,5%), говорится в сообщении агентства.</w:t>
      </w:r>
    </w:p>
    <w:p w:rsidR="00E30FEE" w:rsidRDefault="006A28DE" w:rsidP="00E30FEE">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A28DE">
        <w:rPr>
          <w:rFonts w:ascii="Times New Roman" w:hAnsi="Times New Roman" w:cs="Times New Roman"/>
          <w:noProof/>
          <w:color w:val="000000" w:themeColor="text1"/>
          <w:sz w:val="28"/>
          <w:szCs w:val="28"/>
          <w:lang w:eastAsia="ru-RU"/>
        </w:rPr>
        <w:drawing>
          <wp:inline distT="0" distB="0" distL="0" distR="0">
            <wp:extent cx="5475149" cy="2561080"/>
            <wp:effectExtent l="19050" t="0" r="11251"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30FEE">
        <w:rPr>
          <w:rFonts w:ascii="Times New Roman" w:hAnsi="Times New Roman" w:cs="Times New Roman"/>
          <w:color w:val="000000" w:themeColor="text1"/>
          <w:sz w:val="28"/>
          <w:szCs w:val="28"/>
        </w:rPr>
        <w:t xml:space="preserve"> </w:t>
      </w:r>
    </w:p>
    <w:p w:rsidR="006A28DE" w:rsidRPr="00E30FEE" w:rsidRDefault="00E30FEE" w:rsidP="00E30FEE">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График </w:t>
      </w:r>
      <w:r w:rsidR="00985158" w:rsidRPr="00985158">
        <w:rPr>
          <w:rFonts w:ascii="Times New Roman" w:hAnsi="Times New Roman" w:cs="Times New Roman"/>
          <w:color w:val="000000" w:themeColor="text1"/>
        </w:rPr>
        <w:t xml:space="preserve"> 4</w:t>
      </w:r>
      <w:proofErr w:type="gramEnd"/>
      <w:r w:rsidR="006A28DE">
        <w:rPr>
          <w:rFonts w:ascii="Times New Roman" w:hAnsi="Times New Roman" w:cs="Times New Roman"/>
          <w:color w:val="000000" w:themeColor="text1"/>
        </w:rPr>
        <w:t xml:space="preserve"> Уровень безработицы в России по годам в</w:t>
      </w:r>
      <w:r w:rsidR="003A7CC7">
        <w:rPr>
          <w:rFonts w:ascii="Times New Roman" w:hAnsi="Times New Roman" w:cs="Times New Roman"/>
          <w:color w:val="000000" w:themeColor="text1"/>
        </w:rPr>
        <w:t xml:space="preserve"> </w:t>
      </w:r>
      <w:r w:rsidR="006A28DE">
        <w:rPr>
          <w:rFonts w:ascii="Times New Roman" w:hAnsi="Times New Roman" w:cs="Times New Roman"/>
          <w:color w:val="000000" w:themeColor="text1"/>
        </w:rPr>
        <w:t>%</w:t>
      </w:r>
    </w:p>
    <w:p w:rsidR="006A28DE" w:rsidRPr="006A28DE" w:rsidRDefault="006A28DE" w:rsidP="006A28DE">
      <w:pPr>
        <w:pStyle w:val="a3"/>
        <w:jc w:val="both"/>
        <w:rPr>
          <w:rFonts w:ascii="Times New Roman" w:hAnsi="Times New Roman" w:cs="Times New Roman"/>
          <w:color w:val="000000" w:themeColor="text1"/>
          <w:sz w:val="28"/>
          <w:szCs w:val="28"/>
        </w:rPr>
      </w:pPr>
    </w:p>
    <w:p w:rsidR="006A28DE" w:rsidRDefault="006A28DE" w:rsidP="006A28DE">
      <w:pPr>
        <w:spacing w:after="0" w:line="240" w:lineRule="auto"/>
        <w:ind w:firstLine="709"/>
        <w:jc w:val="both"/>
        <w:rPr>
          <w:rFonts w:ascii="Times New Roman" w:hAnsi="Times New Roman" w:cs="Times New Roman"/>
          <w:color w:val="000000"/>
          <w:sz w:val="28"/>
          <w:szCs w:val="28"/>
          <w:shd w:val="clear" w:color="auto" w:fill="FFFFFF"/>
        </w:rPr>
      </w:pPr>
      <w:r w:rsidRPr="00C67735">
        <w:rPr>
          <w:rFonts w:ascii="Times New Roman" w:hAnsi="Times New Roman" w:cs="Times New Roman"/>
          <w:color w:val="000000"/>
          <w:sz w:val="28"/>
          <w:szCs w:val="28"/>
          <w:shd w:val="clear" w:color="auto" w:fill="FFFFFF"/>
        </w:rPr>
        <w:t xml:space="preserve">Максимальный уровень безработицы приходился именно на 90-е годы. Это связано в первую очередь с развалом Советского Союза. </w:t>
      </w:r>
      <w:r>
        <w:rPr>
          <w:rFonts w:ascii="Times New Roman" w:hAnsi="Times New Roman" w:cs="Times New Roman"/>
          <w:color w:val="000000"/>
          <w:sz w:val="28"/>
          <w:szCs w:val="28"/>
          <w:shd w:val="clear" w:color="auto" w:fill="FFFFFF"/>
        </w:rPr>
        <w:t>Согласно статистике безработных на период 1992 года</w:t>
      </w:r>
      <w:r w:rsidRPr="00C67735">
        <w:rPr>
          <w:rFonts w:ascii="Times New Roman" w:hAnsi="Times New Roman" w:cs="Times New Roman"/>
          <w:color w:val="000000"/>
          <w:sz w:val="28"/>
          <w:szCs w:val="28"/>
          <w:shd w:val="clear" w:color="auto" w:fill="FFFFFF"/>
        </w:rPr>
        <w:t xml:space="preserve"> в РФ было</w:t>
      </w:r>
      <w:r>
        <w:rPr>
          <w:rFonts w:ascii="Times New Roman" w:hAnsi="Times New Roman" w:cs="Times New Roman"/>
          <w:color w:val="000000"/>
          <w:sz w:val="28"/>
          <w:szCs w:val="28"/>
          <w:shd w:val="clear" w:color="auto" w:fill="FFFFFF"/>
        </w:rPr>
        <w:t xml:space="preserve"> равно индексу</w:t>
      </w:r>
      <w:r w:rsidRPr="00C67735">
        <w:rPr>
          <w:rFonts w:ascii="Times New Roman" w:hAnsi="Times New Roman" w:cs="Times New Roman"/>
          <w:color w:val="000000"/>
          <w:sz w:val="28"/>
          <w:szCs w:val="28"/>
          <w:shd w:val="clear" w:color="auto" w:fill="FFFFFF"/>
        </w:rPr>
        <w:t xml:space="preserve"> 3.9% безработных от общей численности трудоспособного населения. Но уже через 6 лет данный показатель увеличился до 8.9%. Основная при</w:t>
      </w:r>
      <w:r>
        <w:rPr>
          <w:rFonts w:ascii="Times New Roman" w:hAnsi="Times New Roman" w:cs="Times New Roman"/>
          <w:color w:val="000000"/>
          <w:sz w:val="28"/>
          <w:szCs w:val="28"/>
          <w:shd w:val="clear" w:color="auto" w:fill="FFFFFF"/>
        </w:rPr>
        <w:t>чина безработицы на тот момент -</w:t>
      </w:r>
      <w:r w:rsidRPr="00C67735">
        <w:rPr>
          <w:rFonts w:ascii="Times New Roman" w:hAnsi="Times New Roman" w:cs="Times New Roman"/>
          <w:color w:val="000000"/>
          <w:sz w:val="28"/>
          <w:szCs w:val="28"/>
          <w:shd w:val="clear" w:color="auto" w:fill="FFFFFF"/>
        </w:rPr>
        <w:t xml:space="preserve"> перестройка и закрытие многих госуда</w:t>
      </w:r>
      <w:r w:rsidR="001669EE">
        <w:rPr>
          <w:rFonts w:ascii="Times New Roman" w:hAnsi="Times New Roman" w:cs="Times New Roman"/>
          <w:color w:val="000000"/>
          <w:sz w:val="28"/>
          <w:szCs w:val="28"/>
          <w:shd w:val="clear" w:color="auto" w:fill="FFFFFF"/>
        </w:rPr>
        <w:t>рственных учреждений и заводов. Д</w:t>
      </w:r>
      <w:r w:rsidRPr="00C67735">
        <w:rPr>
          <w:rFonts w:ascii="Times New Roman" w:hAnsi="Times New Roman" w:cs="Times New Roman"/>
          <w:color w:val="000000"/>
          <w:sz w:val="28"/>
          <w:szCs w:val="28"/>
          <w:shd w:val="clear" w:color="auto" w:fill="FFFFFF"/>
        </w:rPr>
        <w:t>ля Ро</w:t>
      </w:r>
      <w:r w:rsidR="001669EE">
        <w:rPr>
          <w:rFonts w:ascii="Times New Roman" w:hAnsi="Times New Roman" w:cs="Times New Roman"/>
          <w:color w:val="000000"/>
          <w:sz w:val="28"/>
          <w:szCs w:val="28"/>
          <w:shd w:val="clear" w:color="auto" w:fill="FFFFFF"/>
        </w:rPr>
        <w:t>ссии одним из кризисных годов стал 1999 год.</w:t>
      </w:r>
    </w:p>
    <w:p w:rsidR="00400F46" w:rsidRPr="006A28DE" w:rsidRDefault="001669EE" w:rsidP="006A28D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2009 году началась а</w:t>
      </w:r>
      <w:r w:rsidR="006A28DE">
        <w:rPr>
          <w:rFonts w:ascii="Times New Roman" w:hAnsi="Times New Roman" w:cs="Times New Roman"/>
          <w:color w:val="000000"/>
          <w:sz w:val="28"/>
          <w:szCs w:val="28"/>
          <w:shd w:val="clear" w:color="auto" w:fill="FFFFFF"/>
        </w:rPr>
        <w:t xml:space="preserve">ктивная борьба с безработицей. Правительством </w:t>
      </w:r>
      <w:r w:rsidR="006A28DE" w:rsidRPr="00C67735">
        <w:rPr>
          <w:rFonts w:ascii="Times New Roman" w:hAnsi="Times New Roman" w:cs="Times New Roman"/>
          <w:sz w:val="28"/>
          <w:szCs w:val="28"/>
          <w:shd w:val="clear" w:color="auto" w:fill="FFFFFF"/>
        </w:rPr>
        <w:t xml:space="preserve">организовывались общественные работы для нетрудоустроенных граждан, а </w:t>
      </w:r>
      <w:r w:rsidR="006A28DE" w:rsidRPr="00C67735">
        <w:rPr>
          <w:rFonts w:ascii="Times New Roman" w:hAnsi="Times New Roman" w:cs="Times New Roman"/>
          <w:sz w:val="28"/>
          <w:szCs w:val="28"/>
          <w:shd w:val="clear" w:color="auto" w:fill="FFFFFF"/>
        </w:rPr>
        <w:lastRenderedPageBreak/>
        <w:t>службы занятости начали выдавать кредиты для открытия предпринимательского дела. Также в 2009 году была внедрена организация курсов по переквалификации работников</w:t>
      </w:r>
      <w:r w:rsidR="006A28DE">
        <w:rPr>
          <w:rFonts w:ascii="Times New Roman" w:hAnsi="Times New Roman" w:cs="Times New Roman"/>
          <w:sz w:val="28"/>
          <w:szCs w:val="28"/>
          <w:shd w:val="clear" w:color="auto" w:fill="FFFFFF"/>
        </w:rPr>
        <w:t>.</w:t>
      </w:r>
    </w:p>
    <w:p w:rsidR="00400F46" w:rsidRPr="00683174" w:rsidRDefault="006A28DE" w:rsidP="00683174">
      <w:pPr>
        <w:spacing w:after="0" w:line="240" w:lineRule="auto"/>
        <w:ind w:firstLine="709"/>
        <w:jc w:val="both"/>
        <w:rPr>
          <w:rFonts w:ascii="Times New Roman" w:hAnsi="Times New Roman" w:cs="Times New Roman"/>
          <w:b/>
          <w:sz w:val="28"/>
          <w:szCs w:val="28"/>
        </w:rPr>
      </w:pPr>
      <w:r w:rsidRPr="00C67735">
        <w:rPr>
          <w:rFonts w:ascii="Times New Roman" w:hAnsi="Times New Roman" w:cs="Times New Roman"/>
          <w:color w:val="000000"/>
          <w:sz w:val="28"/>
          <w:szCs w:val="28"/>
          <w:shd w:val="clear" w:color="auto" w:fill="FFFFFF"/>
        </w:rPr>
        <w:t>Анализ безработицы в России показывает, что самыми кризисными годами в истории РФ были 1992–2000 гг</w:t>
      </w:r>
      <w:r w:rsidR="001669EE">
        <w:rPr>
          <w:rFonts w:ascii="Times New Roman" w:hAnsi="Times New Roman" w:cs="Times New Roman"/>
          <w:color w:val="000000"/>
          <w:sz w:val="28"/>
          <w:szCs w:val="28"/>
          <w:shd w:val="clear" w:color="auto" w:fill="FFFFFF"/>
        </w:rPr>
        <w:t>.</w:t>
      </w:r>
      <w:r>
        <w:rPr>
          <w:rFonts w:ascii="Times New Roman" w:hAnsi="Times New Roman" w:cs="Times New Roman"/>
          <w:i/>
          <w:color w:val="000000"/>
          <w:sz w:val="28"/>
          <w:szCs w:val="28"/>
          <w:shd w:val="clear" w:color="auto" w:fill="FFFFFF"/>
        </w:rPr>
        <w:t xml:space="preserve"> </w:t>
      </w:r>
      <w:r w:rsidR="001669E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Рис.3)</w:t>
      </w:r>
      <w:r>
        <w:rPr>
          <w:rFonts w:ascii="Times New Roman" w:hAnsi="Times New Roman" w:cs="Times New Roman"/>
          <w:i/>
          <w:color w:val="000000"/>
          <w:sz w:val="28"/>
          <w:szCs w:val="28"/>
          <w:shd w:val="clear" w:color="auto" w:fill="FFFFFF"/>
        </w:rPr>
        <w:t>.</w:t>
      </w:r>
      <w:r w:rsidRPr="00C67735">
        <w:rPr>
          <w:rFonts w:ascii="Times New Roman" w:hAnsi="Times New Roman" w:cs="Times New Roman"/>
          <w:color w:val="000000"/>
          <w:sz w:val="28"/>
          <w:szCs w:val="28"/>
          <w:shd w:val="clear" w:color="auto" w:fill="FFFFFF"/>
        </w:rPr>
        <w:t xml:space="preserve"> После этого периода уровень незанятости начал постепенно снижаться. В связи с тем, что рождаемость в годы перестройки снизилась и соответственно сократилось количество трудоспособного населения, стране удалось увеличить занятость граждан, то есть предоставить рабочие места. Среди молодёжи безработица в России достигла максимального предела в конце 90-х гг. Согласно статистике безработных было около 41 % людей в возрасте до 20 лет и 19% в возрасте от 20 до 24 лет.</w:t>
      </w:r>
    </w:p>
    <w:p w:rsidR="00683174" w:rsidRDefault="004102BB" w:rsidP="003A7CC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w:t>
      </w:r>
      <w:r w:rsidRPr="006A28DE">
        <w:rPr>
          <w:rFonts w:ascii="Times New Roman" w:eastAsia="Times New Roman" w:hAnsi="Times New Roman" w:cs="Times New Roman"/>
          <w:color w:val="000000" w:themeColor="text1"/>
          <w:sz w:val="28"/>
          <w:szCs w:val="28"/>
          <w:lang w:eastAsia="ru-RU"/>
        </w:rPr>
        <w:t>Росстата в 2018 году неформальная занятость в</w:t>
      </w:r>
      <w:r w:rsidR="00016830" w:rsidRPr="006A28DE">
        <w:rPr>
          <w:rFonts w:ascii="Times New Roman" w:eastAsia="Times New Roman" w:hAnsi="Times New Roman" w:cs="Times New Roman"/>
          <w:color w:val="000000" w:themeColor="text1"/>
          <w:sz w:val="28"/>
          <w:szCs w:val="28"/>
          <w:lang w:eastAsia="ru-RU"/>
        </w:rPr>
        <w:t>ыросла и составила 20,1% от общей численности занятых в возрасте 15 лет и старше, в неофициальном секторе занят каждый 5 работающий.</w:t>
      </w:r>
      <w:r w:rsidR="00016830">
        <w:rPr>
          <w:rFonts w:ascii="Times New Roman" w:eastAsia="Times New Roman" w:hAnsi="Times New Roman" w:cs="Times New Roman"/>
          <w:sz w:val="28"/>
          <w:szCs w:val="28"/>
          <w:lang w:eastAsia="ru-RU"/>
        </w:rPr>
        <w:t xml:space="preserve"> </w:t>
      </w:r>
    </w:p>
    <w:p w:rsidR="00E30FEE" w:rsidRDefault="00E30FEE" w:rsidP="003A7CC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2083D" w:rsidRPr="002E430A" w:rsidRDefault="00016830" w:rsidP="002E430A">
      <w:pPr>
        <w:shd w:val="clear" w:color="auto" w:fill="FFFFFF"/>
        <w:spacing w:after="0" w:line="240" w:lineRule="auto"/>
        <w:jc w:val="both"/>
        <w:rPr>
          <w:rFonts w:ascii="Times New Roman" w:eastAsia="Times New Roman" w:hAnsi="Times New Roman" w:cs="Times New Roman"/>
          <w:sz w:val="28"/>
          <w:szCs w:val="28"/>
          <w:lang w:eastAsia="ru-RU"/>
        </w:rPr>
      </w:pPr>
      <w:r w:rsidRPr="00016830">
        <w:rPr>
          <w:rFonts w:ascii="Times New Roman" w:eastAsia="Times New Roman" w:hAnsi="Times New Roman" w:cs="Times New Roman"/>
          <w:noProof/>
          <w:sz w:val="28"/>
          <w:szCs w:val="28"/>
          <w:lang w:eastAsia="ru-RU"/>
        </w:rPr>
        <w:drawing>
          <wp:inline distT="0" distB="0" distL="0" distR="0">
            <wp:extent cx="5911850" cy="2356834"/>
            <wp:effectExtent l="19050" t="0" r="12700" b="5366"/>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02BB" w:rsidRPr="0032083D" w:rsidRDefault="00E30FEE" w:rsidP="00E30FEE">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График</w:t>
      </w:r>
      <w:r w:rsidR="0032083D">
        <w:rPr>
          <w:rFonts w:ascii="Times New Roman" w:eastAsia="Times New Roman" w:hAnsi="Times New Roman" w:cs="Times New Roman"/>
          <w:lang w:eastAsia="ru-RU"/>
        </w:rPr>
        <w:t xml:space="preserve"> </w:t>
      </w:r>
      <w:r w:rsidR="00985158" w:rsidRPr="00985158">
        <w:rPr>
          <w:rFonts w:ascii="Times New Roman" w:eastAsia="Times New Roman" w:hAnsi="Times New Roman" w:cs="Times New Roman"/>
          <w:lang w:eastAsia="ru-RU"/>
        </w:rPr>
        <w:t>5</w:t>
      </w:r>
      <w:r w:rsidR="0032083D">
        <w:rPr>
          <w:rFonts w:ascii="Times New Roman" w:eastAsia="Times New Roman" w:hAnsi="Times New Roman" w:cs="Times New Roman"/>
          <w:lang w:eastAsia="ru-RU"/>
        </w:rPr>
        <w:t xml:space="preserve"> Доля занятых в неформальном сек</w:t>
      </w:r>
      <w:r w:rsidR="002E430A">
        <w:rPr>
          <w:rFonts w:ascii="Times New Roman" w:eastAsia="Times New Roman" w:hAnsi="Times New Roman" w:cs="Times New Roman"/>
          <w:lang w:eastAsia="ru-RU"/>
        </w:rPr>
        <w:t xml:space="preserve">торе экономики </w:t>
      </w:r>
      <w:r w:rsidR="0032083D">
        <w:rPr>
          <w:rFonts w:ascii="Times New Roman" w:eastAsia="Times New Roman" w:hAnsi="Times New Roman" w:cs="Times New Roman"/>
          <w:lang w:eastAsia="ru-RU"/>
        </w:rPr>
        <w:t>% от всех занятых</w:t>
      </w:r>
    </w:p>
    <w:p w:rsidR="0032083D" w:rsidRDefault="0032083D" w:rsidP="0032083D">
      <w:pPr>
        <w:pStyle w:val="a3"/>
      </w:pPr>
    </w:p>
    <w:p w:rsidR="00683174" w:rsidRDefault="0032083D" w:rsidP="003A7CC7">
      <w:pPr>
        <w:pStyle w:val="a4"/>
        <w:shd w:val="clear" w:color="auto" w:fill="FAFAFA"/>
        <w:spacing w:before="0" w:beforeAutospacing="0" w:after="0" w:afterAutospacing="0" w:line="360" w:lineRule="atLeast"/>
        <w:ind w:firstLine="709"/>
        <w:jc w:val="both"/>
        <w:rPr>
          <w:color w:val="000000" w:themeColor="text1"/>
          <w:sz w:val="28"/>
          <w:szCs w:val="28"/>
        </w:rPr>
      </w:pPr>
      <w:r>
        <w:rPr>
          <w:color w:val="000000" w:themeColor="text1"/>
          <w:sz w:val="28"/>
          <w:szCs w:val="28"/>
        </w:rPr>
        <w:t>Из приведенного выше графика следует, что доля занятых в теневом секторе выросла. Одной из причин такого роста является безработица, так как места с достойной заработной платой находятся в дефиците, это вынуждает людей искать заработок в обход государства.</w:t>
      </w:r>
    </w:p>
    <w:p w:rsidR="00E30FEE" w:rsidRDefault="00E30FEE" w:rsidP="003A7CC7">
      <w:pPr>
        <w:pStyle w:val="a4"/>
        <w:shd w:val="clear" w:color="auto" w:fill="FAFAFA"/>
        <w:spacing w:before="0" w:beforeAutospacing="0" w:after="0" w:afterAutospacing="0" w:line="360" w:lineRule="atLeast"/>
        <w:ind w:firstLine="709"/>
        <w:jc w:val="both"/>
        <w:rPr>
          <w:color w:val="000000" w:themeColor="text1"/>
          <w:sz w:val="28"/>
          <w:szCs w:val="28"/>
        </w:rPr>
      </w:pPr>
    </w:p>
    <w:p w:rsidR="00D74AF9" w:rsidRPr="00E30FEE" w:rsidRDefault="00D74AF9" w:rsidP="00E30FEE">
      <w:pPr>
        <w:pStyle w:val="a4"/>
        <w:shd w:val="clear" w:color="auto" w:fill="FAFAFA"/>
        <w:spacing w:before="0" w:beforeAutospacing="0" w:after="375" w:afterAutospacing="0" w:line="360" w:lineRule="atLeast"/>
        <w:rPr>
          <w:sz w:val="22"/>
          <w:szCs w:val="22"/>
        </w:rPr>
      </w:pPr>
      <w:r w:rsidRPr="00D74AF9">
        <w:rPr>
          <w:noProof/>
        </w:rPr>
        <w:lastRenderedPageBreak/>
        <w:drawing>
          <wp:inline distT="0" distB="0" distL="0" distR="0">
            <wp:extent cx="5689645" cy="2376152"/>
            <wp:effectExtent l="19050" t="0" r="25355" b="5098"/>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30FEE">
        <w:rPr>
          <w:sz w:val="22"/>
          <w:szCs w:val="22"/>
        </w:rPr>
        <w:t>График</w:t>
      </w:r>
      <w:r w:rsidRPr="003A7CC7">
        <w:rPr>
          <w:sz w:val="22"/>
          <w:szCs w:val="22"/>
        </w:rPr>
        <w:t xml:space="preserve"> </w:t>
      </w:r>
      <w:r w:rsidR="00985158" w:rsidRPr="003A7CC7">
        <w:rPr>
          <w:sz w:val="22"/>
          <w:szCs w:val="22"/>
        </w:rPr>
        <w:t>6</w:t>
      </w:r>
      <w:r w:rsidRPr="003A7CC7">
        <w:rPr>
          <w:sz w:val="22"/>
          <w:szCs w:val="22"/>
        </w:rPr>
        <w:t xml:space="preserve"> </w:t>
      </w:r>
      <w:proofErr w:type="gramStart"/>
      <w:r w:rsidR="006375CA" w:rsidRPr="003A7CC7">
        <w:rPr>
          <w:sz w:val="22"/>
          <w:szCs w:val="22"/>
        </w:rPr>
        <w:t xml:space="preserve">Наибольшая </w:t>
      </w:r>
      <w:r w:rsidRPr="003A7CC7">
        <w:rPr>
          <w:sz w:val="22"/>
          <w:szCs w:val="22"/>
        </w:rPr>
        <w:t xml:space="preserve"> доля</w:t>
      </w:r>
      <w:proofErr w:type="gramEnd"/>
      <w:r w:rsidRPr="003A7CC7">
        <w:rPr>
          <w:sz w:val="22"/>
          <w:szCs w:val="22"/>
        </w:rPr>
        <w:t xml:space="preserve"> занятых в неформальном секторе по регионам</w:t>
      </w:r>
    </w:p>
    <w:p w:rsidR="00D74AF9" w:rsidRDefault="00D74AF9" w:rsidP="00D74AF9">
      <w:pPr>
        <w:pStyle w:val="a3"/>
      </w:pPr>
    </w:p>
    <w:p w:rsidR="004102BB" w:rsidRDefault="0041397B" w:rsidP="00683174">
      <w:pPr>
        <w:pStyle w:val="a3"/>
        <w:ind w:firstLine="709"/>
        <w:jc w:val="both"/>
        <w:rPr>
          <w:rFonts w:ascii="Times New Roman" w:hAnsi="Times New Roman" w:cs="Times New Roman"/>
          <w:sz w:val="28"/>
          <w:szCs w:val="28"/>
        </w:rPr>
      </w:pPr>
      <w:r>
        <w:rPr>
          <w:rFonts w:ascii="Times New Roman" w:hAnsi="Times New Roman" w:cs="Times New Roman"/>
          <w:sz w:val="28"/>
          <w:szCs w:val="28"/>
        </w:rPr>
        <w:t>По данным Росстата на 2018 год самой высокой неформальной занятостью по регионам обладают республики Северного Кавказа. Такой показатель обусловлен тем, что в этих регионах большой уровень безработицы, низкий уровень доходов населения, негативное воздействие вынужденной миграции на рынки труда.</w:t>
      </w:r>
    </w:p>
    <w:p w:rsidR="0046238B" w:rsidRDefault="00683174" w:rsidP="004623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безработицы в мире, по данным доклада Международной организации труда в 2018 году уровень безработицы снизился, но условия труда оставляют желать лучшего. </w:t>
      </w:r>
      <w:r w:rsidR="0046238B">
        <w:rPr>
          <w:rFonts w:ascii="Times New Roman" w:hAnsi="Times New Roman" w:cs="Times New Roman"/>
          <w:sz w:val="28"/>
          <w:szCs w:val="28"/>
        </w:rPr>
        <w:t>В МОТ говорят о том, что сложилась ситуация - «дефицита достойной работы», и предупреждают, что многим странам, скорее всего, не удастся достичь цели устойчивого развития всеобщей занятости. Также в докладе сообщается, что неформальная занятость по-прежнему остается на очень высоком уровне.</w:t>
      </w:r>
    </w:p>
    <w:p w:rsidR="0046238B" w:rsidRDefault="0046238B" w:rsidP="0046238B">
      <w:pPr>
        <w:pStyle w:val="a3"/>
        <w:ind w:firstLine="709"/>
        <w:jc w:val="both"/>
        <w:rPr>
          <w:rFonts w:ascii="Times New Roman" w:hAnsi="Times New Roman" w:cs="Times New Roman"/>
          <w:sz w:val="28"/>
          <w:szCs w:val="28"/>
        </w:rPr>
      </w:pPr>
      <w:r>
        <w:rPr>
          <w:rFonts w:ascii="Times New Roman" w:hAnsi="Times New Roman" w:cs="Times New Roman"/>
          <w:sz w:val="28"/>
          <w:szCs w:val="28"/>
        </w:rPr>
        <w:t>В Европе уровень безработицы упал до самой низкой отметки за последние десять лет, и будет снижаться до 2020 года.</w:t>
      </w:r>
    </w:p>
    <w:p w:rsidR="00E30FEE" w:rsidRDefault="0046238B" w:rsidP="00E30FEE">
      <w:pPr>
        <w:pStyle w:val="a3"/>
        <w:ind w:firstLine="709"/>
        <w:jc w:val="both"/>
        <w:rPr>
          <w:rFonts w:ascii="Times New Roman" w:hAnsi="Times New Roman" w:cs="Times New Roman"/>
          <w:sz w:val="28"/>
          <w:szCs w:val="28"/>
        </w:rPr>
      </w:pPr>
      <w:r>
        <w:rPr>
          <w:rFonts w:ascii="Times New Roman" w:hAnsi="Times New Roman" w:cs="Times New Roman"/>
          <w:sz w:val="28"/>
          <w:szCs w:val="28"/>
        </w:rPr>
        <w:t>В странах Восточной Европы число занятых людей уменьшиться за два года, вместе с тем и численность трудоспособного населения уменьшиться.</w:t>
      </w:r>
      <w:r w:rsidR="00663B27">
        <w:rPr>
          <w:rFonts w:ascii="Times New Roman" w:hAnsi="Times New Roman" w:cs="Times New Roman"/>
          <w:sz w:val="28"/>
          <w:szCs w:val="28"/>
        </w:rPr>
        <w:t xml:space="preserve"> </w:t>
      </w:r>
      <w:r>
        <w:rPr>
          <w:rFonts w:ascii="Times New Roman" w:hAnsi="Times New Roman" w:cs="Times New Roman"/>
          <w:sz w:val="28"/>
          <w:szCs w:val="28"/>
        </w:rPr>
        <w:t xml:space="preserve"> В странах Центральной Азии проблема занятости населения в неформальном секторе будет достаточно актуальной, так как на 2018 начало 2019 года данный пок</w:t>
      </w:r>
      <w:r w:rsidR="00DB49CF">
        <w:rPr>
          <w:rFonts w:ascii="Times New Roman" w:hAnsi="Times New Roman" w:cs="Times New Roman"/>
          <w:sz w:val="28"/>
          <w:szCs w:val="28"/>
        </w:rPr>
        <w:t>а</w:t>
      </w:r>
      <w:r>
        <w:rPr>
          <w:rFonts w:ascii="Times New Roman" w:hAnsi="Times New Roman" w:cs="Times New Roman"/>
          <w:sz w:val="28"/>
          <w:szCs w:val="28"/>
        </w:rPr>
        <w:t xml:space="preserve">затель </w:t>
      </w:r>
      <w:r w:rsidR="00DB49CF">
        <w:rPr>
          <w:rFonts w:ascii="Times New Roman" w:hAnsi="Times New Roman" w:cs="Times New Roman"/>
          <w:sz w:val="28"/>
          <w:szCs w:val="28"/>
        </w:rPr>
        <w:t>довольно высок - приблизительно 42%.</w:t>
      </w:r>
    </w:p>
    <w:p w:rsidR="00DB49CF" w:rsidRDefault="00DB49CF" w:rsidP="003A7CC7">
      <w:pPr>
        <w:pStyle w:val="a3"/>
        <w:jc w:val="both"/>
        <w:rPr>
          <w:rFonts w:ascii="Times New Roman" w:hAnsi="Times New Roman" w:cs="Times New Roman"/>
          <w:sz w:val="28"/>
          <w:szCs w:val="28"/>
        </w:rPr>
      </w:pPr>
      <w:r w:rsidRPr="00DB49CF">
        <w:rPr>
          <w:rFonts w:ascii="Times New Roman" w:hAnsi="Times New Roman" w:cs="Times New Roman"/>
          <w:noProof/>
          <w:sz w:val="28"/>
          <w:szCs w:val="28"/>
          <w:lang w:eastAsia="ru-RU"/>
        </w:rPr>
        <w:drawing>
          <wp:inline distT="0" distB="0" distL="0" distR="0">
            <wp:extent cx="5774717" cy="2189408"/>
            <wp:effectExtent l="19050" t="0" r="16483" b="1342"/>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66D1" w:rsidRDefault="00E30FEE" w:rsidP="00DB49CF">
      <w:pPr>
        <w:pStyle w:val="a3"/>
        <w:ind w:firstLine="709"/>
        <w:jc w:val="both"/>
        <w:rPr>
          <w:rFonts w:ascii="Times New Roman" w:hAnsi="Times New Roman" w:cs="Times New Roman"/>
        </w:rPr>
      </w:pPr>
      <w:r>
        <w:rPr>
          <w:rFonts w:ascii="Times New Roman" w:hAnsi="Times New Roman" w:cs="Times New Roman"/>
        </w:rPr>
        <w:lastRenderedPageBreak/>
        <w:t xml:space="preserve">График </w:t>
      </w:r>
      <w:r w:rsidR="00985158" w:rsidRPr="003A7CC7">
        <w:rPr>
          <w:rFonts w:ascii="Times New Roman" w:hAnsi="Times New Roman" w:cs="Times New Roman"/>
        </w:rPr>
        <w:t>7</w:t>
      </w:r>
      <w:r w:rsidR="00DB49CF">
        <w:rPr>
          <w:rFonts w:ascii="Times New Roman" w:hAnsi="Times New Roman" w:cs="Times New Roman"/>
        </w:rPr>
        <w:t xml:space="preserve"> Уровень безработицы в мире</w:t>
      </w:r>
    </w:p>
    <w:p w:rsidR="00B03825" w:rsidRDefault="00B03825" w:rsidP="00DB49CF">
      <w:pPr>
        <w:pStyle w:val="a3"/>
        <w:ind w:firstLine="709"/>
        <w:jc w:val="both"/>
        <w:rPr>
          <w:rFonts w:ascii="Times New Roman" w:hAnsi="Times New Roman" w:cs="Times New Roman"/>
        </w:rPr>
      </w:pPr>
    </w:p>
    <w:p w:rsidR="003C66D1" w:rsidRPr="00E9485B" w:rsidRDefault="00B03825" w:rsidP="00E9485B">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Такой показатель как безработица негативно влияет на экономическое развитие стран. Увеличение данного показателя приводит к ситуации, когда люди идут в неформальный сектор экономики.</w:t>
      </w:r>
      <w:r w:rsidR="00041BFF">
        <w:rPr>
          <w:rFonts w:ascii="Times New Roman" w:hAnsi="Times New Roman" w:cs="Times New Roman"/>
          <w:sz w:val="28"/>
          <w:szCs w:val="28"/>
        </w:rPr>
        <w:t xml:space="preserve"> Для того чтобы сократить неформальную занятость необходимо создавать условия для роста рабочих мест в формальном секторе, создавать новые предприятия, расширять действующие для увеличения числа рабочих мест.</w:t>
      </w:r>
    </w:p>
    <w:p w:rsidR="00137820" w:rsidRDefault="00137820" w:rsidP="00137820">
      <w:pPr>
        <w:pStyle w:val="a3"/>
        <w:ind w:firstLine="709"/>
        <w:jc w:val="both"/>
        <w:rPr>
          <w:rFonts w:ascii="Times New Roman" w:hAnsi="Times New Roman" w:cs="Times New Roman"/>
          <w:sz w:val="28"/>
          <w:szCs w:val="28"/>
          <w:shd w:val="clear" w:color="auto" w:fill="F7F7F7"/>
        </w:rPr>
      </w:pPr>
      <w:r w:rsidRPr="00ED4C36">
        <w:rPr>
          <w:rFonts w:ascii="Times New Roman" w:hAnsi="Times New Roman" w:cs="Times New Roman"/>
          <w:sz w:val="28"/>
          <w:szCs w:val="28"/>
          <w:shd w:val="clear" w:color="auto" w:fill="F7F7F7"/>
        </w:rPr>
        <w:t>В настоящий момент уровень теневой экономики в мире можно снизить за счет улучшения качества бюрократии, усиления контроля над коррупцией и увеличения ВВП на душу населения; в России — посредством усиления борьбы с коррупцией, улучшения демократической подотчетности и роста ВВП, отмечается в исследовании.</w:t>
      </w:r>
    </w:p>
    <w:p w:rsidR="005B49EB" w:rsidRDefault="005B49EB" w:rsidP="003A7CC7">
      <w:pPr>
        <w:pStyle w:val="a3"/>
        <w:ind w:firstLine="709"/>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Влияет на рост теневой экономики и такой фактор как образование, а именно закрытие вузов.</w:t>
      </w:r>
    </w:p>
    <w:p w:rsidR="00E30FEE" w:rsidRDefault="00F02584" w:rsidP="00E30FEE">
      <w:pPr>
        <w:pStyle w:val="a3"/>
        <w:ind w:firstLine="709"/>
        <w:jc w:val="both"/>
        <w:rPr>
          <w:rFonts w:ascii="Times New Roman" w:hAnsi="Times New Roman" w:cs="Times New Roman"/>
          <w:color w:val="000000"/>
          <w:sz w:val="28"/>
          <w:szCs w:val="28"/>
        </w:rPr>
      </w:pPr>
      <w:r w:rsidRPr="00F02584">
        <w:rPr>
          <w:rFonts w:ascii="Times New Roman" w:hAnsi="Times New Roman" w:cs="Times New Roman"/>
          <w:color w:val="000000"/>
          <w:sz w:val="28"/>
          <w:szCs w:val="28"/>
        </w:rPr>
        <w:t>В 2018 году Рособрнадзор продолжил лишать лицензии и аккредитации вузы, не прошедшие проверку. В результате своего статуса высшего учебного заведения лишилось около 5</w:t>
      </w:r>
      <w:r>
        <w:rPr>
          <w:rFonts w:ascii="Times New Roman" w:hAnsi="Times New Roman" w:cs="Times New Roman"/>
          <w:color w:val="000000"/>
          <w:sz w:val="28"/>
          <w:szCs w:val="28"/>
        </w:rPr>
        <w:t>8</w:t>
      </w:r>
      <w:r w:rsidRPr="00F025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высших учебных заведений</w:t>
      </w:r>
      <w:r w:rsidRPr="00F02584">
        <w:rPr>
          <w:rFonts w:ascii="Times New Roman" w:hAnsi="Times New Roman" w:cs="Times New Roman"/>
          <w:color w:val="000000"/>
          <w:sz w:val="28"/>
          <w:szCs w:val="28"/>
        </w:rPr>
        <w:t xml:space="preserve"> и филиалов. </w:t>
      </w:r>
    </w:p>
    <w:p w:rsidR="00E30FEE" w:rsidRDefault="00E30FEE" w:rsidP="00E30FEE">
      <w:pPr>
        <w:pStyle w:val="a3"/>
        <w:ind w:firstLine="709"/>
        <w:jc w:val="both"/>
        <w:rPr>
          <w:rFonts w:ascii="Times New Roman" w:hAnsi="Times New Roman" w:cs="Times New Roman"/>
          <w:color w:val="000000"/>
          <w:sz w:val="28"/>
          <w:szCs w:val="28"/>
        </w:rPr>
      </w:pPr>
      <w:bookmarkStart w:id="0" w:name="_GoBack"/>
      <w:bookmarkEnd w:id="0"/>
    </w:p>
    <w:p w:rsidR="00290606" w:rsidRDefault="00290606" w:rsidP="003A7CC7">
      <w:pPr>
        <w:pStyle w:val="a3"/>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886182" cy="2627290"/>
            <wp:effectExtent l="19050" t="0" r="19318" b="16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0638" w:rsidRDefault="00E30FEE" w:rsidP="00E30FEE">
      <w:pPr>
        <w:pStyle w:val="a3"/>
        <w:jc w:val="both"/>
        <w:rPr>
          <w:rFonts w:ascii="Times New Roman" w:hAnsi="Times New Roman" w:cs="Times New Roman"/>
          <w:color w:val="000000"/>
          <w:sz w:val="20"/>
          <w:szCs w:val="20"/>
        </w:rPr>
      </w:pPr>
      <w:r>
        <w:rPr>
          <w:rFonts w:ascii="Times New Roman" w:hAnsi="Times New Roman" w:cs="Times New Roman"/>
          <w:color w:val="000000"/>
          <w:sz w:val="20"/>
          <w:szCs w:val="20"/>
        </w:rPr>
        <w:t>График</w:t>
      </w:r>
      <w:r w:rsidR="00C50638" w:rsidRPr="00C50638">
        <w:rPr>
          <w:rFonts w:ascii="Times New Roman" w:hAnsi="Times New Roman" w:cs="Times New Roman"/>
          <w:color w:val="000000"/>
          <w:sz w:val="20"/>
          <w:szCs w:val="20"/>
        </w:rPr>
        <w:t xml:space="preserve"> 8 </w:t>
      </w:r>
      <w:proofErr w:type="gramStart"/>
      <w:r w:rsidR="005B49EB">
        <w:rPr>
          <w:rFonts w:ascii="Times New Roman" w:hAnsi="Times New Roman" w:cs="Times New Roman"/>
          <w:color w:val="000000"/>
          <w:sz w:val="20"/>
          <w:szCs w:val="20"/>
        </w:rPr>
        <w:t>Вузы</w:t>
      </w:r>
      <w:proofErr w:type="gramEnd"/>
      <w:r w:rsidR="005B49EB">
        <w:rPr>
          <w:rFonts w:ascii="Times New Roman" w:hAnsi="Times New Roman" w:cs="Times New Roman"/>
          <w:color w:val="000000"/>
          <w:sz w:val="20"/>
          <w:szCs w:val="20"/>
        </w:rPr>
        <w:t xml:space="preserve"> не прошедшие аккредитацию в 2019</w:t>
      </w:r>
    </w:p>
    <w:p w:rsidR="00C50638" w:rsidRPr="00C50638" w:rsidRDefault="00C50638" w:rsidP="00ED2E36">
      <w:pPr>
        <w:pStyle w:val="a3"/>
        <w:ind w:firstLine="709"/>
        <w:jc w:val="both"/>
        <w:rPr>
          <w:rFonts w:ascii="Times New Roman" w:hAnsi="Times New Roman" w:cs="Times New Roman"/>
          <w:color w:val="000000"/>
          <w:sz w:val="20"/>
          <w:szCs w:val="20"/>
        </w:rPr>
      </w:pPr>
    </w:p>
    <w:p w:rsidR="00C50638" w:rsidRDefault="00C50638" w:rsidP="00ED2E36">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 приведенного выше </w:t>
      </w:r>
      <w:r w:rsidR="00E30FEE">
        <w:rPr>
          <w:rFonts w:ascii="Times New Roman" w:hAnsi="Times New Roman" w:cs="Times New Roman"/>
          <w:sz w:val="28"/>
          <w:szCs w:val="28"/>
          <w:shd w:val="clear" w:color="auto" w:fill="FFFFFF"/>
        </w:rPr>
        <w:t>графика</w:t>
      </w:r>
      <w:r>
        <w:rPr>
          <w:rFonts w:ascii="Times New Roman" w:hAnsi="Times New Roman" w:cs="Times New Roman"/>
          <w:sz w:val="28"/>
          <w:szCs w:val="28"/>
          <w:shd w:val="clear" w:color="auto" w:fill="FFFFFF"/>
        </w:rPr>
        <w:t xml:space="preserve"> видно, что на 2019г. 114 вузов приостановили свою деятельность.</w:t>
      </w:r>
    </w:p>
    <w:p w:rsidR="00F02584" w:rsidRPr="00F02584" w:rsidRDefault="00F02584" w:rsidP="00ED2E36">
      <w:pPr>
        <w:pStyle w:val="a3"/>
        <w:ind w:firstLine="709"/>
        <w:jc w:val="both"/>
        <w:rPr>
          <w:rFonts w:ascii="Times New Roman" w:hAnsi="Times New Roman" w:cs="Times New Roman"/>
          <w:sz w:val="28"/>
          <w:szCs w:val="28"/>
        </w:rPr>
      </w:pPr>
      <w:r w:rsidRPr="00F02584">
        <w:rPr>
          <w:rFonts w:ascii="Times New Roman" w:hAnsi="Times New Roman" w:cs="Times New Roman"/>
          <w:sz w:val="28"/>
          <w:szCs w:val="28"/>
          <w:shd w:val="clear" w:color="auto" w:fill="FFFFFF"/>
        </w:rPr>
        <w:t xml:space="preserve">Количество студентов в российских вузах с 2009 по 2017 год сократилось с 7,4 млн до 4,2 млн человек. </w:t>
      </w:r>
    </w:p>
    <w:p w:rsidR="00F02584" w:rsidRDefault="00F02584" w:rsidP="00C50638">
      <w:pPr>
        <w:pStyle w:val="a3"/>
        <w:ind w:firstLine="709"/>
        <w:jc w:val="both"/>
        <w:rPr>
          <w:rFonts w:ascii="Times New Roman" w:hAnsi="Times New Roman" w:cs="Times New Roman"/>
          <w:sz w:val="28"/>
          <w:szCs w:val="28"/>
          <w:shd w:val="clear" w:color="auto" w:fill="FFFFFF"/>
        </w:rPr>
      </w:pPr>
      <w:r w:rsidRPr="00F02584">
        <w:rPr>
          <w:rFonts w:ascii="Times New Roman" w:hAnsi="Times New Roman" w:cs="Times New Roman"/>
          <w:sz w:val="28"/>
          <w:szCs w:val="28"/>
          <w:shd w:val="clear" w:color="auto" w:fill="FFFFFF"/>
        </w:rPr>
        <w:t xml:space="preserve"> </w:t>
      </w:r>
      <w:r w:rsidR="006225FF">
        <w:rPr>
          <w:rFonts w:ascii="Times New Roman" w:hAnsi="Times New Roman" w:cs="Times New Roman"/>
          <w:sz w:val="28"/>
          <w:szCs w:val="28"/>
          <w:shd w:val="clear" w:color="auto" w:fill="FFFFFF"/>
        </w:rPr>
        <w:t xml:space="preserve">К </w:t>
      </w:r>
      <w:r w:rsidRPr="00F02584">
        <w:rPr>
          <w:rFonts w:ascii="Times New Roman" w:hAnsi="Times New Roman" w:cs="Times New Roman"/>
          <w:sz w:val="28"/>
          <w:szCs w:val="28"/>
          <w:shd w:val="clear" w:color="auto" w:fill="FFFFFF"/>
        </w:rPr>
        <w:t>учебному году 2018-2019 число студентов в вузах состави</w:t>
      </w:r>
      <w:r w:rsidR="00C50638">
        <w:rPr>
          <w:rFonts w:ascii="Times New Roman" w:hAnsi="Times New Roman" w:cs="Times New Roman"/>
          <w:sz w:val="28"/>
          <w:szCs w:val="28"/>
          <w:shd w:val="clear" w:color="auto" w:fill="FFFFFF"/>
        </w:rPr>
        <w:t>ло</w:t>
      </w:r>
      <w:r w:rsidRPr="00F02584">
        <w:rPr>
          <w:rFonts w:ascii="Times New Roman" w:hAnsi="Times New Roman" w:cs="Times New Roman"/>
          <w:sz w:val="28"/>
          <w:szCs w:val="28"/>
          <w:shd w:val="clear" w:color="auto" w:fill="FFFFFF"/>
        </w:rPr>
        <w:t xml:space="preserve"> 4,3 млн человек. С 2009 по конец 2018 года уровень сокращения количества обучающихся оценивается в 40%.</w:t>
      </w:r>
    </w:p>
    <w:p w:rsidR="00F02584" w:rsidRPr="007A3BF9" w:rsidRDefault="006225FF" w:rsidP="007A3BF9">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связи с закрытием большого количества вузов, молодые люди не могут получить высшее образование, которое необходимо для устройства на работу. (Люди, которые в будущем стали бы первоклассными </w:t>
      </w:r>
      <w:r>
        <w:rPr>
          <w:rFonts w:ascii="Times New Roman" w:hAnsi="Times New Roman" w:cs="Times New Roman"/>
          <w:sz w:val="28"/>
          <w:szCs w:val="28"/>
          <w:shd w:val="clear" w:color="auto" w:fill="FFFFFF"/>
        </w:rPr>
        <w:lastRenderedPageBreak/>
        <w:t>специалистами, вынуждены идти в теневую экономику, т.к. у них нет документа подтверждающего наличие высшего образования)</w:t>
      </w:r>
    </w:p>
    <w:p w:rsidR="00ED2E36" w:rsidRDefault="003C66D1" w:rsidP="00ED2E36">
      <w:pPr>
        <w:pStyle w:val="a3"/>
        <w:ind w:firstLine="709"/>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 xml:space="preserve">На наш взгляд, ответственность </w:t>
      </w:r>
      <w:r w:rsidR="00137820" w:rsidRPr="00ED4C36">
        <w:rPr>
          <w:rFonts w:ascii="Times New Roman" w:hAnsi="Times New Roman" w:cs="Times New Roman"/>
          <w:sz w:val="28"/>
          <w:szCs w:val="28"/>
          <w:shd w:val="clear" w:color="auto" w:fill="F7F7F7"/>
        </w:rPr>
        <w:t>за развитие теневой экономики несет правительство</w:t>
      </w:r>
      <w:r>
        <w:rPr>
          <w:rFonts w:ascii="Times New Roman" w:hAnsi="Times New Roman" w:cs="Times New Roman"/>
          <w:sz w:val="28"/>
          <w:szCs w:val="28"/>
          <w:shd w:val="clear" w:color="auto" w:fill="F7F7F7"/>
        </w:rPr>
        <w:t>, а  также</w:t>
      </w:r>
      <w:r w:rsidR="00137820" w:rsidRPr="00ED4C36">
        <w:rPr>
          <w:rFonts w:ascii="Times New Roman" w:hAnsi="Times New Roman" w:cs="Times New Roman"/>
          <w:sz w:val="28"/>
          <w:szCs w:val="28"/>
          <w:shd w:val="clear" w:color="auto" w:fill="F7F7F7"/>
        </w:rPr>
        <w:t xml:space="preserve"> граждан</w:t>
      </w:r>
      <w:r>
        <w:rPr>
          <w:rFonts w:ascii="Times New Roman" w:hAnsi="Times New Roman" w:cs="Times New Roman"/>
          <w:sz w:val="28"/>
          <w:szCs w:val="28"/>
          <w:shd w:val="clear" w:color="auto" w:fill="F7F7F7"/>
        </w:rPr>
        <w:t>е</w:t>
      </w:r>
      <w:r w:rsidR="00137820" w:rsidRPr="00ED4C36">
        <w:rPr>
          <w:rFonts w:ascii="Times New Roman" w:hAnsi="Times New Roman" w:cs="Times New Roman"/>
          <w:sz w:val="28"/>
          <w:szCs w:val="28"/>
          <w:shd w:val="clear" w:color="auto" w:fill="F7F7F7"/>
        </w:rPr>
        <w:t xml:space="preserve">, которые должны либо воздерживаться от неформальной экономической деятельности, либо уведомлять о ней органы власти. Для властей в вопросе сокращения теневого сектора, по </w:t>
      </w:r>
      <w:r>
        <w:rPr>
          <w:rFonts w:ascii="Times New Roman" w:hAnsi="Times New Roman" w:cs="Times New Roman"/>
          <w:sz w:val="28"/>
          <w:szCs w:val="28"/>
          <w:shd w:val="clear" w:color="auto" w:fill="F7F7F7"/>
        </w:rPr>
        <w:t xml:space="preserve">нашему </w:t>
      </w:r>
      <w:r w:rsidR="00137820" w:rsidRPr="00ED4C36">
        <w:rPr>
          <w:rFonts w:ascii="Times New Roman" w:hAnsi="Times New Roman" w:cs="Times New Roman"/>
          <w:sz w:val="28"/>
          <w:szCs w:val="28"/>
          <w:shd w:val="clear" w:color="auto" w:fill="F7F7F7"/>
        </w:rPr>
        <w:t>мнению, первоочередными должны быть следующие задачи: снижение уровня коррупции, легализация отдельных секторов теневой экономики и их интеграция в легальную экономику; повышение прозрачности госу</w:t>
      </w:r>
      <w:r w:rsidR="005B49EB">
        <w:rPr>
          <w:rFonts w:ascii="Times New Roman" w:hAnsi="Times New Roman" w:cs="Times New Roman"/>
          <w:sz w:val="28"/>
          <w:szCs w:val="28"/>
          <w:shd w:val="clear" w:color="auto" w:fill="F7F7F7"/>
        </w:rPr>
        <w:t>дарственного у</w:t>
      </w:r>
      <w:r w:rsidR="00137820" w:rsidRPr="00ED4C36">
        <w:rPr>
          <w:rFonts w:ascii="Times New Roman" w:hAnsi="Times New Roman" w:cs="Times New Roman"/>
          <w:sz w:val="28"/>
          <w:szCs w:val="28"/>
          <w:shd w:val="clear" w:color="auto" w:fill="F7F7F7"/>
        </w:rPr>
        <w:t>правления, усиление контроля в сфере уклонения от уплаты налогов (в частности, крупными корпорациями), использование технологий для мониторинга используемых населением моделей потребления и выявления незаконной деятельности и выработка более унифицированных законодательных норм.</w:t>
      </w:r>
    </w:p>
    <w:p w:rsidR="00720EC2" w:rsidRDefault="003C66D1" w:rsidP="00720EC2">
      <w:pPr>
        <w:pStyle w:val="a3"/>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shd w:val="clear" w:color="auto" w:fill="F7F7F7"/>
        </w:rPr>
        <w:t>Также для эффективной борьбы с экономикой необходимо:</w:t>
      </w:r>
      <w:r>
        <w:rPr>
          <w:rFonts w:ascii="Times New Roman" w:hAnsi="Times New Roman" w:cs="Times New Roman"/>
          <w:sz w:val="28"/>
          <w:szCs w:val="28"/>
        </w:rPr>
        <w:t xml:space="preserve"> </w:t>
      </w:r>
      <w:r w:rsidR="00137820" w:rsidRPr="00ED4C36">
        <w:rPr>
          <w:rFonts w:ascii="Times New Roman" w:hAnsi="Times New Roman" w:cs="Times New Roman"/>
          <w:sz w:val="28"/>
          <w:szCs w:val="28"/>
          <w:shd w:val="clear" w:color="auto" w:fill="F7F7F7"/>
        </w:rPr>
        <w:t xml:space="preserve"> усиление надзора над компаниями для обеспечения соблюдения законодательства; снижение уровня безработицы; увеличение инвестиций для создания возможностей для маргинализированных слоев населения</w:t>
      </w:r>
      <w:r w:rsidR="00ED2E36">
        <w:rPr>
          <w:rFonts w:ascii="Times New Roman" w:hAnsi="Times New Roman" w:cs="Times New Roman"/>
          <w:sz w:val="28"/>
          <w:szCs w:val="28"/>
          <w:shd w:val="clear" w:color="auto" w:fill="F7F7F7"/>
        </w:rPr>
        <w:t>.</w:t>
      </w:r>
    </w:p>
    <w:p w:rsidR="007A3BF9" w:rsidRDefault="007A3BF9" w:rsidP="007A3BF9">
      <w:pPr>
        <w:pStyle w:val="a3"/>
        <w:shd w:val="clear" w:color="auto" w:fill="FFFFFF" w:themeFill="background1"/>
        <w:ind w:firstLine="709"/>
        <w:jc w:val="both"/>
        <w:rPr>
          <w:rFonts w:ascii="Times New Roman" w:hAnsi="Times New Roman" w:cs="Times New Roman"/>
          <w:sz w:val="28"/>
          <w:szCs w:val="28"/>
        </w:rPr>
      </w:pPr>
      <w:r w:rsidRPr="007A3BF9">
        <w:rPr>
          <w:rFonts w:ascii="Times New Roman" w:hAnsi="Times New Roman" w:cs="Times New Roman"/>
          <w:sz w:val="28"/>
          <w:szCs w:val="28"/>
        </w:rPr>
        <w:t xml:space="preserve">Необходимо создать эффективно функционирующую систему, где федеральные и региональные отраслевые и функциональные министерства и ведомства, муниципальные органы власти будут выполнять функцию развития и государственной поддержки предпринимательской деятельности, органы МВД РФ обеспечивать функционирование предпринимательских структур в рамках правового поля, органы ФНС РФ гарантировать их государственную регистрацию, налоговый учет, достоверность и полноту налогообложения доходов, а органы Росстата – достоверность статистики о предпринимательской деятельности. </w:t>
      </w:r>
    </w:p>
    <w:p w:rsidR="007A3BF9" w:rsidRPr="007A3BF9" w:rsidRDefault="007A3BF9" w:rsidP="007A3BF9">
      <w:pPr>
        <w:pStyle w:val="a3"/>
        <w:shd w:val="clear" w:color="auto" w:fill="FFFFFF" w:themeFill="background1"/>
        <w:ind w:firstLine="709"/>
        <w:jc w:val="both"/>
        <w:rPr>
          <w:rFonts w:ascii="Times New Roman" w:hAnsi="Times New Roman" w:cs="Times New Roman"/>
          <w:sz w:val="28"/>
          <w:szCs w:val="28"/>
        </w:rPr>
      </w:pPr>
      <w:r w:rsidRPr="007A3BF9">
        <w:rPr>
          <w:rFonts w:ascii="Times New Roman" w:hAnsi="Times New Roman" w:cs="Times New Roman"/>
          <w:sz w:val="28"/>
          <w:szCs w:val="28"/>
        </w:rPr>
        <w:t xml:space="preserve">Предлагаемая система, принятая и утвержденная законодательным образом, позволит не только легализовать теневую экономическую деятельность, но и создаст благоприятные условия для развития предпринимательства, значительно ускорит темпы и увеличит масштабы развития легальной экономической деятельности. При этом не следует государственное воздействие на нелегальный сектор российской экономики рассматривать как временное мероприятие, продиктованное действующими конъюнктурными изменениями. Оно должно иметь форму общей комплексной программы политики государства, которая рассчитана на долгосрочной период времени. Эффективность такой политики в области сокращения негативного влияния на экономическую, политическую и социальную сферы возрастающих масштабов теневой экономической деятельности в большей степени будет определяться научной состоятельностью теоретического и методологического базиса, принципов и инструментов государственного управления экономикой и достоверной оценкой объемов нелегальной деятельности. Реализация государственной программы, направленной на легализацию теневой экономической </w:t>
      </w:r>
      <w:r w:rsidRPr="007A3BF9">
        <w:rPr>
          <w:rFonts w:ascii="Times New Roman" w:hAnsi="Times New Roman" w:cs="Times New Roman"/>
          <w:sz w:val="28"/>
          <w:szCs w:val="28"/>
        </w:rPr>
        <w:lastRenderedPageBreak/>
        <w:t>деятельности не должна носить шокового характера, а подлежит поэтапному и последовательному внедрению, что приведет к максимально эффективному результату. Эффект, достигнутый государством в решении вопроса легализации теневого сектора экономики, станет определяющим при выборе главного пути развития национальной экономики и общества в целом.</w:t>
      </w:r>
    </w:p>
    <w:p w:rsidR="00985158" w:rsidRPr="00C87B33" w:rsidRDefault="00985158" w:rsidP="002E430A">
      <w:pPr>
        <w:pStyle w:val="a3"/>
        <w:rPr>
          <w:rFonts w:ascii="Times New Roman" w:hAnsi="Times New Roman" w:cs="Times New Roman"/>
          <w:b/>
          <w:sz w:val="28"/>
          <w:szCs w:val="28"/>
        </w:rPr>
      </w:pPr>
    </w:p>
    <w:sectPr w:rsidR="00985158" w:rsidRPr="00C87B33" w:rsidSect="00EE6D2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707" w:rsidRDefault="00C26707" w:rsidP="00ED4C36">
      <w:pPr>
        <w:spacing w:after="0" w:line="240" w:lineRule="auto"/>
      </w:pPr>
      <w:r>
        <w:separator/>
      </w:r>
    </w:p>
  </w:endnote>
  <w:endnote w:type="continuationSeparator" w:id="0">
    <w:p w:rsidR="00C26707" w:rsidRDefault="00C26707" w:rsidP="00ED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7381"/>
    </w:sdtPr>
    <w:sdtEndPr/>
    <w:sdtContent>
      <w:p w:rsidR="006225FF" w:rsidRDefault="00C26707">
        <w:pPr>
          <w:pStyle w:val="af"/>
          <w:jc w:val="right"/>
        </w:pPr>
        <w:r>
          <w:rPr>
            <w:noProof/>
          </w:rPr>
          <w:fldChar w:fldCharType="begin"/>
        </w:r>
        <w:r>
          <w:rPr>
            <w:noProof/>
          </w:rPr>
          <w:instrText xml:space="preserve"> PAGE   \* MERGEFORMAT </w:instrText>
        </w:r>
        <w:r>
          <w:rPr>
            <w:noProof/>
          </w:rPr>
          <w:fldChar w:fldCharType="separate"/>
        </w:r>
        <w:r w:rsidR="005B49EB">
          <w:rPr>
            <w:noProof/>
          </w:rPr>
          <w:t>12</w:t>
        </w:r>
        <w:r>
          <w:rPr>
            <w:noProof/>
          </w:rPr>
          <w:fldChar w:fldCharType="end"/>
        </w:r>
      </w:p>
    </w:sdtContent>
  </w:sdt>
  <w:p w:rsidR="006225FF" w:rsidRDefault="006225F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707" w:rsidRDefault="00C26707" w:rsidP="00ED4C36">
      <w:pPr>
        <w:spacing w:after="0" w:line="240" w:lineRule="auto"/>
      </w:pPr>
      <w:r>
        <w:separator/>
      </w:r>
    </w:p>
  </w:footnote>
  <w:footnote w:type="continuationSeparator" w:id="0">
    <w:p w:rsidR="00C26707" w:rsidRDefault="00C26707" w:rsidP="00ED4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AC6"/>
    <w:multiLevelType w:val="hybridMultilevel"/>
    <w:tmpl w:val="B950D36C"/>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15:restartNumberingAfterBreak="0">
    <w:nsid w:val="358A1E52"/>
    <w:multiLevelType w:val="hybridMultilevel"/>
    <w:tmpl w:val="EC369C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6EB6B6A"/>
    <w:multiLevelType w:val="hybridMultilevel"/>
    <w:tmpl w:val="1D58198C"/>
    <w:lvl w:ilvl="0" w:tplc="04190005">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3CEE"/>
    <w:rsid w:val="00016830"/>
    <w:rsid w:val="00041BFF"/>
    <w:rsid w:val="00077A2D"/>
    <w:rsid w:val="00084D56"/>
    <w:rsid w:val="000B7794"/>
    <w:rsid w:val="000C7572"/>
    <w:rsid w:val="00131BAC"/>
    <w:rsid w:val="00137820"/>
    <w:rsid w:val="00140922"/>
    <w:rsid w:val="001603AD"/>
    <w:rsid w:val="001669EE"/>
    <w:rsid w:val="00176B4F"/>
    <w:rsid w:val="0018570F"/>
    <w:rsid w:val="001C6E89"/>
    <w:rsid w:val="00220A52"/>
    <w:rsid w:val="00261571"/>
    <w:rsid w:val="00290606"/>
    <w:rsid w:val="002E430A"/>
    <w:rsid w:val="00305839"/>
    <w:rsid w:val="0032083D"/>
    <w:rsid w:val="00330C1B"/>
    <w:rsid w:val="00345308"/>
    <w:rsid w:val="00383CC2"/>
    <w:rsid w:val="003A7CC7"/>
    <w:rsid w:val="003C66D1"/>
    <w:rsid w:val="00400F46"/>
    <w:rsid w:val="004102BB"/>
    <w:rsid w:val="0041397B"/>
    <w:rsid w:val="0046238B"/>
    <w:rsid w:val="004B18CC"/>
    <w:rsid w:val="004E251A"/>
    <w:rsid w:val="004E5902"/>
    <w:rsid w:val="00521A06"/>
    <w:rsid w:val="00561E40"/>
    <w:rsid w:val="00565F77"/>
    <w:rsid w:val="00584458"/>
    <w:rsid w:val="00594248"/>
    <w:rsid w:val="00595B8E"/>
    <w:rsid w:val="005B49EB"/>
    <w:rsid w:val="005C1103"/>
    <w:rsid w:val="005F7499"/>
    <w:rsid w:val="006225FF"/>
    <w:rsid w:val="0062305C"/>
    <w:rsid w:val="006375CA"/>
    <w:rsid w:val="00651A3D"/>
    <w:rsid w:val="00663B27"/>
    <w:rsid w:val="00683174"/>
    <w:rsid w:val="00683CEE"/>
    <w:rsid w:val="006864B3"/>
    <w:rsid w:val="006961B3"/>
    <w:rsid w:val="006A28DE"/>
    <w:rsid w:val="006F3377"/>
    <w:rsid w:val="00700C91"/>
    <w:rsid w:val="00720EC2"/>
    <w:rsid w:val="00730130"/>
    <w:rsid w:val="007421CB"/>
    <w:rsid w:val="007631CA"/>
    <w:rsid w:val="00772C27"/>
    <w:rsid w:val="00797798"/>
    <w:rsid w:val="007A3BF9"/>
    <w:rsid w:val="007A4663"/>
    <w:rsid w:val="007E007A"/>
    <w:rsid w:val="007E24AF"/>
    <w:rsid w:val="00891A78"/>
    <w:rsid w:val="008B4DF4"/>
    <w:rsid w:val="008F53F2"/>
    <w:rsid w:val="00950FBE"/>
    <w:rsid w:val="00985158"/>
    <w:rsid w:val="009A41BC"/>
    <w:rsid w:val="00A90CF6"/>
    <w:rsid w:val="00A944BF"/>
    <w:rsid w:val="00AF25BB"/>
    <w:rsid w:val="00B03825"/>
    <w:rsid w:val="00B86501"/>
    <w:rsid w:val="00C26707"/>
    <w:rsid w:val="00C27C63"/>
    <w:rsid w:val="00C50638"/>
    <w:rsid w:val="00C87B33"/>
    <w:rsid w:val="00CE7648"/>
    <w:rsid w:val="00D631E4"/>
    <w:rsid w:val="00D67AFC"/>
    <w:rsid w:val="00D7013E"/>
    <w:rsid w:val="00D74AF9"/>
    <w:rsid w:val="00D866EB"/>
    <w:rsid w:val="00DA65CF"/>
    <w:rsid w:val="00DA7FC5"/>
    <w:rsid w:val="00DB49CF"/>
    <w:rsid w:val="00DC505B"/>
    <w:rsid w:val="00E17D51"/>
    <w:rsid w:val="00E30FEE"/>
    <w:rsid w:val="00E437C0"/>
    <w:rsid w:val="00E9485B"/>
    <w:rsid w:val="00ED2E36"/>
    <w:rsid w:val="00ED4C36"/>
    <w:rsid w:val="00EE286C"/>
    <w:rsid w:val="00EE3F17"/>
    <w:rsid w:val="00EE6D26"/>
    <w:rsid w:val="00F02584"/>
    <w:rsid w:val="00F54C66"/>
    <w:rsid w:val="00F93365"/>
    <w:rsid w:val="00FE5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07FEB3"/>
  <w15:docId w15:val="{90DE7D43-63CA-4896-ABC2-2354E5C1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D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CEE"/>
    <w:pPr>
      <w:spacing w:after="0" w:line="240" w:lineRule="auto"/>
    </w:pPr>
  </w:style>
  <w:style w:type="paragraph" w:styleId="a4">
    <w:name w:val="Normal (Web)"/>
    <w:basedOn w:val="a"/>
    <w:uiPriority w:val="99"/>
    <w:unhideWhenUsed/>
    <w:rsid w:val="00686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864B3"/>
    <w:rPr>
      <w:color w:val="0000FF"/>
      <w:u w:val="single"/>
    </w:rPr>
  </w:style>
  <w:style w:type="paragraph" w:styleId="a6">
    <w:name w:val="footnote text"/>
    <w:basedOn w:val="a"/>
    <w:link w:val="a7"/>
    <w:uiPriority w:val="99"/>
    <w:semiHidden/>
    <w:rsid w:val="00ED4C3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D4C36"/>
    <w:rPr>
      <w:rFonts w:ascii="Times New Roman" w:eastAsia="Times New Roman" w:hAnsi="Times New Roman" w:cs="Times New Roman"/>
      <w:sz w:val="20"/>
      <w:szCs w:val="20"/>
      <w:lang w:eastAsia="ru-RU"/>
    </w:rPr>
  </w:style>
  <w:style w:type="character" w:styleId="a8">
    <w:name w:val="footnote reference"/>
    <w:basedOn w:val="a0"/>
    <w:uiPriority w:val="99"/>
    <w:semiHidden/>
    <w:rsid w:val="00ED4C36"/>
    <w:rPr>
      <w:vertAlign w:val="superscript"/>
    </w:rPr>
  </w:style>
  <w:style w:type="paragraph" w:styleId="a9">
    <w:name w:val="Balloon Text"/>
    <w:basedOn w:val="a"/>
    <w:link w:val="aa"/>
    <w:uiPriority w:val="99"/>
    <w:semiHidden/>
    <w:unhideWhenUsed/>
    <w:rsid w:val="00ED4C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4C36"/>
    <w:rPr>
      <w:rFonts w:ascii="Tahoma" w:hAnsi="Tahoma" w:cs="Tahoma"/>
      <w:sz w:val="16"/>
      <w:szCs w:val="16"/>
    </w:rPr>
  </w:style>
  <w:style w:type="table" w:styleId="ab">
    <w:name w:val="Table Grid"/>
    <w:basedOn w:val="a1"/>
    <w:uiPriority w:val="59"/>
    <w:unhideWhenUsed/>
    <w:rsid w:val="00700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4">
    <w:name w:val="Light Shading Accent 4"/>
    <w:basedOn w:val="a1"/>
    <w:uiPriority w:val="60"/>
    <w:rsid w:val="00700C9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1"/>
    <w:uiPriority w:val="60"/>
    <w:rsid w:val="00700C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List Accent 6"/>
    <w:basedOn w:val="a1"/>
    <w:uiPriority w:val="61"/>
    <w:rsid w:val="00700C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Light Shading Accent 1"/>
    <w:basedOn w:val="a1"/>
    <w:uiPriority w:val="60"/>
    <w:rsid w:val="00700C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
    <w:name w:val="Strong"/>
    <w:basedOn w:val="a0"/>
    <w:uiPriority w:val="22"/>
    <w:qFormat/>
    <w:rsid w:val="003C66D1"/>
    <w:rPr>
      <w:b/>
      <w:bCs/>
    </w:rPr>
  </w:style>
  <w:style w:type="character" w:customStyle="1" w:styleId="partnermaterialitemtextvalue">
    <w:name w:val="partner_material_item_text_value"/>
    <w:basedOn w:val="a0"/>
    <w:rsid w:val="004102BB"/>
  </w:style>
  <w:style w:type="paragraph" w:styleId="ad">
    <w:name w:val="header"/>
    <w:basedOn w:val="a"/>
    <w:link w:val="ae"/>
    <w:uiPriority w:val="99"/>
    <w:semiHidden/>
    <w:unhideWhenUsed/>
    <w:rsid w:val="0098515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85158"/>
  </w:style>
  <w:style w:type="paragraph" w:styleId="af">
    <w:name w:val="footer"/>
    <w:basedOn w:val="a"/>
    <w:link w:val="af0"/>
    <w:uiPriority w:val="99"/>
    <w:unhideWhenUsed/>
    <w:rsid w:val="009851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2">
      <w:bodyDiv w:val="1"/>
      <w:marLeft w:val="0"/>
      <w:marRight w:val="0"/>
      <w:marTop w:val="0"/>
      <w:marBottom w:val="0"/>
      <w:divBdr>
        <w:top w:val="none" w:sz="0" w:space="0" w:color="auto"/>
        <w:left w:val="none" w:sz="0" w:space="0" w:color="auto"/>
        <w:bottom w:val="none" w:sz="0" w:space="0" w:color="auto"/>
        <w:right w:val="none" w:sz="0" w:space="0" w:color="auto"/>
      </w:divBdr>
    </w:div>
    <w:div w:id="104665879">
      <w:bodyDiv w:val="1"/>
      <w:marLeft w:val="0"/>
      <w:marRight w:val="0"/>
      <w:marTop w:val="0"/>
      <w:marBottom w:val="0"/>
      <w:divBdr>
        <w:top w:val="none" w:sz="0" w:space="0" w:color="auto"/>
        <w:left w:val="none" w:sz="0" w:space="0" w:color="auto"/>
        <w:bottom w:val="none" w:sz="0" w:space="0" w:color="auto"/>
        <w:right w:val="none" w:sz="0" w:space="0" w:color="auto"/>
      </w:divBdr>
    </w:div>
    <w:div w:id="427193592">
      <w:bodyDiv w:val="1"/>
      <w:marLeft w:val="0"/>
      <w:marRight w:val="0"/>
      <w:marTop w:val="0"/>
      <w:marBottom w:val="0"/>
      <w:divBdr>
        <w:top w:val="none" w:sz="0" w:space="0" w:color="auto"/>
        <w:left w:val="none" w:sz="0" w:space="0" w:color="auto"/>
        <w:bottom w:val="none" w:sz="0" w:space="0" w:color="auto"/>
        <w:right w:val="none" w:sz="0" w:space="0" w:color="auto"/>
      </w:divBdr>
      <w:divsChild>
        <w:div w:id="79179520">
          <w:marLeft w:val="0"/>
          <w:marRight w:val="300"/>
          <w:marTop w:val="0"/>
          <w:marBottom w:val="300"/>
          <w:divBdr>
            <w:top w:val="none" w:sz="0" w:space="0" w:color="auto"/>
            <w:left w:val="none" w:sz="0" w:space="0" w:color="auto"/>
            <w:bottom w:val="none" w:sz="0" w:space="0" w:color="auto"/>
            <w:right w:val="none" w:sz="0" w:space="0" w:color="auto"/>
          </w:divBdr>
          <w:divsChild>
            <w:div w:id="128011960">
              <w:marLeft w:val="0"/>
              <w:marRight w:val="0"/>
              <w:marTop w:val="0"/>
              <w:marBottom w:val="0"/>
              <w:divBdr>
                <w:top w:val="none" w:sz="0" w:space="0" w:color="auto"/>
                <w:left w:val="none" w:sz="0" w:space="0" w:color="auto"/>
                <w:bottom w:val="none" w:sz="0" w:space="0" w:color="auto"/>
                <w:right w:val="none" w:sz="0" w:space="0" w:color="auto"/>
              </w:divBdr>
              <w:divsChild>
                <w:div w:id="985090380">
                  <w:marLeft w:val="300"/>
                  <w:marRight w:val="0"/>
                  <w:marTop w:val="0"/>
                  <w:marBottom w:val="0"/>
                  <w:divBdr>
                    <w:top w:val="none" w:sz="0" w:space="0" w:color="auto"/>
                    <w:left w:val="none" w:sz="0" w:space="0" w:color="auto"/>
                    <w:bottom w:val="single" w:sz="6" w:space="0" w:color="DFDFDF"/>
                    <w:right w:val="none" w:sz="0" w:space="0" w:color="auto"/>
                  </w:divBdr>
                </w:div>
                <w:div w:id="1297297742">
                  <w:marLeft w:val="300"/>
                  <w:marRight w:val="300"/>
                  <w:marTop w:val="105"/>
                  <w:marBottom w:val="105"/>
                  <w:divBdr>
                    <w:top w:val="none" w:sz="0" w:space="0" w:color="auto"/>
                    <w:left w:val="none" w:sz="0" w:space="0" w:color="auto"/>
                    <w:bottom w:val="none" w:sz="0" w:space="0" w:color="auto"/>
                    <w:right w:val="none" w:sz="0" w:space="0" w:color="auto"/>
                  </w:divBdr>
                  <w:divsChild>
                    <w:div w:id="591200525">
                      <w:marLeft w:val="0"/>
                      <w:marRight w:val="0"/>
                      <w:marTop w:val="0"/>
                      <w:marBottom w:val="0"/>
                      <w:divBdr>
                        <w:top w:val="none" w:sz="0" w:space="0" w:color="auto"/>
                        <w:left w:val="none" w:sz="0" w:space="0" w:color="auto"/>
                        <w:bottom w:val="none" w:sz="0" w:space="0" w:color="auto"/>
                        <w:right w:val="none" w:sz="0" w:space="0" w:color="auto"/>
                      </w:divBdr>
                    </w:div>
                  </w:divsChild>
                </w:div>
                <w:div w:id="1072198732">
                  <w:marLeft w:val="300"/>
                  <w:marRight w:val="300"/>
                  <w:marTop w:val="105"/>
                  <w:marBottom w:val="105"/>
                  <w:divBdr>
                    <w:top w:val="none" w:sz="0" w:space="0" w:color="auto"/>
                    <w:left w:val="none" w:sz="0" w:space="0" w:color="auto"/>
                    <w:bottom w:val="none" w:sz="0" w:space="0" w:color="auto"/>
                    <w:right w:val="none" w:sz="0" w:space="0" w:color="auto"/>
                  </w:divBdr>
                  <w:divsChild>
                    <w:div w:id="320617231">
                      <w:marLeft w:val="0"/>
                      <w:marRight w:val="0"/>
                      <w:marTop w:val="0"/>
                      <w:marBottom w:val="0"/>
                      <w:divBdr>
                        <w:top w:val="none" w:sz="0" w:space="0" w:color="auto"/>
                        <w:left w:val="none" w:sz="0" w:space="0" w:color="auto"/>
                        <w:bottom w:val="none" w:sz="0" w:space="0" w:color="auto"/>
                        <w:right w:val="none" w:sz="0" w:space="0" w:color="auto"/>
                      </w:divBdr>
                    </w:div>
                  </w:divsChild>
                </w:div>
                <w:div w:id="1099252188">
                  <w:marLeft w:val="300"/>
                  <w:marRight w:val="300"/>
                  <w:marTop w:val="105"/>
                  <w:marBottom w:val="105"/>
                  <w:divBdr>
                    <w:top w:val="none" w:sz="0" w:space="0" w:color="auto"/>
                    <w:left w:val="none" w:sz="0" w:space="0" w:color="auto"/>
                    <w:bottom w:val="none" w:sz="0" w:space="0" w:color="auto"/>
                    <w:right w:val="none" w:sz="0" w:space="0" w:color="auto"/>
                  </w:divBdr>
                  <w:divsChild>
                    <w:div w:id="1086263209">
                      <w:marLeft w:val="0"/>
                      <w:marRight w:val="0"/>
                      <w:marTop w:val="0"/>
                      <w:marBottom w:val="0"/>
                      <w:divBdr>
                        <w:top w:val="none" w:sz="0" w:space="0" w:color="auto"/>
                        <w:left w:val="none" w:sz="0" w:space="0" w:color="auto"/>
                        <w:bottom w:val="none" w:sz="0" w:space="0" w:color="auto"/>
                        <w:right w:val="none" w:sz="0" w:space="0" w:color="auto"/>
                      </w:divBdr>
                    </w:div>
                  </w:divsChild>
                </w:div>
                <w:div w:id="343871930">
                  <w:marLeft w:val="300"/>
                  <w:marRight w:val="300"/>
                  <w:marTop w:val="105"/>
                  <w:marBottom w:val="105"/>
                  <w:divBdr>
                    <w:top w:val="none" w:sz="0" w:space="0" w:color="auto"/>
                    <w:left w:val="none" w:sz="0" w:space="0" w:color="auto"/>
                    <w:bottom w:val="none" w:sz="0" w:space="0" w:color="auto"/>
                    <w:right w:val="none" w:sz="0" w:space="0" w:color="auto"/>
                  </w:divBdr>
                  <w:divsChild>
                    <w:div w:id="5221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7522">
      <w:bodyDiv w:val="1"/>
      <w:marLeft w:val="0"/>
      <w:marRight w:val="0"/>
      <w:marTop w:val="0"/>
      <w:marBottom w:val="0"/>
      <w:divBdr>
        <w:top w:val="none" w:sz="0" w:space="0" w:color="auto"/>
        <w:left w:val="none" w:sz="0" w:space="0" w:color="auto"/>
        <w:bottom w:val="none" w:sz="0" w:space="0" w:color="auto"/>
        <w:right w:val="none" w:sz="0" w:space="0" w:color="auto"/>
      </w:divBdr>
    </w:div>
    <w:div w:id="1213543301">
      <w:bodyDiv w:val="1"/>
      <w:marLeft w:val="0"/>
      <w:marRight w:val="0"/>
      <w:marTop w:val="0"/>
      <w:marBottom w:val="0"/>
      <w:divBdr>
        <w:top w:val="none" w:sz="0" w:space="0" w:color="auto"/>
        <w:left w:val="none" w:sz="0" w:space="0" w:color="auto"/>
        <w:bottom w:val="none" w:sz="0" w:space="0" w:color="auto"/>
        <w:right w:val="none" w:sz="0" w:space="0" w:color="auto"/>
      </w:divBdr>
    </w:div>
    <w:div w:id="1401171495">
      <w:bodyDiv w:val="1"/>
      <w:marLeft w:val="0"/>
      <w:marRight w:val="0"/>
      <w:marTop w:val="0"/>
      <w:marBottom w:val="0"/>
      <w:divBdr>
        <w:top w:val="none" w:sz="0" w:space="0" w:color="auto"/>
        <w:left w:val="none" w:sz="0" w:space="0" w:color="auto"/>
        <w:bottom w:val="none" w:sz="0" w:space="0" w:color="auto"/>
        <w:right w:val="none" w:sz="0" w:space="0" w:color="auto"/>
      </w:divBdr>
    </w:div>
    <w:div w:id="1531801357">
      <w:bodyDiv w:val="1"/>
      <w:marLeft w:val="0"/>
      <w:marRight w:val="0"/>
      <w:marTop w:val="0"/>
      <w:marBottom w:val="0"/>
      <w:divBdr>
        <w:top w:val="none" w:sz="0" w:space="0" w:color="auto"/>
        <w:left w:val="none" w:sz="0" w:space="0" w:color="auto"/>
        <w:bottom w:val="none" w:sz="0" w:space="0" w:color="auto"/>
        <w:right w:val="none" w:sz="0" w:space="0" w:color="auto"/>
      </w:divBdr>
    </w:div>
    <w:div w:id="1553228573">
      <w:bodyDiv w:val="1"/>
      <w:marLeft w:val="0"/>
      <w:marRight w:val="0"/>
      <w:marTop w:val="0"/>
      <w:marBottom w:val="0"/>
      <w:divBdr>
        <w:top w:val="none" w:sz="0" w:space="0" w:color="auto"/>
        <w:left w:val="none" w:sz="0" w:space="0" w:color="auto"/>
        <w:bottom w:val="none" w:sz="0" w:space="0" w:color="auto"/>
        <w:right w:val="none" w:sz="0" w:space="0" w:color="auto"/>
      </w:divBdr>
      <w:divsChild>
        <w:div w:id="1384403696">
          <w:marLeft w:val="0"/>
          <w:marRight w:val="300"/>
          <w:marTop w:val="0"/>
          <w:marBottom w:val="0"/>
          <w:divBdr>
            <w:top w:val="none" w:sz="0" w:space="0" w:color="auto"/>
            <w:left w:val="none" w:sz="0" w:space="0" w:color="auto"/>
            <w:bottom w:val="none" w:sz="0" w:space="0" w:color="auto"/>
            <w:right w:val="none" w:sz="0" w:space="0" w:color="auto"/>
          </w:divBdr>
          <w:divsChild>
            <w:div w:id="1255820989">
              <w:marLeft w:val="0"/>
              <w:marRight w:val="0"/>
              <w:marTop w:val="0"/>
              <w:marBottom w:val="0"/>
              <w:divBdr>
                <w:top w:val="none" w:sz="0" w:space="0" w:color="auto"/>
                <w:left w:val="none" w:sz="0" w:space="0" w:color="auto"/>
                <w:bottom w:val="none" w:sz="0" w:space="0" w:color="auto"/>
                <w:right w:val="none" w:sz="0" w:space="0" w:color="auto"/>
              </w:divBdr>
              <w:divsChild>
                <w:div w:id="1753549317">
                  <w:marLeft w:val="300"/>
                  <w:marRight w:val="0"/>
                  <w:marTop w:val="0"/>
                  <w:marBottom w:val="0"/>
                  <w:divBdr>
                    <w:top w:val="none" w:sz="0" w:space="0" w:color="auto"/>
                    <w:left w:val="none" w:sz="0" w:space="0" w:color="auto"/>
                    <w:bottom w:val="single" w:sz="6" w:space="0" w:color="DFDFDF"/>
                    <w:right w:val="none" w:sz="0" w:space="0" w:color="auto"/>
                  </w:divBdr>
                </w:div>
                <w:div w:id="942879420">
                  <w:marLeft w:val="300"/>
                  <w:marRight w:val="300"/>
                  <w:marTop w:val="150"/>
                  <w:marBottom w:val="150"/>
                  <w:divBdr>
                    <w:top w:val="none" w:sz="0" w:space="0" w:color="auto"/>
                    <w:left w:val="none" w:sz="0" w:space="0" w:color="auto"/>
                    <w:bottom w:val="none" w:sz="0" w:space="0" w:color="auto"/>
                    <w:right w:val="none" w:sz="0" w:space="0" w:color="auto"/>
                  </w:divBdr>
                  <w:divsChild>
                    <w:div w:id="231234484">
                      <w:marLeft w:val="0"/>
                      <w:marRight w:val="0"/>
                      <w:marTop w:val="0"/>
                      <w:marBottom w:val="0"/>
                      <w:divBdr>
                        <w:top w:val="none" w:sz="0" w:space="0" w:color="auto"/>
                        <w:left w:val="none" w:sz="0" w:space="0" w:color="auto"/>
                        <w:bottom w:val="none" w:sz="0" w:space="0" w:color="auto"/>
                        <w:right w:val="none" w:sz="0" w:space="0" w:color="auto"/>
                      </w:divBdr>
                    </w:div>
                  </w:divsChild>
                </w:div>
                <w:div w:id="1103233581">
                  <w:marLeft w:val="300"/>
                  <w:marRight w:val="300"/>
                  <w:marTop w:val="150"/>
                  <w:marBottom w:val="150"/>
                  <w:divBdr>
                    <w:top w:val="none" w:sz="0" w:space="0" w:color="auto"/>
                    <w:left w:val="none" w:sz="0" w:space="0" w:color="auto"/>
                    <w:bottom w:val="none" w:sz="0" w:space="0" w:color="auto"/>
                    <w:right w:val="none" w:sz="0" w:space="0" w:color="auto"/>
                  </w:divBdr>
                  <w:divsChild>
                    <w:div w:id="1709866732">
                      <w:marLeft w:val="0"/>
                      <w:marRight w:val="0"/>
                      <w:marTop w:val="0"/>
                      <w:marBottom w:val="0"/>
                      <w:divBdr>
                        <w:top w:val="none" w:sz="0" w:space="0" w:color="auto"/>
                        <w:left w:val="none" w:sz="0" w:space="0" w:color="auto"/>
                        <w:bottom w:val="none" w:sz="0" w:space="0" w:color="auto"/>
                        <w:right w:val="none" w:sz="0" w:space="0" w:color="auto"/>
                      </w:divBdr>
                    </w:div>
                  </w:divsChild>
                </w:div>
                <w:div w:id="1715344021">
                  <w:marLeft w:val="300"/>
                  <w:marRight w:val="300"/>
                  <w:marTop w:val="150"/>
                  <w:marBottom w:val="150"/>
                  <w:divBdr>
                    <w:top w:val="none" w:sz="0" w:space="0" w:color="auto"/>
                    <w:left w:val="none" w:sz="0" w:space="0" w:color="auto"/>
                    <w:bottom w:val="none" w:sz="0" w:space="0" w:color="auto"/>
                    <w:right w:val="none" w:sz="0" w:space="0" w:color="auto"/>
                  </w:divBdr>
                  <w:divsChild>
                    <w:div w:id="2071998103">
                      <w:marLeft w:val="0"/>
                      <w:marRight w:val="0"/>
                      <w:marTop w:val="0"/>
                      <w:marBottom w:val="0"/>
                      <w:divBdr>
                        <w:top w:val="none" w:sz="0" w:space="0" w:color="auto"/>
                        <w:left w:val="none" w:sz="0" w:space="0" w:color="auto"/>
                        <w:bottom w:val="none" w:sz="0" w:space="0" w:color="auto"/>
                        <w:right w:val="none" w:sz="0" w:space="0" w:color="auto"/>
                      </w:divBdr>
                    </w:div>
                  </w:divsChild>
                </w:div>
                <w:div w:id="599066730">
                  <w:marLeft w:val="300"/>
                  <w:marRight w:val="300"/>
                  <w:marTop w:val="150"/>
                  <w:marBottom w:val="150"/>
                  <w:divBdr>
                    <w:top w:val="none" w:sz="0" w:space="0" w:color="auto"/>
                    <w:left w:val="none" w:sz="0" w:space="0" w:color="auto"/>
                    <w:bottom w:val="none" w:sz="0" w:space="0" w:color="auto"/>
                    <w:right w:val="none" w:sz="0" w:space="0" w:color="auto"/>
                  </w:divBdr>
                  <w:divsChild>
                    <w:div w:id="15760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78686">
      <w:bodyDiv w:val="1"/>
      <w:marLeft w:val="0"/>
      <w:marRight w:val="0"/>
      <w:marTop w:val="0"/>
      <w:marBottom w:val="0"/>
      <w:divBdr>
        <w:top w:val="none" w:sz="0" w:space="0" w:color="auto"/>
        <w:left w:val="none" w:sz="0" w:space="0" w:color="auto"/>
        <w:bottom w:val="none" w:sz="0" w:space="0" w:color="auto"/>
        <w:right w:val="none" w:sz="0" w:space="0" w:color="auto"/>
      </w:divBdr>
    </w:div>
    <w:div w:id="2036468134">
      <w:bodyDiv w:val="1"/>
      <w:marLeft w:val="0"/>
      <w:marRight w:val="0"/>
      <w:marTop w:val="0"/>
      <w:marBottom w:val="0"/>
      <w:divBdr>
        <w:top w:val="none" w:sz="0" w:space="0" w:color="auto"/>
        <w:left w:val="none" w:sz="0" w:space="0" w:color="auto"/>
        <w:bottom w:val="none" w:sz="0" w:space="0" w:color="auto"/>
        <w:right w:val="none" w:sz="0" w:space="0" w:color="auto"/>
      </w:divBdr>
      <w:divsChild>
        <w:div w:id="1376926027">
          <w:marLeft w:val="0"/>
          <w:marRight w:val="0"/>
          <w:marTop w:val="0"/>
          <w:marBottom w:val="240"/>
          <w:divBdr>
            <w:top w:val="none" w:sz="0" w:space="0" w:color="auto"/>
            <w:left w:val="none" w:sz="0" w:space="0" w:color="auto"/>
            <w:bottom w:val="none" w:sz="0" w:space="0" w:color="auto"/>
            <w:right w:val="none" w:sz="0" w:space="0" w:color="auto"/>
          </w:divBdr>
        </w:div>
        <w:div w:id="4892474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1%82%D0%B0%D0%BB%D1%8C%D1%8F%D0%BD%D1%81%D0%BA%D0%B0%D1%8F_%D0%BC%D0%B0%D1%84%D0%B8%D1%8F"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vert="horz"/>
          <a:lstStyle/>
          <a:p>
            <a:pPr>
              <a:defRPr/>
            </a:pPr>
            <a:r>
              <a:rPr lang="ru-RU"/>
              <a:t>Страны с крупнейшей теневой экономикой </a:t>
            </a:r>
          </a:p>
        </c:rich>
      </c:tx>
      <c:layout>
        <c:manualLayout>
          <c:xMode val="edge"/>
          <c:yMode val="edge"/>
          <c:x val="0.25565217391304451"/>
          <c:y val="3.9682509565822442E-2"/>
        </c:manualLayout>
      </c:layout>
      <c:overlay val="0"/>
    </c:title>
    <c:autoTitleDeleted val="0"/>
    <c:plotArea>
      <c:layout/>
      <c:barChart>
        <c:barDir val="col"/>
        <c:grouping val="clustered"/>
        <c:varyColors val="0"/>
        <c:ser>
          <c:idx val="0"/>
          <c:order val="0"/>
          <c:tx>
            <c:strRef>
              <c:f>Лист1!$B$1</c:f>
              <c:strCache>
                <c:ptCount val="1"/>
                <c:pt idx="0">
                  <c:v>% от ВВП</c:v>
                </c:pt>
              </c:strCache>
            </c:strRef>
          </c:tx>
          <c:invertIfNegative val="0"/>
          <c:dLbls>
            <c:dLbl>
              <c:idx val="0"/>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7C-4200-8D71-04E36C0F909A}"/>
                </c:ext>
              </c:extLst>
            </c:dLbl>
            <c:dLbl>
              <c:idx val="1"/>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7C-4200-8D71-04E36C0F909A}"/>
                </c:ext>
              </c:extLst>
            </c:dLbl>
            <c:dLbl>
              <c:idx val="2"/>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7C-4200-8D71-04E36C0F909A}"/>
                </c:ext>
              </c:extLst>
            </c:dLbl>
            <c:dLbl>
              <c:idx val="3"/>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7C-4200-8D71-04E36C0F909A}"/>
                </c:ext>
              </c:extLst>
            </c:dLbl>
            <c:dLbl>
              <c:idx val="4"/>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7C-4200-8D71-04E36C0F909A}"/>
                </c:ext>
              </c:extLst>
            </c:dLbl>
            <c:dLbl>
              <c:idx val="5"/>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7C-4200-8D71-04E36C0F909A}"/>
                </c:ext>
              </c:extLst>
            </c:dLbl>
            <c:dLbl>
              <c:idx val="6"/>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7C-4200-8D71-04E36C0F909A}"/>
                </c:ext>
              </c:extLst>
            </c:dLbl>
            <c:dLbl>
              <c:idx val="7"/>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7C-4200-8D71-04E36C0F909A}"/>
                </c:ext>
              </c:extLst>
            </c:dLbl>
            <c:dLbl>
              <c:idx val="8"/>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7C-4200-8D71-04E36C0F909A}"/>
                </c:ext>
              </c:extLst>
            </c:dLbl>
            <c:dLbl>
              <c:idx val="9"/>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7C-4200-8D71-04E36C0F909A}"/>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Азербайджан</c:v>
                </c:pt>
                <c:pt idx="1">
                  <c:v>Нигерия</c:v>
                </c:pt>
                <c:pt idx="2">
                  <c:v>Украина</c:v>
                </c:pt>
                <c:pt idx="3">
                  <c:v>Россия</c:v>
                </c:pt>
                <c:pt idx="4">
                  <c:v>Шри-Ланка </c:v>
                </c:pt>
                <c:pt idx="5">
                  <c:v>Бразилия</c:v>
                </c:pt>
                <c:pt idx="6">
                  <c:v>Пакистан</c:v>
                </c:pt>
                <c:pt idx="7">
                  <c:v>Болгария</c:v>
                </c:pt>
                <c:pt idx="8">
                  <c:v>Эстония</c:v>
                </c:pt>
                <c:pt idx="9">
                  <c:v>Кения</c:v>
                </c:pt>
              </c:strCache>
            </c:strRef>
          </c:cat>
          <c:val>
            <c:numRef>
              <c:f>Лист1!$B$2:$B$11</c:f>
              <c:numCache>
                <c:formatCode>General</c:formatCode>
                <c:ptCount val="10"/>
                <c:pt idx="0">
                  <c:v>6</c:v>
                </c:pt>
                <c:pt idx="1">
                  <c:v>5</c:v>
                </c:pt>
                <c:pt idx="2">
                  <c:v>4.8</c:v>
                </c:pt>
                <c:pt idx="3">
                  <c:v>4.3</c:v>
                </c:pt>
                <c:pt idx="4">
                  <c:v>4.2</c:v>
                </c:pt>
                <c:pt idx="5">
                  <c:v>3.8</c:v>
                </c:pt>
                <c:pt idx="6">
                  <c:v>3.5</c:v>
                </c:pt>
                <c:pt idx="7">
                  <c:v>3.3</c:v>
                </c:pt>
                <c:pt idx="8">
                  <c:v>3.1</c:v>
                </c:pt>
                <c:pt idx="9">
                  <c:v>2.8</c:v>
                </c:pt>
              </c:numCache>
            </c:numRef>
          </c:val>
          <c:extLst>
            <c:ext xmlns:c16="http://schemas.microsoft.com/office/drawing/2014/chart" uri="{C3380CC4-5D6E-409C-BE32-E72D297353CC}">
              <c16:uniqueId val="{0000000A-C17C-4200-8D71-04E36C0F909A}"/>
            </c:ext>
          </c:extLst>
        </c:ser>
        <c:dLbls>
          <c:showLegendKey val="0"/>
          <c:showVal val="0"/>
          <c:showCatName val="0"/>
          <c:showSerName val="0"/>
          <c:showPercent val="0"/>
          <c:showBubbleSize val="0"/>
        </c:dLbls>
        <c:gapWidth val="219"/>
        <c:overlap val="-27"/>
        <c:axId val="111194496"/>
        <c:axId val="111196032"/>
      </c:barChart>
      <c:catAx>
        <c:axId val="111194496"/>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11196032"/>
        <c:crosses val="autoZero"/>
        <c:auto val="1"/>
        <c:lblAlgn val="ctr"/>
        <c:lblOffset val="100"/>
        <c:noMultiLvlLbl val="0"/>
      </c:catAx>
      <c:valAx>
        <c:axId val="111196032"/>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111194496"/>
        <c:crosses val="autoZero"/>
        <c:crossBetween val="between"/>
      </c:valAx>
    </c:plotArea>
    <c:legend>
      <c:legendPos val="b"/>
      <c:overlay val="0"/>
      <c:txPr>
        <a:bodyPr rot="0" vert="horz"/>
        <a:lstStyle/>
        <a:p>
          <a:pPr>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b="1">
                <a:solidFill>
                  <a:sysClr val="windowText" lastClr="000000"/>
                </a:solidFill>
              </a:rPr>
              <a:t>Статистика</a:t>
            </a:r>
            <a:r>
              <a:rPr lang="ru-RU" b="1" baseline="0">
                <a:solidFill>
                  <a:sysClr val="windowText" lastClr="000000"/>
                </a:solidFill>
              </a:rPr>
              <a:t> теневой экономики в России в период с 2009 по 2018 год</a:t>
            </a:r>
            <a:endParaRPr lang="ru-RU" b="1">
              <a:solidFill>
                <a:sysClr val="windowText" lastClr="000000"/>
              </a:solidFill>
            </a:endParaRPr>
          </a:p>
        </c:rich>
      </c:tx>
      <c:layout>
        <c:manualLayout>
          <c:xMode val="edge"/>
          <c:yMode val="edge"/>
          <c:x val="0.18699639107611626"/>
          <c:y val="1.6773523362350204E-2"/>
        </c:manualLayout>
      </c:layout>
      <c:overlay val="0"/>
      <c:spPr>
        <a:noFill/>
        <a:ln>
          <a:noFill/>
        </a:ln>
        <a:effectLst/>
      </c:spPr>
    </c:title>
    <c:autoTitleDeleted val="0"/>
    <c:plotArea>
      <c:layout>
        <c:manualLayout>
          <c:layoutTarget val="inner"/>
          <c:xMode val="edge"/>
          <c:yMode val="edge"/>
          <c:x val="3.7984106153397486E-2"/>
          <c:y val="0.10750000000000012"/>
          <c:w val="0.92960848643919791"/>
          <c:h val="0.66998656417947877"/>
        </c:manualLayout>
      </c:layout>
      <c:barChart>
        <c:barDir val="col"/>
        <c:grouping val="clustered"/>
        <c:varyColors val="0"/>
        <c:ser>
          <c:idx val="0"/>
          <c:order val="0"/>
          <c:tx>
            <c:strRef>
              <c:f>Лист1!$B$1</c:f>
              <c:strCache>
                <c:ptCount val="1"/>
                <c:pt idx="0">
                  <c:v>размер теневой экономики в трлн. руб.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Лист1!$B$2:$B$11</c:f>
              <c:numCache>
                <c:formatCode>General</c:formatCode>
                <c:ptCount val="10"/>
                <c:pt idx="0">
                  <c:v>7.8</c:v>
                </c:pt>
                <c:pt idx="1">
                  <c:v>7.1199999999999966</c:v>
                </c:pt>
                <c:pt idx="2">
                  <c:v>8.2000000000000011</c:v>
                </c:pt>
                <c:pt idx="3">
                  <c:v>9.3600000000000048</c:v>
                </c:pt>
                <c:pt idx="4">
                  <c:v>11.01</c:v>
                </c:pt>
                <c:pt idx="5">
                  <c:v>12.350000000000019</c:v>
                </c:pt>
                <c:pt idx="6">
                  <c:v>23.4</c:v>
                </c:pt>
                <c:pt idx="7">
                  <c:v>24.3</c:v>
                </c:pt>
                <c:pt idx="8">
                  <c:v>18.899999999999999</c:v>
                </c:pt>
                <c:pt idx="9">
                  <c:v>20.7</c:v>
                </c:pt>
              </c:numCache>
            </c:numRef>
          </c:val>
          <c:extLst>
            <c:ext xmlns:c16="http://schemas.microsoft.com/office/drawing/2014/chart" uri="{C3380CC4-5D6E-409C-BE32-E72D297353CC}">
              <c16:uniqueId val="{00000000-A206-4B5D-AF91-BDE17A24E4F5}"/>
            </c:ext>
          </c:extLst>
        </c:ser>
        <c:ser>
          <c:idx val="1"/>
          <c:order val="1"/>
          <c:tx>
            <c:strRef>
              <c:f>Лист1!$C$1</c:f>
              <c:strCache>
                <c:ptCount val="1"/>
                <c:pt idx="0">
                  <c:v>доля ВВП в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5"/>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r>
                      <a:rPr lang="en-US"/>
                      <a:t>17,3</a:t>
                    </a:r>
                  </a:p>
                  <a:p>
                    <a:pPr>
                      <a:defRPr sz="900" b="0" i="0" u="none" strike="noStrike" kern="1200" baseline="0">
                        <a:solidFill>
                          <a:schemeClr val="tx2"/>
                        </a:solidFill>
                        <a:latin typeface="+mn-lt"/>
                        <a:ea typeface="+mn-ea"/>
                        <a:cs typeface="+mn-cs"/>
                      </a:defRPr>
                    </a:pPr>
                    <a:endParaRPr lang="en-US"/>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A206-4B5D-AF91-BDE17A24E4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Лист1!$C$2:$C$11</c:f>
              <c:numCache>
                <c:formatCode>General</c:formatCode>
                <c:ptCount val="10"/>
                <c:pt idx="0">
                  <c:v>19.899999999999999</c:v>
                </c:pt>
                <c:pt idx="1">
                  <c:v>16</c:v>
                </c:pt>
                <c:pt idx="2">
                  <c:v>15.1</c:v>
                </c:pt>
                <c:pt idx="3">
                  <c:v>15</c:v>
                </c:pt>
                <c:pt idx="4">
                  <c:v>16.5</c:v>
                </c:pt>
                <c:pt idx="5" formatCode="dd/mmm">
                  <c:v>17.3</c:v>
                </c:pt>
                <c:pt idx="6">
                  <c:v>28.1</c:v>
                </c:pt>
                <c:pt idx="7">
                  <c:v>28.3</c:v>
                </c:pt>
                <c:pt idx="8">
                  <c:v>20.5</c:v>
                </c:pt>
                <c:pt idx="9">
                  <c:v>20</c:v>
                </c:pt>
              </c:numCache>
            </c:numRef>
          </c:val>
          <c:extLst>
            <c:ext xmlns:c16="http://schemas.microsoft.com/office/drawing/2014/chart" uri="{C3380CC4-5D6E-409C-BE32-E72D297353CC}">
              <c16:uniqueId val="{00000002-A206-4B5D-AF91-BDE17A24E4F5}"/>
            </c:ext>
          </c:extLst>
        </c:ser>
        <c:ser>
          <c:idx val="2"/>
          <c:order val="2"/>
          <c:tx>
            <c:strRef>
              <c:f>Лист1!$D$1</c:f>
              <c:strCache>
                <c:ptCount val="1"/>
                <c:pt idx="0">
                  <c:v>размер ВВп в трлн. руб.</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Лист1!$D$2:$D$11</c:f>
              <c:numCache>
                <c:formatCode>General</c:formatCode>
                <c:ptCount val="10"/>
                <c:pt idx="0">
                  <c:v>39.200000000000003</c:v>
                </c:pt>
                <c:pt idx="1">
                  <c:v>44.5</c:v>
                </c:pt>
                <c:pt idx="2">
                  <c:v>54.4</c:v>
                </c:pt>
                <c:pt idx="3">
                  <c:v>62.4</c:v>
                </c:pt>
                <c:pt idx="4">
                  <c:v>66.7</c:v>
                </c:pt>
                <c:pt idx="5">
                  <c:v>71.400000000000006</c:v>
                </c:pt>
                <c:pt idx="6">
                  <c:v>83.1</c:v>
                </c:pt>
                <c:pt idx="7">
                  <c:v>86</c:v>
                </c:pt>
                <c:pt idx="8">
                  <c:v>92</c:v>
                </c:pt>
                <c:pt idx="9">
                  <c:v>103.6</c:v>
                </c:pt>
              </c:numCache>
            </c:numRef>
          </c:val>
          <c:extLst>
            <c:ext xmlns:c16="http://schemas.microsoft.com/office/drawing/2014/chart" uri="{C3380CC4-5D6E-409C-BE32-E72D297353CC}">
              <c16:uniqueId val="{00000003-A206-4B5D-AF91-BDE17A24E4F5}"/>
            </c:ext>
          </c:extLst>
        </c:ser>
        <c:dLbls>
          <c:showLegendKey val="0"/>
          <c:showVal val="1"/>
          <c:showCatName val="0"/>
          <c:showSerName val="0"/>
          <c:showPercent val="0"/>
          <c:showBubbleSize val="0"/>
        </c:dLbls>
        <c:gapWidth val="100"/>
        <c:overlap val="-24"/>
        <c:axId val="111744896"/>
        <c:axId val="111766144"/>
      </c:barChart>
      <c:catAx>
        <c:axId val="1117448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1766144"/>
        <c:crosses val="autoZero"/>
        <c:auto val="1"/>
        <c:lblAlgn val="ctr"/>
        <c:lblOffset val="100"/>
        <c:noMultiLvlLbl val="0"/>
      </c:catAx>
      <c:valAx>
        <c:axId val="1117661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174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безработицы в России по годам в %</a:t>
            </a:r>
            <a:endParaRPr lang="ru-RU"/>
          </a:p>
        </c:rich>
      </c:tx>
      <c:overlay val="0"/>
      <c:spPr>
        <a:noFill/>
        <a:ln>
          <a:noFill/>
        </a:ln>
        <a:effectLst/>
      </c:spPr>
    </c:title>
    <c:autoTitleDeleted val="0"/>
    <c:plotArea>
      <c:layout/>
      <c:lineChart>
        <c:grouping val="stacked"/>
        <c:varyColors val="0"/>
        <c:ser>
          <c:idx val="0"/>
          <c:order val="0"/>
          <c:tx>
            <c:strRef>
              <c:f>Лист1!$B$1</c:f>
              <c:strCache>
                <c:ptCount val="1"/>
                <c:pt idx="0">
                  <c:v>кривая безработицы</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Лист1!$A$2:$A$28</c:f>
              <c:numCache>
                <c:formatCode>General</c:formatCod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numCache>
            </c:numRef>
          </c:cat>
          <c:val>
            <c:numRef>
              <c:f>Лист1!$B$2:$B$28</c:f>
              <c:numCache>
                <c:formatCode>General</c:formatCode>
                <c:ptCount val="27"/>
                <c:pt idx="0">
                  <c:v>5.9</c:v>
                </c:pt>
                <c:pt idx="1">
                  <c:v>5.9</c:v>
                </c:pt>
                <c:pt idx="2">
                  <c:v>8.1</c:v>
                </c:pt>
                <c:pt idx="3">
                  <c:v>9.5</c:v>
                </c:pt>
                <c:pt idx="4">
                  <c:v>9.7000000000000011</c:v>
                </c:pt>
                <c:pt idx="5">
                  <c:v>11.8</c:v>
                </c:pt>
                <c:pt idx="6">
                  <c:v>13.3</c:v>
                </c:pt>
                <c:pt idx="7">
                  <c:v>12.9</c:v>
                </c:pt>
                <c:pt idx="8">
                  <c:v>10.6</c:v>
                </c:pt>
                <c:pt idx="9">
                  <c:v>9</c:v>
                </c:pt>
                <c:pt idx="10">
                  <c:v>7.9</c:v>
                </c:pt>
                <c:pt idx="11">
                  <c:v>8.2000000000000011</c:v>
                </c:pt>
                <c:pt idx="12">
                  <c:v>7.8</c:v>
                </c:pt>
                <c:pt idx="13">
                  <c:v>7.1</c:v>
                </c:pt>
                <c:pt idx="14">
                  <c:v>7.1</c:v>
                </c:pt>
                <c:pt idx="15">
                  <c:v>6</c:v>
                </c:pt>
                <c:pt idx="16">
                  <c:v>6.3</c:v>
                </c:pt>
                <c:pt idx="17">
                  <c:v>8.4</c:v>
                </c:pt>
                <c:pt idx="18">
                  <c:v>7.3</c:v>
                </c:pt>
                <c:pt idx="19">
                  <c:v>6.5</c:v>
                </c:pt>
                <c:pt idx="20">
                  <c:v>5.5</c:v>
                </c:pt>
                <c:pt idx="21">
                  <c:v>5.5</c:v>
                </c:pt>
                <c:pt idx="22">
                  <c:v>5.2</c:v>
                </c:pt>
                <c:pt idx="23">
                  <c:v>5.6</c:v>
                </c:pt>
                <c:pt idx="24">
                  <c:v>5.5</c:v>
                </c:pt>
                <c:pt idx="25">
                  <c:v>5.5</c:v>
                </c:pt>
                <c:pt idx="26">
                  <c:v>4.9000000000000004</c:v>
                </c:pt>
              </c:numCache>
            </c:numRef>
          </c:val>
          <c:smooth val="0"/>
          <c:extLst>
            <c:ext xmlns:c16="http://schemas.microsoft.com/office/drawing/2014/chart" uri="{C3380CC4-5D6E-409C-BE32-E72D297353CC}">
              <c16:uniqueId val="{00000000-C971-4E35-BF16-9861D19A7015}"/>
            </c:ext>
          </c:extLst>
        </c:ser>
        <c:dLbls>
          <c:showLegendKey val="0"/>
          <c:showVal val="0"/>
          <c:showCatName val="0"/>
          <c:showSerName val="0"/>
          <c:showPercent val="0"/>
          <c:showBubbleSize val="0"/>
        </c:dLbls>
        <c:marker val="1"/>
        <c:smooth val="0"/>
        <c:axId val="112577536"/>
        <c:axId val="117662848"/>
      </c:lineChart>
      <c:catAx>
        <c:axId val="11257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662848"/>
        <c:crosses val="autoZero"/>
        <c:auto val="1"/>
        <c:lblAlgn val="ctr"/>
        <c:lblOffset val="100"/>
        <c:noMultiLvlLbl val="0"/>
      </c:catAx>
      <c:valAx>
        <c:axId val="11766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577536"/>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Доля</a:t>
            </a:r>
            <a:r>
              <a:rPr lang="ru-RU" b="1" baseline="0">
                <a:solidFill>
                  <a:sysClr val="windowText" lastClr="000000"/>
                </a:solidFill>
              </a:rPr>
              <a:t> занятых в неформальном секторе экономики</a:t>
            </a:r>
            <a:endParaRPr lang="ru-RU"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2006</c:v>
                </c:pt>
                <c:pt idx="1">
                  <c:v>2008</c:v>
                </c:pt>
                <c:pt idx="2">
                  <c:v>2010</c:v>
                </c:pt>
                <c:pt idx="3">
                  <c:v>2012</c:v>
                </c:pt>
                <c:pt idx="4">
                  <c:v>2014</c:v>
                </c:pt>
                <c:pt idx="5">
                  <c:v>2016</c:v>
                </c:pt>
                <c:pt idx="6">
                  <c:v>2018</c:v>
                </c:pt>
              </c:numCache>
            </c:numRef>
          </c:cat>
          <c:val>
            <c:numRef>
              <c:f>Лист1!$B$2:$B$8</c:f>
              <c:numCache>
                <c:formatCode>General</c:formatCode>
                <c:ptCount val="7"/>
                <c:pt idx="0">
                  <c:v>18.8</c:v>
                </c:pt>
                <c:pt idx="1">
                  <c:v>19.5</c:v>
                </c:pt>
                <c:pt idx="2">
                  <c:v>16.399999999999999</c:v>
                </c:pt>
                <c:pt idx="3">
                  <c:v>19</c:v>
                </c:pt>
                <c:pt idx="4">
                  <c:v>20.100000000000001</c:v>
                </c:pt>
                <c:pt idx="5">
                  <c:v>21.2</c:v>
                </c:pt>
                <c:pt idx="6">
                  <c:v>20.100000000000001</c:v>
                </c:pt>
              </c:numCache>
            </c:numRef>
          </c:val>
          <c:extLst>
            <c:ext xmlns:c16="http://schemas.microsoft.com/office/drawing/2014/chart" uri="{C3380CC4-5D6E-409C-BE32-E72D297353CC}">
              <c16:uniqueId val="{00000000-6119-4F5E-8142-9F5649624702}"/>
            </c:ext>
          </c:extLst>
        </c:ser>
        <c:ser>
          <c:idx val="1"/>
          <c:order val="1"/>
          <c:tx>
            <c:strRef>
              <c:f>Лист1!$C$1</c:f>
              <c:strCache>
                <c:ptCount val="1"/>
                <c:pt idx="0">
                  <c:v>мужчины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2006</c:v>
                </c:pt>
                <c:pt idx="1">
                  <c:v>2008</c:v>
                </c:pt>
                <c:pt idx="2">
                  <c:v>2010</c:v>
                </c:pt>
                <c:pt idx="3">
                  <c:v>2012</c:v>
                </c:pt>
                <c:pt idx="4">
                  <c:v>2014</c:v>
                </c:pt>
                <c:pt idx="5">
                  <c:v>2016</c:v>
                </c:pt>
                <c:pt idx="6">
                  <c:v>2018</c:v>
                </c:pt>
              </c:numCache>
            </c:numRef>
          </c:cat>
          <c:val>
            <c:numRef>
              <c:f>Лист1!$C$2:$C$8</c:f>
              <c:numCache>
                <c:formatCode>General</c:formatCode>
                <c:ptCount val="7"/>
                <c:pt idx="0">
                  <c:v>18.600000000000001</c:v>
                </c:pt>
                <c:pt idx="1">
                  <c:v>20.399999999999999</c:v>
                </c:pt>
                <c:pt idx="2">
                  <c:v>18.100000000000001</c:v>
                </c:pt>
                <c:pt idx="3">
                  <c:v>20.399999999999999</c:v>
                </c:pt>
                <c:pt idx="4">
                  <c:v>21.7</c:v>
                </c:pt>
                <c:pt idx="5">
                  <c:v>22.9</c:v>
                </c:pt>
                <c:pt idx="6">
                  <c:v>21.7</c:v>
                </c:pt>
              </c:numCache>
            </c:numRef>
          </c:val>
          <c:extLst>
            <c:ext xmlns:c16="http://schemas.microsoft.com/office/drawing/2014/chart" uri="{C3380CC4-5D6E-409C-BE32-E72D297353CC}">
              <c16:uniqueId val="{00000001-6119-4F5E-8142-9F5649624702}"/>
            </c:ext>
          </c:extLst>
        </c:ser>
        <c:ser>
          <c:idx val="2"/>
          <c:order val="2"/>
          <c:tx>
            <c:strRef>
              <c:f>Лист1!$D$1</c:f>
              <c:strCache>
                <c:ptCount val="1"/>
                <c:pt idx="0">
                  <c:v>женщины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2006</c:v>
                </c:pt>
                <c:pt idx="1">
                  <c:v>2008</c:v>
                </c:pt>
                <c:pt idx="2">
                  <c:v>2010</c:v>
                </c:pt>
                <c:pt idx="3">
                  <c:v>2012</c:v>
                </c:pt>
                <c:pt idx="4">
                  <c:v>2014</c:v>
                </c:pt>
                <c:pt idx="5">
                  <c:v>2016</c:v>
                </c:pt>
                <c:pt idx="6">
                  <c:v>2018</c:v>
                </c:pt>
              </c:numCache>
            </c:numRef>
          </c:cat>
          <c:val>
            <c:numRef>
              <c:f>Лист1!$D$2:$D$8</c:f>
              <c:numCache>
                <c:formatCode>General</c:formatCode>
                <c:ptCount val="7"/>
                <c:pt idx="0">
                  <c:v>17.8</c:v>
                </c:pt>
                <c:pt idx="1">
                  <c:v>18.600000000000001</c:v>
                </c:pt>
                <c:pt idx="2">
                  <c:v>14.7</c:v>
                </c:pt>
                <c:pt idx="3">
                  <c:v>17.600000000000001</c:v>
                </c:pt>
                <c:pt idx="4">
                  <c:v>18.5</c:v>
                </c:pt>
                <c:pt idx="5">
                  <c:v>19.399999999999999</c:v>
                </c:pt>
                <c:pt idx="6">
                  <c:v>18.399999999999999</c:v>
                </c:pt>
              </c:numCache>
            </c:numRef>
          </c:val>
          <c:extLst>
            <c:ext xmlns:c16="http://schemas.microsoft.com/office/drawing/2014/chart" uri="{C3380CC4-5D6E-409C-BE32-E72D297353CC}">
              <c16:uniqueId val="{00000002-6119-4F5E-8142-9F5649624702}"/>
            </c:ext>
          </c:extLst>
        </c:ser>
        <c:dLbls>
          <c:showLegendKey val="0"/>
          <c:showVal val="1"/>
          <c:showCatName val="0"/>
          <c:showSerName val="0"/>
          <c:showPercent val="0"/>
          <c:showBubbleSize val="0"/>
        </c:dLbls>
        <c:gapWidth val="219"/>
        <c:overlap val="-27"/>
        <c:axId val="111341952"/>
        <c:axId val="111343488"/>
      </c:barChart>
      <c:catAx>
        <c:axId val="11134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343488"/>
        <c:crosses val="autoZero"/>
        <c:auto val="1"/>
        <c:lblAlgn val="ctr"/>
        <c:lblOffset val="100"/>
        <c:noMultiLvlLbl val="0"/>
      </c:catAx>
      <c:valAx>
        <c:axId val="11134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341952"/>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solidFill>
                  <a:sysClr val="windowText" lastClr="000000"/>
                </a:solidFill>
              </a:rPr>
              <a:t>Наибольшая доля занятых</a:t>
            </a:r>
            <a:r>
              <a:rPr lang="ru-RU" baseline="0">
                <a:solidFill>
                  <a:sysClr val="windowText" lastClr="000000"/>
                </a:solidFill>
              </a:rPr>
              <a:t> в неформальном секторе по регионам</a:t>
            </a:r>
            <a:endParaRPr lang="ru-RU">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  от общего числа занятых</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Севастопроль</c:v>
                </c:pt>
                <c:pt idx="1">
                  <c:v>Ставропольский край</c:v>
                </c:pt>
                <c:pt idx="2">
                  <c:v>Крым</c:v>
                </c:pt>
                <c:pt idx="3">
                  <c:v>Ингушетия</c:v>
                </c:pt>
                <c:pt idx="4">
                  <c:v>Дагестан</c:v>
                </c:pt>
                <c:pt idx="5">
                  <c:v>Чеченя</c:v>
                </c:pt>
              </c:strCache>
            </c:strRef>
          </c:cat>
          <c:val>
            <c:numRef>
              <c:f>Лист1!$B$2:$B$7</c:f>
              <c:numCache>
                <c:formatCode>0%</c:formatCode>
                <c:ptCount val="6"/>
                <c:pt idx="0">
                  <c:v>0.34</c:v>
                </c:pt>
                <c:pt idx="1">
                  <c:v>0.35000000000000031</c:v>
                </c:pt>
                <c:pt idx="2">
                  <c:v>0.38000000000000067</c:v>
                </c:pt>
                <c:pt idx="3">
                  <c:v>0.48000000000000032</c:v>
                </c:pt>
                <c:pt idx="4">
                  <c:v>0.52</c:v>
                </c:pt>
                <c:pt idx="5">
                  <c:v>0.64000000000000135</c:v>
                </c:pt>
              </c:numCache>
            </c:numRef>
          </c:val>
          <c:extLst>
            <c:ext xmlns:c16="http://schemas.microsoft.com/office/drawing/2014/chart" uri="{C3380CC4-5D6E-409C-BE32-E72D297353CC}">
              <c16:uniqueId val="{00000000-507E-4835-959C-CEBD9BBA8DC0}"/>
            </c:ext>
          </c:extLst>
        </c:ser>
        <c:dLbls>
          <c:showLegendKey val="0"/>
          <c:showVal val="1"/>
          <c:showCatName val="0"/>
          <c:showSerName val="0"/>
          <c:showPercent val="0"/>
          <c:showBubbleSize val="0"/>
        </c:dLbls>
        <c:gapWidth val="65"/>
        <c:axId val="97564544"/>
        <c:axId val="97566080"/>
      </c:barChart>
      <c:catAx>
        <c:axId val="975645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7566080"/>
        <c:crosses val="autoZero"/>
        <c:auto val="1"/>
        <c:lblAlgn val="ctr"/>
        <c:lblOffset val="100"/>
        <c:noMultiLvlLbl val="0"/>
      </c:catAx>
      <c:valAx>
        <c:axId val="975660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975645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безработицы в мире</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млн человек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2017</c:v>
                </c:pt>
                <c:pt idx="1">
                  <c:v>2018</c:v>
                </c:pt>
                <c:pt idx="2">
                  <c:v>2019 (прогноз)</c:v>
                </c:pt>
              </c:strCache>
            </c:strRef>
          </c:cat>
          <c:val>
            <c:numRef>
              <c:f>Лист1!$B$2:$B$4</c:f>
              <c:numCache>
                <c:formatCode>General</c:formatCode>
                <c:ptCount val="3"/>
                <c:pt idx="0">
                  <c:v>192.7</c:v>
                </c:pt>
                <c:pt idx="1">
                  <c:v>192.3</c:v>
                </c:pt>
                <c:pt idx="2">
                  <c:v>193.6</c:v>
                </c:pt>
              </c:numCache>
            </c:numRef>
          </c:val>
          <c:extLst>
            <c:ext xmlns:c16="http://schemas.microsoft.com/office/drawing/2014/chart" uri="{C3380CC4-5D6E-409C-BE32-E72D297353CC}">
              <c16:uniqueId val="{00000000-61CC-4864-B15D-25BBE70BABF3}"/>
            </c:ext>
          </c:extLst>
        </c:ser>
        <c:dLbls>
          <c:showLegendKey val="0"/>
          <c:showVal val="1"/>
          <c:showCatName val="0"/>
          <c:showSerName val="0"/>
          <c:showPercent val="0"/>
          <c:showBubbleSize val="0"/>
        </c:dLbls>
        <c:gapWidth val="100"/>
        <c:overlap val="-24"/>
        <c:axId val="111668608"/>
        <c:axId val="111707264"/>
      </c:barChart>
      <c:catAx>
        <c:axId val="1116686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1707264"/>
        <c:crosses val="autoZero"/>
        <c:auto val="1"/>
        <c:lblAlgn val="ctr"/>
        <c:lblOffset val="100"/>
        <c:noMultiLvlLbl val="0"/>
      </c:catAx>
      <c:valAx>
        <c:axId val="1117072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166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Черный список вузов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запрещен прием абитуриентов</c:v>
                </c:pt>
                <c:pt idx="1">
                  <c:v> лишены аккредитации</c:v>
                </c:pt>
                <c:pt idx="2">
                  <c:v>лишены лицензии</c:v>
                </c:pt>
                <c:pt idx="3">
                  <c:v>реорганизованы</c:v>
                </c:pt>
              </c:strCache>
            </c:strRef>
          </c:cat>
          <c:val>
            <c:numRef>
              <c:f>Лист1!$B$2:$B$5</c:f>
              <c:numCache>
                <c:formatCode>General</c:formatCode>
                <c:ptCount val="4"/>
                <c:pt idx="0">
                  <c:v>23</c:v>
                </c:pt>
                <c:pt idx="1">
                  <c:v>58</c:v>
                </c:pt>
                <c:pt idx="2">
                  <c:v>15</c:v>
                </c:pt>
                <c:pt idx="3">
                  <c:v>18</c:v>
                </c:pt>
              </c:numCache>
            </c:numRef>
          </c:val>
          <c:extLst>
            <c:ext xmlns:c16="http://schemas.microsoft.com/office/drawing/2014/chart" uri="{C3380CC4-5D6E-409C-BE32-E72D297353CC}">
              <c16:uniqueId val="{00000000-9D08-4189-B16B-ED3B0DDBBD82}"/>
            </c:ext>
          </c:extLst>
        </c:ser>
        <c:dLbls>
          <c:showLegendKey val="0"/>
          <c:showVal val="1"/>
          <c:showCatName val="0"/>
          <c:showSerName val="0"/>
          <c:showPercent val="0"/>
          <c:showBubbleSize val="0"/>
        </c:dLbls>
        <c:gapWidth val="75"/>
        <c:shape val="cylinder"/>
        <c:axId val="76108160"/>
        <c:axId val="76109696"/>
        <c:axId val="0"/>
      </c:bar3DChart>
      <c:catAx>
        <c:axId val="76108160"/>
        <c:scaling>
          <c:orientation val="minMax"/>
        </c:scaling>
        <c:delete val="0"/>
        <c:axPos val="b"/>
        <c:numFmt formatCode="General" sourceLinked="0"/>
        <c:majorTickMark val="none"/>
        <c:minorTickMark val="none"/>
        <c:tickLblPos val="nextTo"/>
        <c:crossAx val="76109696"/>
        <c:crosses val="autoZero"/>
        <c:auto val="1"/>
        <c:lblAlgn val="ctr"/>
        <c:lblOffset val="100"/>
        <c:noMultiLvlLbl val="0"/>
      </c:catAx>
      <c:valAx>
        <c:axId val="76109696"/>
        <c:scaling>
          <c:orientation val="minMax"/>
        </c:scaling>
        <c:delete val="0"/>
        <c:axPos val="l"/>
        <c:numFmt formatCode="General" sourceLinked="1"/>
        <c:majorTickMark val="none"/>
        <c:minorTickMark val="none"/>
        <c:tickLblPos val="nextTo"/>
        <c:crossAx val="7610816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D275-3DEE-4C75-9FE5-D65BD2C6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4116</Words>
  <Characters>23466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23</cp:revision>
  <cp:lastPrinted>2019-05-07T14:33:00Z</cp:lastPrinted>
  <dcterms:created xsi:type="dcterms:W3CDTF">2019-03-16T13:37:00Z</dcterms:created>
  <dcterms:modified xsi:type="dcterms:W3CDTF">2019-06-02T13:03:00Z</dcterms:modified>
</cp:coreProperties>
</file>