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A" w:rsidRDefault="004B284D" w:rsidP="000342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Мусихина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Ревазова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Черепанина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717A99" w:rsidRPr="0003421A" w:rsidRDefault="00717A99" w:rsidP="000342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proofErr w:type="spellStart"/>
      <w:r w:rsidRPr="00717A99">
        <w:rPr>
          <w:rFonts w:ascii="Times New Roman" w:hAnsi="Times New Roman" w:cs="Times New Roman"/>
          <w:b/>
          <w:color w:val="000000"/>
          <w:sz w:val="28"/>
          <w:szCs w:val="28"/>
        </w:rPr>
        <w:t>к.п.н</w:t>
      </w:r>
      <w:proofErr w:type="spellEnd"/>
      <w:r w:rsidRPr="00717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., доцент </w:t>
      </w:r>
      <w:proofErr w:type="spellStart"/>
      <w:r w:rsidRPr="00717A99">
        <w:rPr>
          <w:rFonts w:ascii="Times New Roman" w:hAnsi="Times New Roman" w:cs="Times New Roman"/>
          <w:b/>
          <w:color w:val="000000"/>
          <w:sz w:val="28"/>
          <w:szCs w:val="28"/>
        </w:rPr>
        <w:t>Рябкова</w:t>
      </w:r>
      <w:proofErr w:type="spellEnd"/>
      <w:r w:rsidRPr="00717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B284D" w:rsidRDefault="004B284D" w:rsidP="004B28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Государственный университет «Дубна»</w:t>
      </w:r>
    </w:p>
    <w:p w:rsidR="005E48D4" w:rsidRPr="00FA4D15" w:rsidRDefault="00167E6A" w:rsidP="004B28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15">
        <w:rPr>
          <w:rFonts w:ascii="Times New Roman" w:hAnsi="Times New Roman" w:cs="Times New Roman"/>
          <w:b/>
          <w:sz w:val="28"/>
          <w:szCs w:val="28"/>
        </w:rPr>
        <w:t>К</w:t>
      </w:r>
      <w:r w:rsidR="0003421A">
        <w:rPr>
          <w:rFonts w:ascii="Times New Roman" w:hAnsi="Times New Roman" w:cs="Times New Roman"/>
          <w:b/>
          <w:sz w:val="28"/>
          <w:szCs w:val="28"/>
        </w:rPr>
        <w:t>ОРРЕЛЯЦИОННЫЙ АНАЛИЗ ФАКТОРОВ, ВЛИЯЮЩИХ НА ДЕМОГРАФИЧЕСКИЕ ПРОЦЕССЫ В РОССИЙСКОЙ ФЕДЕРА</w:t>
      </w:r>
      <w:r w:rsidR="00885CFD">
        <w:rPr>
          <w:rFonts w:ascii="Times New Roman" w:hAnsi="Times New Roman" w:cs="Times New Roman"/>
          <w:b/>
          <w:sz w:val="28"/>
          <w:szCs w:val="28"/>
        </w:rPr>
        <w:t>ЦИИ НА СОВРЕМЕННОМ ЭТАПЕ РАЗВИТ</w:t>
      </w:r>
      <w:r w:rsidR="0003421A">
        <w:rPr>
          <w:rFonts w:ascii="Times New Roman" w:hAnsi="Times New Roman" w:cs="Times New Roman"/>
          <w:b/>
          <w:sz w:val="28"/>
          <w:szCs w:val="28"/>
        </w:rPr>
        <w:t>И</w:t>
      </w:r>
      <w:r w:rsidR="00885CFD">
        <w:rPr>
          <w:rFonts w:ascii="Times New Roman" w:hAnsi="Times New Roman" w:cs="Times New Roman"/>
          <w:b/>
          <w:sz w:val="28"/>
          <w:szCs w:val="28"/>
        </w:rPr>
        <w:t>Я</w:t>
      </w:r>
    </w:p>
    <w:p w:rsidR="00167E6A" w:rsidRPr="004B284D" w:rsidRDefault="00167E6A" w:rsidP="004B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284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4B284D">
        <w:rPr>
          <w:rFonts w:ascii="Times New Roman" w:hAnsi="Times New Roman" w:cs="Times New Roman"/>
          <w:b/>
          <w:sz w:val="28"/>
          <w:szCs w:val="28"/>
        </w:rPr>
        <w:t>.</w:t>
      </w:r>
      <w:r w:rsidRPr="004B284D">
        <w:rPr>
          <w:rFonts w:ascii="Times New Roman" w:hAnsi="Times New Roman" w:cs="Times New Roman"/>
          <w:sz w:val="28"/>
          <w:szCs w:val="28"/>
        </w:rPr>
        <w:t xml:space="preserve"> </w:t>
      </w:r>
      <w:r w:rsidR="0003421A">
        <w:rPr>
          <w:rFonts w:ascii="Times New Roman" w:hAnsi="Times New Roman" w:cs="Times New Roman"/>
          <w:sz w:val="28"/>
          <w:szCs w:val="28"/>
        </w:rPr>
        <w:t xml:space="preserve">В статье раскрываются демографические </w:t>
      </w:r>
      <w:r w:rsidRPr="004B284D">
        <w:rPr>
          <w:rFonts w:ascii="Times New Roman" w:hAnsi="Times New Roman" w:cs="Times New Roman"/>
          <w:sz w:val="28"/>
          <w:szCs w:val="28"/>
        </w:rPr>
        <w:t xml:space="preserve">процессы в России на современном этапе развития. На основании анализа статистических данных были </w:t>
      </w:r>
      <w:r w:rsidR="0003421A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Pr="004B284D">
        <w:rPr>
          <w:rFonts w:ascii="Times New Roman" w:hAnsi="Times New Roman" w:cs="Times New Roman"/>
          <w:sz w:val="28"/>
          <w:szCs w:val="28"/>
        </w:rPr>
        <w:t>факторы, влияющие на естественное и механическое движение населения.</w:t>
      </w:r>
    </w:p>
    <w:p w:rsidR="00076C4D" w:rsidRDefault="00167E6A" w:rsidP="004B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84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4B284D">
        <w:rPr>
          <w:rFonts w:ascii="Times New Roman" w:hAnsi="Times New Roman" w:cs="Times New Roman"/>
          <w:sz w:val="28"/>
          <w:szCs w:val="28"/>
        </w:rPr>
        <w:t xml:space="preserve"> </w:t>
      </w:r>
      <w:r w:rsidRPr="00FA4D15">
        <w:rPr>
          <w:rFonts w:ascii="Times New Roman" w:hAnsi="Times New Roman" w:cs="Times New Roman"/>
          <w:sz w:val="28"/>
          <w:szCs w:val="28"/>
        </w:rPr>
        <w:t>демографич</w:t>
      </w:r>
      <w:r w:rsidR="004B284D">
        <w:rPr>
          <w:rFonts w:ascii="Times New Roman" w:hAnsi="Times New Roman" w:cs="Times New Roman"/>
          <w:sz w:val="28"/>
          <w:szCs w:val="28"/>
        </w:rPr>
        <w:t xml:space="preserve">еские процессы, рождаемость, смертность, эмиграция, </w:t>
      </w:r>
      <w:r w:rsidRPr="00FA4D15">
        <w:rPr>
          <w:rFonts w:ascii="Times New Roman" w:hAnsi="Times New Roman" w:cs="Times New Roman"/>
          <w:sz w:val="28"/>
          <w:szCs w:val="28"/>
        </w:rPr>
        <w:t>иммигра</w:t>
      </w:r>
      <w:r w:rsidR="004B284D">
        <w:rPr>
          <w:rFonts w:ascii="Times New Roman" w:hAnsi="Times New Roman" w:cs="Times New Roman"/>
          <w:sz w:val="28"/>
          <w:szCs w:val="28"/>
        </w:rPr>
        <w:t>ция, естественное движение, механическое движение</w:t>
      </w:r>
      <w:r w:rsidRPr="00FA4D15">
        <w:rPr>
          <w:rFonts w:ascii="Times New Roman" w:hAnsi="Times New Roman" w:cs="Times New Roman"/>
          <w:sz w:val="28"/>
          <w:szCs w:val="28"/>
        </w:rPr>
        <w:t>,</w:t>
      </w:r>
      <w:r w:rsidR="004B284D">
        <w:rPr>
          <w:rFonts w:ascii="Times New Roman" w:hAnsi="Times New Roman" w:cs="Times New Roman"/>
          <w:sz w:val="28"/>
          <w:szCs w:val="28"/>
        </w:rPr>
        <w:t xml:space="preserve"> </w:t>
      </w:r>
      <w:r w:rsidRPr="00FA4D15">
        <w:rPr>
          <w:rFonts w:ascii="Times New Roman" w:hAnsi="Times New Roman" w:cs="Times New Roman"/>
          <w:sz w:val="28"/>
          <w:szCs w:val="28"/>
        </w:rPr>
        <w:t>корреляционный м</w:t>
      </w:r>
      <w:r w:rsidR="004B284D">
        <w:rPr>
          <w:rFonts w:ascii="Times New Roman" w:hAnsi="Times New Roman" w:cs="Times New Roman"/>
          <w:sz w:val="28"/>
          <w:szCs w:val="28"/>
        </w:rPr>
        <w:t>етод, население, демография</w:t>
      </w:r>
      <w:r w:rsidRPr="00FA4D15">
        <w:rPr>
          <w:rFonts w:ascii="Times New Roman" w:hAnsi="Times New Roman" w:cs="Times New Roman"/>
          <w:sz w:val="28"/>
          <w:szCs w:val="28"/>
        </w:rPr>
        <w:t>.</w:t>
      </w:r>
      <w:r w:rsidR="00076C4D" w:rsidRPr="00076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6C4D" w:rsidRDefault="00076C4D" w:rsidP="004B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5">
        <w:rPr>
          <w:rFonts w:ascii="Times New Roman" w:hAnsi="Times New Roman" w:cs="Times New Roman"/>
          <w:sz w:val="28"/>
          <w:szCs w:val="28"/>
        </w:rPr>
        <w:t>Целью данной работы является исследование демографической ситуации в Российской Федерации за последнее десятилетие при помощи эконом</w:t>
      </w:r>
      <w:r>
        <w:rPr>
          <w:rFonts w:ascii="Times New Roman" w:hAnsi="Times New Roman" w:cs="Times New Roman"/>
          <w:sz w:val="28"/>
          <w:szCs w:val="28"/>
        </w:rPr>
        <w:t>ико-статистических методов.</w:t>
      </w:r>
    </w:p>
    <w:p w:rsidR="00076C4D" w:rsidRDefault="00076C4D" w:rsidP="004B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FA4D15">
        <w:rPr>
          <w:rFonts w:ascii="Times New Roman" w:hAnsi="Times New Roman" w:cs="Times New Roman"/>
          <w:sz w:val="28"/>
          <w:szCs w:val="28"/>
        </w:rPr>
        <w:t xml:space="preserve"> 25 лет наблюдается острая демографическая проблема. Не позаботившись о трудовых ресурсах 90-ые года,</w:t>
      </w:r>
      <w:r w:rsidR="0003421A" w:rsidRPr="0003421A">
        <w:rPr>
          <w:rFonts w:ascii="Times New Roman" w:hAnsi="Times New Roman" w:cs="Times New Roman"/>
          <w:sz w:val="28"/>
          <w:szCs w:val="28"/>
        </w:rPr>
        <w:t xml:space="preserve"> </w:t>
      </w:r>
      <w:r w:rsidRPr="00FA4D15">
        <w:rPr>
          <w:rFonts w:ascii="Times New Roman" w:hAnsi="Times New Roman" w:cs="Times New Roman"/>
          <w:sz w:val="28"/>
          <w:szCs w:val="28"/>
        </w:rPr>
        <w:t>Россия сегодня переживает уже четвертый экономический кризис. Демографическая ситуация играет важную роль в развитии нашей страны, т.к. она является необходимым условием обеспечения национальной безопасности, повышением уровня жизни населения, сохранности традиций и истории нашей многонациональной страны.</w:t>
      </w:r>
    </w:p>
    <w:p w:rsidR="00076C4D" w:rsidRDefault="00076C4D" w:rsidP="004B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5">
        <w:rPr>
          <w:rFonts w:ascii="Times New Roman" w:hAnsi="Times New Roman" w:cs="Times New Roman"/>
          <w:sz w:val="28"/>
          <w:szCs w:val="28"/>
        </w:rPr>
        <w:t>Пик населения России пришелся на 1993 год и составил 148 561 694 человек, а по данным переписи населения 2010 года численность нашей страны составила 142</w:t>
      </w:r>
      <w:r w:rsidR="0003421A">
        <w:rPr>
          <w:rFonts w:ascii="Times New Roman" w:hAnsi="Times New Roman" w:cs="Times New Roman"/>
          <w:sz w:val="28"/>
          <w:szCs w:val="28"/>
        </w:rPr>
        <w:t xml:space="preserve"> 905 200 человек, т.е. в течение</w:t>
      </w:r>
      <w:r w:rsidRPr="00FA4D15">
        <w:rPr>
          <w:rFonts w:ascii="Times New Roman" w:hAnsi="Times New Roman" w:cs="Times New Roman"/>
          <w:sz w:val="28"/>
          <w:szCs w:val="28"/>
        </w:rPr>
        <w:t xml:space="preserve"> 17 лет мы переживали убыль населения. Данные о динамике смертности и рождаемости РФ представлены на рисунке 1.</w:t>
      </w:r>
    </w:p>
    <w:p w:rsidR="00076C4D" w:rsidRPr="00FA4D15" w:rsidRDefault="00076C4D" w:rsidP="004B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8D4" w:rsidRPr="00FA4D15" w:rsidRDefault="00ED0FE4" w:rsidP="00034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D1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2150" cy="3317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3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06" w:rsidRPr="0003421A" w:rsidRDefault="0003421A" w:rsidP="000342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12B06" w:rsidRPr="0003421A">
        <w:rPr>
          <w:rFonts w:ascii="Times New Roman" w:hAnsi="Times New Roman" w:cs="Times New Roman"/>
          <w:sz w:val="28"/>
          <w:szCs w:val="28"/>
        </w:rPr>
        <w:t>1. Динамика рождаемости и смертности в РФ</w:t>
      </w:r>
    </w:p>
    <w:p w:rsidR="009608D4" w:rsidRPr="00FA4D15" w:rsidRDefault="009608D4" w:rsidP="004B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5">
        <w:rPr>
          <w:rFonts w:ascii="Times New Roman" w:hAnsi="Times New Roman" w:cs="Times New Roman"/>
          <w:sz w:val="28"/>
          <w:szCs w:val="28"/>
        </w:rPr>
        <w:t xml:space="preserve">В 2012 году образовался так называемый «демографический крест», после которого </w:t>
      </w:r>
      <w:r w:rsidR="007E4FA4" w:rsidRPr="00FA4D15">
        <w:rPr>
          <w:rFonts w:ascii="Times New Roman" w:hAnsi="Times New Roman" w:cs="Times New Roman"/>
          <w:sz w:val="28"/>
          <w:szCs w:val="28"/>
        </w:rPr>
        <w:t>рождаемость превысила смертность</w:t>
      </w:r>
      <w:r w:rsidRPr="00FA4D15">
        <w:rPr>
          <w:rFonts w:ascii="Times New Roman" w:hAnsi="Times New Roman" w:cs="Times New Roman"/>
          <w:sz w:val="28"/>
          <w:szCs w:val="28"/>
        </w:rPr>
        <w:t>. Подтверждением этого являются слова председателя Гос</w:t>
      </w:r>
      <w:r w:rsidR="007E4FA4" w:rsidRPr="00FA4D15">
        <w:rPr>
          <w:rFonts w:ascii="Times New Roman" w:hAnsi="Times New Roman" w:cs="Times New Roman"/>
          <w:sz w:val="28"/>
          <w:szCs w:val="28"/>
        </w:rPr>
        <w:t>ударственной Думы РФ</w:t>
      </w:r>
      <w:r w:rsidR="00076C4D">
        <w:rPr>
          <w:rFonts w:ascii="Times New Roman" w:hAnsi="Times New Roman" w:cs="Times New Roman"/>
          <w:sz w:val="28"/>
          <w:szCs w:val="28"/>
        </w:rPr>
        <w:t xml:space="preserve"> </w:t>
      </w:r>
      <w:r w:rsidRPr="00FA4D15">
        <w:rPr>
          <w:rFonts w:ascii="Times New Roman" w:hAnsi="Times New Roman" w:cs="Times New Roman"/>
          <w:sz w:val="28"/>
          <w:szCs w:val="28"/>
        </w:rPr>
        <w:t>С</w:t>
      </w:r>
      <w:r w:rsidR="007E4FA4" w:rsidRPr="00FA4D15">
        <w:rPr>
          <w:rFonts w:ascii="Times New Roman" w:hAnsi="Times New Roman" w:cs="Times New Roman"/>
          <w:sz w:val="28"/>
          <w:szCs w:val="28"/>
        </w:rPr>
        <w:t>.</w:t>
      </w:r>
      <w:r w:rsidR="0007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FA4" w:rsidRPr="00FA4D15">
        <w:rPr>
          <w:rFonts w:ascii="Times New Roman" w:hAnsi="Times New Roman" w:cs="Times New Roman"/>
          <w:sz w:val="28"/>
          <w:szCs w:val="28"/>
        </w:rPr>
        <w:t>Е.</w:t>
      </w:r>
      <w:r w:rsidRPr="00FA4D15">
        <w:rPr>
          <w:rFonts w:ascii="Times New Roman" w:hAnsi="Times New Roman" w:cs="Times New Roman"/>
          <w:sz w:val="28"/>
          <w:szCs w:val="28"/>
        </w:rPr>
        <w:t>Нарышкина</w:t>
      </w:r>
      <w:proofErr w:type="spellEnd"/>
      <w:r w:rsidRPr="00FA4D15">
        <w:rPr>
          <w:rFonts w:ascii="Times New Roman" w:hAnsi="Times New Roman" w:cs="Times New Roman"/>
          <w:sz w:val="28"/>
          <w:szCs w:val="28"/>
        </w:rPr>
        <w:t>: «Нам удалось за последние годы выбраться из довольно серьезной демографической ямы, которая многи</w:t>
      </w:r>
      <w:r w:rsidR="007E4FA4" w:rsidRPr="00FA4D15">
        <w:rPr>
          <w:rFonts w:ascii="Times New Roman" w:hAnsi="Times New Roman" w:cs="Times New Roman"/>
          <w:sz w:val="28"/>
          <w:szCs w:val="28"/>
        </w:rPr>
        <w:t>м казалась просто непреодолимой»</w:t>
      </w:r>
      <w:r w:rsidR="00A463AB" w:rsidRPr="00FA4D1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03421A">
        <w:rPr>
          <w:rFonts w:ascii="Times New Roman" w:hAnsi="Times New Roman" w:cs="Times New Roman"/>
          <w:sz w:val="28"/>
          <w:szCs w:val="28"/>
        </w:rPr>
        <w:t>.</w:t>
      </w:r>
    </w:p>
    <w:p w:rsidR="009608D4" w:rsidRPr="00FA4D15" w:rsidRDefault="007E4FA4" w:rsidP="004B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5">
        <w:rPr>
          <w:rFonts w:ascii="Times New Roman" w:hAnsi="Times New Roman" w:cs="Times New Roman"/>
          <w:sz w:val="28"/>
          <w:szCs w:val="28"/>
        </w:rPr>
        <w:t>Проанализировав</w:t>
      </w:r>
      <w:r w:rsidR="009608D4" w:rsidRPr="00FA4D15">
        <w:rPr>
          <w:rFonts w:ascii="Times New Roman" w:hAnsi="Times New Roman" w:cs="Times New Roman"/>
          <w:sz w:val="28"/>
          <w:szCs w:val="28"/>
        </w:rPr>
        <w:t xml:space="preserve"> динамику рождаемости и смертности, были выделены факторы, влияющие на естественное движение населения. При анализе использовался корреляционный метод, показывающий взаимосвязь между показателями.</w:t>
      </w:r>
    </w:p>
    <w:p w:rsidR="007E4FA4" w:rsidRPr="00FA4D15" w:rsidRDefault="007E4FA4" w:rsidP="004B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5">
        <w:rPr>
          <w:rFonts w:ascii="Times New Roman" w:hAnsi="Times New Roman" w:cs="Times New Roman"/>
          <w:sz w:val="28"/>
          <w:szCs w:val="28"/>
        </w:rPr>
        <w:t>ОТ 0 до +/- 0,3 – наблюдается слабая зависимость</w:t>
      </w:r>
    </w:p>
    <w:p w:rsidR="007E4FA4" w:rsidRPr="00FA4D15" w:rsidRDefault="007E4FA4" w:rsidP="004B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5">
        <w:rPr>
          <w:rFonts w:ascii="Times New Roman" w:hAnsi="Times New Roman" w:cs="Times New Roman"/>
          <w:sz w:val="28"/>
          <w:szCs w:val="28"/>
        </w:rPr>
        <w:t>ОТ +/-0,4 до +/-0,6 – наблюдается средняя зависимость</w:t>
      </w:r>
    </w:p>
    <w:p w:rsidR="007E4FA4" w:rsidRPr="00FA4D15" w:rsidRDefault="007E4FA4" w:rsidP="004B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5">
        <w:rPr>
          <w:rFonts w:ascii="Times New Roman" w:hAnsi="Times New Roman" w:cs="Times New Roman"/>
          <w:sz w:val="28"/>
          <w:szCs w:val="28"/>
        </w:rPr>
        <w:t>ОТ +/- 0,7 до +/- 1 – наблюдается сильная зависимость</w:t>
      </w:r>
    </w:p>
    <w:p w:rsidR="00316EA7" w:rsidRDefault="00316EA7" w:rsidP="0003421A">
      <w:pPr>
        <w:spacing w:after="0" w:line="360" w:lineRule="auto"/>
        <w:ind w:firstLine="709"/>
        <w:jc w:val="center"/>
        <w:rPr>
          <w:noProof/>
          <w:sz w:val="28"/>
          <w:szCs w:val="28"/>
          <w:lang w:eastAsia="ru-RU"/>
        </w:rPr>
      </w:pPr>
      <w:r w:rsidRPr="00316EA7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4904" cy="2977116"/>
            <wp:effectExtent l="19050" t="0" r="27246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6C4D" w:rsidRPr="00076C4D" w:rsidRDefault="0003421A" w:rsidP="000342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76C4D" w:rsidRPr="000342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6C4D" w:rsidRPr="0003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Динамика уровня </w:t>
      </w:r>
      <w:r w:rsidR="00316EA7">
        <w:rPr>
          <w:rFonts w:ascii="Times New Roman" w:hAnsi="Times New Roman" w:cs="Times New Roman"/>
          <w:sz w:val="28"/>
          <w:szCs w:val="28"/>
        </w:rPr>
        <w:t>чистого прожиточного минимума в РФ</w:t>
      </w:r>
    </w:p>
    <w:p w:rsidR="009608D4" w:rsidRPr="00FA4D15" w:rsidRDefault="007E4FA4" w:rsidP="004B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5">
        <w:rPr>
          <w:rFonts w:ascii="Times New Roman" w:hAnsi="Times New Roman" w:cs="Times New Roman"/>
          <w:sz w:val="28"/>
          <w:szCs w:val="28"/>
        </w:rPr>
        <w:t>П</w:t>
      </w:r>
      <w:r w:rsidR="009608D4" w:rsidRPr="00FA4D15">
        <w:rPr>
          <w:rFonts w:ascii="Times New Roman" w:hAnsi="Times New Roman" w:cs="Times New Roman"/>
          <w:sz w:val="28"/>
          <w:szCs w:val="28"/>
        </w:rPr>
        <w:t>ервы</w:t>
      </w:r>
      <w:r w:rsidRPr="00FA4D15">
        <w:rPr>
          <w:rFonts w:ascii="Times New Roman" w:hAnsi="Times New Roman" w:cs="Times New Roman"/>
          <w:sz w:val="28"/>
          <w:szCs w:val="28"/>
        </w:rPr>
        <w:t>й</w:t>
      </w:r>
      <w:r w:rsidR="009608D4" w:rsidRPr="00FA4D15">
        <w:rPr>
          <w:rFonts w:ascii="Times New Roman" w:hAnsi="Times New Roman" w:cs="Times New Roman"/>
          <w:sz w:val="28"/>
          <w:szCs w:val="28"/>
        </w:rPr>
        <w:t xml:space="preserve"> фактор</w:t>
      </w:r>
      <w:r w:rsidRPr="00FA4D15">
        <w:rPr>
          <w:rFonts w:ascii="Times New Roman" w:hAnsi="Times New Roman" w:cs="Times New Roman"/>
          <w:sz w:val="28"/>
          <w:szCs w:val="28"/>
        </w:rPr>
        <w:t>, влияющий на процесс рождаемости,</w:t>
      </w:r>
      <w:r w:rsidR="009608D4" w:rsidRPr="00FA4D1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06296" w:rsidRPr="00FA4D15">
        <w:rPr>
          <w:rFonts w:ascii="Times New Roman" w:hAnsi="Times New Roman" w:cs="Times New Roman"/>
          <w:sz w:val="28"/>
          <w:szCs w:val="28"/>
        </w:rPr>
        <w:t xml:space="preserve">чистый </w:t>
      </w:r>
      <w:r w:rsidR="009608D4" w:rsidRPr="00FA4D15">
        <w:rPr>
          <w:rFonts w:ascii="Times New Roman" w:hAnsi="Times New Roman" w:cs="Times New Roman"/>
          <w:sz w:val="28"/>
          <w:szCs w:val="28"/>
        </w:rPr>
        <w:t>прожиточный минимум</w:t>
      </w:r>
      <w:r w:rsidR="00A06296" w:rsidRPr="00FA4D15">
        <w:rPr>
          <w:rFonts w:ascii="Times New Roman" w:hAnsi="Times New Roman" w:cs="Times New Roman"/>
          <w:sz w:val="28"/>
          <w:szCs w:val="28"/>
        </w:rPr>
        <w:t xml:space="preserve"> (с учетом инфляции)</w:t>
      </w:r>
      <w:r w:rsidR="009608D4" w:rsidRPr="00FA4D15">
        <w:rPr>
          <w:rFonts w:ascii="Times New Roman" w:hAnsi="Times New Roman" w:cs="Times New Roman"/>
          <w:sz w:val="28"/>
          <w:szCs w:val="28"/>
        </w:rPr>
        <w:t xml:space="preserve">, </w:t>
      </w:r>
      <w:r w:rsidRPr="00FA4D15">
        <w:rPr>
          <w:rFonts w:ascii="Times New Roman" w:hAnsi="Times New Roman" w:cs="Times New Roman"/>
          <w:sz w:val="28"/>
          <w:szCs w:val="28"/>
        </w:rPr>
        <w:t>сказывающийся</w:t>
      </w:r>
      <w:r w:rsidR="009608D4" w:rsidRPr="00FA4D15">
        <w:rPr>
          <w:rFonts w:ascii="Times New Roman" w:hAnsi="Times New Roman" w:cs="Times New Roman"/>
          <w:sz w:val="28"/>
          <w:szCs w:val="28"/>
        </w:rPr>
        <w:t xml:space="preserve"> на благосостоянии каждого россиянина.</w:t>
      </w:r>
      <w:r w:rsidRPr="00FA4D15">
        <w:rPr>
          <w:rFonts w:ascii="Times New Roman" w:hAnsi="Times New Roman" w:cs="Times New Roman"/>
          <w:sz w:val="28"/>
          <w:szCs w:val="28"/>
        </w:rPr>
        <w:t xml:space="preserve"> Динамика прожиточного минимума представлена на ри</w:t>
      </w:r>
      <w:r w:rsidR="00A06296" w:rsidRPr="00FA4D15">
        <w:rPr>
          <w:rFonts w:ascii="Times New Roman" w:hAnsi="Times New Roman" w:cs="Times New Roman"/>
          <w:sz w:val="28"/>
          <w:szCs w:val="28"/>
        </w:rPr>
        <w:t>с</w:t>
      </w:r>
      <w:r w:rsidR="0003421A">
        <w:rPr>
          <w:rFonts w:ascii="Times New Roman" w:hAnsi="Times New Roman" w:cs="Times New Roman"/>
          <w:sz w:val="28"/>
          <w:szCs w:val="28"/>
        </w:rPr>
        <w:t xml:space="preserve">унке </w:t>
      </w:r>
      <w:r w:rsidRPr="00FA4D15">
        <w:rPr>
          <w:rFonts w:ascii="Times New Roman" w:hAnsi="Times New Roman" w:cs="Times New Roman"/>
          <w:sz w:val="28"/>
          <w:szCs w:val="28"/>
        </w:rPr>
        <w:t>2.</w:t>
      </w:r>
      <w:r w:rsidR="009608D4" w:rsidRPr="00FA4D15">
        <w:rPr>
          <w:rFonts w:ascii="Times New Roman" w:hAnsi="Times New Roman" w:cs="Times New Roman"/>
          <w:sz w:val="28"/>
          <w:szCs w:val="28"/>
        </w:rPr>
        <w:t xml:space="preserve"> Чем выше</w:t>
      </w:r>
      <w:r w:rsidR="00A06296" w:rsidRPr="00FA4D15">
        <w:rPr>
          <w:rFonts w:ascii="Times New Roman" w:hAnsi="Times New Roman" w:cs="Times New Roman"/>
          <w:sz w:val="28"/>
          <w:szCs w:val="28"/>
        </w:rPr>
        <w:t xml:space="preserve"> его размер</w:t>
      </w:r>
      <w:r w:rsidR="009608D4" w:rsidRPr="00FA4D15">
        <w:rPr>
          <w:rFonts w:ascii="Times New Roman" w:hAnsi="Times New Roman" w:cs="Times New Roman"/>
          <w:sz w:val="28"/>
          <w:szCs w:val="28"/>
        </w:rPr>
        <w:t xml:space="preserve">, тем </w:t>
      </w:r>
      <w:r w:rsidR="00A06296" w:rsidRPr="00FA4D15">
        <w:rPr>
          <w:rFonts w:ascii="Times New Roman" w:hAnsi="Times New Roman" w:cs="Times New Roman"/>
          <w:sz w:val="28"/>
          <w:szCs w:val="28"/>
        </w:rPr>
        <w:t xml:space="preserve">улучшается качество жизни населения. </w:t>
      </w:r>
      <w:r w:rsidR="00C70E90" w:rsidRPr="00FA4D15">
        <w:rPr>
          <w:rFonts w:ascii="Times New Roman" w:hAnsi="Times New Roman" w:cs="Times New Roman"/>
          <w:sz w:val="28"/>
          <w:szCs w:val="28"/>
        </w:rPr>
        <w:t xml:space="preserve"> При расчетах корреляционный коэффициент составил 0,97, что говорит о сильной взаимосвязи между рождаемостью и</w:t>
      </w:r>
      <w:r w:rsidR="00A06296" w:rsidRPr="00FA4D15">
        <w:rPr>
          <w:rFonts w:ascii="Times New Roman" w:hAnsi="Times New Roman" w:cs="Times New Roman"/>
          <w:sz w:val="28"/>
          <w:szCs w:val="28"/>
        </w:rPr>
        <w:t xml:space="preserve"> чистым </w:t>
      </w:r>
      <w:r w:rsidR="00C70E90" w:rsidRPr="00FA4D15">
        <w:rPr>
          <w:rFonts w:ascii="Times New Roman" w:hAnsi="Times New Roman" w:cs="Times New Roman"/>
          <w:sz w:val="28"/>
          <w:szCs w:val="28"/>
        </w:rPr>
        <w:t>прожиточным минимумом.</w:t>
      </w:r>
    </w:p>
    <w:p w:rsidR="00612B06" w:rsidRPr="00FA4D15" w:rsidRDefault="00A06296" w:rsidP="004B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5">
        <w:rPr>
          <w:rFonts w:ascii="Times New Roman" w:hAnsi="Times New Roman" w:cs="Times New Roman"/>
          <w:sz w:val="28"/>
          <w:szCs w:val="28"/>
        </w:rPr>
        <w:t>Следующим фактором является</w:t>
      </w:r>
      <w:r w:rsidR="00C70E90" w:rsidRPr="00FA4D15">
        <w:rPr>
          <w:rFonts w:ascii="Times New Roman" w:hAnsi="Times New Roman" w:cs="Times New Roman"/>
          <w:sz w:val="28"/>
          <w:szCs w:val="28"/>
        </w:rPr>
        <w:t xml:space="preserve"> безработица. </w:t>
      </w:r>
      <w:r w:rsidRPr="00FA4D15">
        <w:rPr>
          <w:rFonts w:ascii="Times New Roman" w:hAnsi="Times New Roman" w:cs="Times New Roman"/>
          <w:sz w:val="28"/>
          <w:szCs w:val="28"/>
        </w:rPr>
        <w:t>Сокращение уровня безработицы влечет за собой увеличение ВНП, и, как следствие, у населения появляется доход, благодаря которому появляется возможность обеспечить свою семью.</w:t>
      </w:r>
      <w:r w:rsidR="0003421A">
        <w:rPr>
          <w:rFonts w:ascii="Times New Roman" w:hAnsi="Times New Roman" w:cs="Times New Roman"/>
          <w:sz w:val="28"/>
          <w:szCs w:val="28"/>
        </w:rPr>
        <w:t xml:space="preserve"> </w:t>
      </w:r>
      <w:r w:rsidRPr="00FA4D15">
        <w:rPr>
          <w:rFonts w:ascii="Times New Roman" w:hAnsi="Times New Roman" w:cs="Times New Roman"/>
          <w:sz w:val="28"/>
          <w:szCs w:val="28"/>
        </w:rPr>
        <w:t xml:space="preserve">Взаимосвязь между показателями составила </w:t>
      </w:r>
      <w:r w:rsidR="00ED0FE4">
        <w:rPr>
          <w:rFonts w:ascii="Times New Roman" w:hAnsi="Times New Roman" w:cs="Times New Roman"/>
          <w:sz w:val="28"/>
          <w:szCs w:val="28"/>
        </w:rPr>
        <w:t>(-</w:t>
      </w:r>
      <w:r w:rsidR="00C70E90" w:rsidRPr="00FA4D15">
        <w:rPr>
          <w:rFonts w:ascii="Times New Roman" w:hAnsi="Times New Roman" w:cs="Times New Roman"/>
          <w:sz w:val="28"/>
          <w:szCs w:val="28"/>
        </w:rPr>
        <w:t>0,76).</w:t>
      </w:r>
      <w:r w:rsidR="00ED0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684" w:rsidRDefault="00A20684" w:rsidP="004B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4D" w:rsidRDefault="00842150" w:rsidP="00034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D1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7550" cy="3324860"/>
            <wp:effectExtent l="133350" t="133350" r="127000" b="14224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332486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316EA7" w:rsidRDefault="00316EA7" w:rsidP="00034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Динамика размера материнского капитала в РФ</w:t>
      </w:r>
    </w:p>
    <w:p w:rsidR="00437F1C" w:rsidRPr="00FA4D15" w:rsidRDefault="00437F1C" w:rsidP="004B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5">
        <w:rPr>
          <w:rFonts w:ascii="Times New Roman" w:hAnsi="Times New Roman" w:cs="Times New Roman"/>
          <w:sz w:val="28"/>
          <w:szCs w:val="28"/>
        </w:rPr>
        <w:t>В 60</w:t>
      </w:r>
      <w:r w:rsidR="00A06296" w:rsidRPr="00FA4D15">
        <w:rPr>
          <w:rFonts w:ascii="Times New Roman" w:hAnsi="Times New Roman" w:cs="Times New Roman"/>
          <w:sz w:val="28"/>
          <w:szCs w:val="28"/>
        </w:rPr>
        <w:t>-</w:t>
      </w:r>
      <w:r w:rsidRPr="00FA4D15">
        <w:rPr>
          <w:rFonts w:ascii="Times New Roman" w:hAnsi="Times New Roman" w:cs="Times New Roman"/>
          <w:sz w:val="28"/>
          <w:szCs w:val="28"/>
        </w:rPr>
        <w:t>ые года прошлого столетия сум</w:t>
      </w:r>
      <w:r w:rsidR="00A06296" w:rsidRPr="00FA4D15">
        <w:rPr>
          <w:rFonts w:ascii="Times New Roman" w:hAnsi="Times New Roman" w:cs="Times New Roman"/>
          <w:sz w:val="28"/>
          <w:szCs w:val="28"/>
        </w:rPr>
        <w:t>марный коэффициент рождаемости</w:t>
      </w:r>
      <w:r w:rsidRPr="00FA4D15">
        <w:rPr>
          <w:rFonts w:ascii="Times New Roman" w:hAnsi="Times New Roman" w:cs="Times New Roman"/>
          <w:sz w:val="28"/>
          <w:szCs w:val="28"/>
        </w:rPr>
        <w:t xml:space="preserve"> был равен 2,5, а в 2010-2015 годах </w:t>
      </w:r>
      <w:r w:rsidR="00A06296" w:rsidRPr="00FA4D15">
        <w:rPr>
          <w:rFonts w:ascii="Times New Roman" w:hAnsi="Times New Roman" w:cs="Times New Roman"/>
          <w:sz w:val="28"/>
          <w:szCs w:val="28"/>
        </w:rPr>
        <w:t xml:space="preserve">он сократился до </w:t>
      </w:r>
      <w:r w:rsidRPr="00FA4D15">
        <w:rPr>
          <w:rFonts w:ascii="Times New Roman" w:hAnsi="Times New Roman" w:cs="Times New Roman"/>
          <w:sz w:val="28"/>
          <w:szCs w:val="28"/>
        </w:rPr>
        <w:t>1,7.</w:t>
      </w:r>
      <w:r w:rsidR="00EC24D2" w:rsidRPr="00FA4D15">
        <w:rPr>
          <w:rFonts w:ascii="Times New Roman" w:hAnsi="Times New Roman" w:cs="Times New Roman"/>
          <w:sz w:val="28"/>
          <w:szCs w:val="28"/>
        </w:rPr>
        <w:t xml:space="preserve"> Правительство РФ предприняло попытку повысить данный показатель с помощью внедрения целевой федеральной программы «Материнский капитал», которая была введена в 2007 году.</w:t>
      </w:r>
      <w:r w:rsidR="00316EA7">
        <w:rPr>
          <w:rFonts w:ascii="Times New Roman" w:hAnsi="Times New Roman" w:cs="Times New Roman"/>
          <w:sz w:val="28"/>
          <w:szCs w:val="28"/>
        </w:rPr>
        <w:t xml:space="preserve"> </w:t>
      </w:r>
      <w:r w:rsidR="00EC24D2" w:rsidRPr="00FA4D15">
        <w:rPr>
          <w:rFonts w:ascii="Times New Roman" w:hAnsi="Times New Roman" w:cs="Times New Roman"/>
          <w:sz w:val="28"/>
          <w:szCs w:val="28"/>
        </w:rPr>
        <w:t>Поэтому следующим</w:t>
      </w:r>
      <w:r w:rsidRPr="00FA4D15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EC24D2" w:rsidRPr="00FA4D15">
        <w:rPr>
          <w:rFonts w:ascii="Times New Roman" w:hAnsi="Times New Roman" w:cs="Times New Roman"/>
          <w:sz w:val="28"/>
          <w:szCs w:val="28"/>
        </w:rPr>
        <w:t>ом, влияющим</w:t>
      </w:r>
      <w:r w:rsidRPr="00FA4D15">
        <w:rPr>
          <w:rFonts w:ascii="Times New Roman" w:hAnsi="Times New Roman" w:cs="Times New Roman"/>
          <w:sz w:val="28"/>
          <w:szCs w:val="28"/>
        </w:rPr>
        <w:t xml:space="preserve"> на е</w:t>
      </w:r>
      <w:r w:rsidR="00EC24D2" w:rsidRPr="00FA4D15">
        <w:rPr>
          <w:rFonts w:ascii="Times New Roman" w:hAnsi="Times New Roman" w:cs="Times New Roman"/>
          <w:sz w:val="28"/>
          <w:szCs w:val="28"/>
        </w:rPr>
        <w:t>стественное движение в России, является</w:t>
      </w:r>
      <w:r w:rsidRPr="00FA4D15">
        <w:rPr>
          <w:rFonts w:ascii="Times New Roman" w:hAnsi="Times New Roman" w:cs="Times New Roman"/>
          <w:sz w:val="28"/>
          <w:szCs w:val="28"/>
        </w:rPr>
        <w:t xml:space="preserve"> материнский капитал. В период действия </w:t>
      </w:r>
      <w:r w:rsidR="00EC24D2" w:rsidRPr="00FA4D15">
        <w:rPr>
          <w:rFonts w:ascii="Times New Roman" w:hAnsi="Times New Roman" w:cs="Times New Roman"/>
          <w:sz w:val="28"/>
          <w:szCs w:val="28"/>
        </w:rPr>
        <w:t>данной программы суммарный коэффициент</w:t>
      </w:r>
      <w:r w:rsidRPr="00FA4D15">
        <w:rPr>
          <w:rFonts w:ascii="Times New Roman" w:hAnsi="Times New Roman" w:cs="Times New Roman"/>
          <w:sz w:val="28"/>
          <w:szCs w:val="28"/>
        </w:rPr>
        <w:t xml:space="preserve"> рождаемости вырос на 29%. </w:t>
      </w:r>
      <w:r w:rsidR="00EC24D2" w:rsidRPr="00FA4D15">
        <w:rPr>
          <w:rFonts w:ascii="Times New Roman" w:hAnsi="Times New Roman" w:cs="Times New Roman"/>
          <w:sz w:val="28"/>
          <w:szCs w:val="28"/>
        </w:rPr>
        <w:t>В</w:t>
      </w:r>
      <w:r w:rsidRPr="00FA4D15">
        <w:rPr>
          <w:rFonts w:ascii="Times New Roman" w:hAnsi="Times New Roman" w:cs="Times New Roman"/>
          <w:sz w:val="28"/>
          <w:szCs w:val="28"/>
        </w:rPr>
        <w:t xml:space="preserve">веденная мера регулирования демографической ситуации </w:t>
      </w:r>
      <w:r w:rsidR="00EC24D2" w:rsidRPr="00FA4D15">
        <w:rPr>
          <w:rFonts w:ascii="Times New Roman" w:hAnsi="Times New Roman" w:cs="Times New Roman"/>
          <w:sz w:val="28"/>
          <w:szCs w:val="28"/>
        </w:rPr>
        <w:t>оправдала свои ожидания и оказалась эффективной</w:t>
      </w:r>
      <w:r w:rsidRPr="00FA4D15">
        <w:rPr>
          <w:rFonts w:ascii="Times New Roman" w:hAnsi="Times New Roman" w:cs="Times New Roman"/>
          <w:sz w:val="28"/>
          <w:szCs w:val="28"/>
        </w:rPr>
        <w:t>, корреляци</w:t>
      </w:r>
      <w:r w:rsidR="00EC24D2" w:rsidRPr="00FA4D15">
        <w:rPr>
          <w:rFonts w:ascii="Times New Roman" w:hAnsi="Times New Roman" w:cs="Times New Roman"/>
          <w:sz w:val="28"/>
          <w:szCs w:val="28"/>
        </w:rPr>
        <w:t>онный показатель составил 0,97.</w:t>
      </w:r>
      <w:r w:rsidR="00842150" w:rsidRPr="00FA4D15">
        <w:rPr>
          <w:rFonts w:ascii="Times New Roman" w:hAnsi="Times New Roman" w:cs="Times New Roman"/>
          <w:sz w:val="28"/>
          <w:szCs w:val="28"/>
        </w:rPr>
        <w:t xml:space="preserve"> Динамика размера материнско</w:t>
      </w:r>
      <w:r w:rsidR="00316EA7">
        <w:rPr>
          <w:rFonts w:ascii="Times New Roman" w:hAnsi="Times New Roman" w:cs="Times New Roman"/>
          <w:sz w:val="28"/>
          <w:szCs w:val="28"/>
        </w:rPr>
        <w:t>го капитала представлена на рисунке 3.</w:t>
      </w:r>
    </w:p>
    <w:p w:rsidR="00C70E90" w:rsidRPr="00FA4D15" w:rsidRDefault="00842150" w:rsidP="004B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5">
        <w:rPr>
          <w:rFonts w:ascii="Times New Roman" w:hAnsi="Times New Roman" w:cs="Times New Roman"/>
          <w:sz w:val="28"/>
          <w:szCs w:val="28"/>
        </w:rPr>
        <w:t>Влияние на смертность оказывают такие факторы как:</w:t>
      </w:r>
    </w:p>
    <w:p w:rsidR="00C139F3" w:rsidRDefault="00C70E90" w:rsidP="00316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15">
        <w:rPr>
          <w:rFonts w:ascii="Times New Roman" w:hAnsi="Times New Roman" w:cs="Times New Roman"/>
          <w:sz w:val="28"/>
          <w:szCs w:val="28"/>
        </w:rPr>
        <w:t>А: затраты</w:t>
      </w:r>
      <w:r w:rsidR="00842150" w:rsidRPr="00FA4D15">
        <w:rPr>
          <w:rFonts w:ascii="Times New Roman" w:hAnsi="Times New Roman" w:cs="Times New Roman"/>
          <w:sz w:val="28"/>
          <w:szCs w:val="28"/>
        </w:rPr>
        <w:t>, выделяемы на охрану окружающей среды</w:t>
      </w:r>
      <w:r w:rsidRPr="00FA4D15">
        <w:rPr>
          <w:rFonts w:ascii="Times New Roman" w:hAnsi="Times New Roman" w:cs="Times New Roman"/>
          <w:sz w:val="28"/>
          <w:szCs w:val="28"/>
        </w:rPr>
        <w:t xml:space="preserve">. </w:t>
      </w:r>
      <w:r w:rsidR="00842150" w:rsidRPr="00FA4D15">
        <w:rPr>
          <w:rFonts w:ascii="Times New Roman" w:hAnsi="Times New Roman" w:cs="Times New Roman"/>
          <w:sz w:val="28"/>
          <w:szCs w:val="28"/>
        </w:rPr>
        <w:t>Н</w:t>
      </w:r>
      <w:r w:rsidRPr="00FA4D15">
        <w:rPr>
          <w:rFonts w:ascii="Times New Roman" w:hAnsi="Times New Roman" w:cs="Times New Roman"/>
          <w:sz w:val="28"/>
          <w:szCs w:val="28"/>
        </w:rPr>
        <w:t xml:space="preserve">аше здоровье зависит от </w:t>
      </w:r>
      <w:r w:rsidR="00842150" w:rsidRPr="00FA4D15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FA4D15">
        <w:rPr>
          <w:rFonts w:ascii="Times New Roman" w:hAnsi="Times New Roman" w:cs="Times New Roman"/>
          <w:sz w:val="28"/>
          <w:szCs w:val="28"/>
        </w:rPr>
        <w:t xml:space="preserve">экологии. Чем больше государство будет вкладывать денег на содержание окружающей среды, тем меньше людей будут болеть, следовательно, умирать. Поэтому смертность населения в РФ и затраты на окружающую среду тесно взаимосвязаны между собой, т.к. коэффициент </w:t>
      </w:r>
      <w:r w:rsidRPr="00FA4D15">
        <w:rPr>
          <w:rFonts w:ascii="Times New Roman" w:hAnsi="Times New Roman" w:cs="Times New Roman"/>
          <w:sz w:val="28"/>
          <w:szCs w:val="28"/>
        </w:rPr>
        <w:lastRenderedPageBreak/>
        <w:t>корреляции составил (-0,95).</w:t>
      </w:r>
      <w:r w:rsidR="00316EA7">
        <w:rPr>
          <w:rFonts w:ascii="Times New Roman" w:hAnsi="Times New Roman" w:cs="Times New Roman"/>
          <w:sz w:val="28"/>
          <w:szCs w:val="28"/>
        </w:rPr>
        <w:t xml:space="preserve"> На рисунке 4</w:t>
      </w:r>
      <w:r w:rsidR="00842150" w:rsidRPr="00FA4D15">
        <w:rPr>
          <w:rFonts w:ascii="Times New Roman" w:hAnsi="Times New Roman" w:cs="Times New Roman"/>
          <w:sz w:val="28"/>
          <w:szCs w:val="28"/>
        </w:rPr>
        <w:t xml:space="preserve"> представлена взаимосвязь между смертностью и затратами на окружающую среду.</w:t>
      </w:r>
    </w:p>
    <w:p w:rsidR="00316EA7" w:rsidRDefault="00316EA7" w:rsidP="00316E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E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4535" cy="3529965"/>
            <wp:effectExtent l="133350" t="133350" r="139065" b="127635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352996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316EA7" w:rsidRPr="00FA4D15" w:rsidRDefault="00316EA7" w:rsidP="00316E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4.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Взаимосвязь между средствами, выделяемыми на охрану окружающей среды, и количеством умерших в РФ</w:t>
      </w:r>
      <w:proofErr w:type="gramEnd"/>
    </w:p>
    <w:p w:rsidR="00C139F3" w:rsidRDefault="00C70E90" w:rsidP="004B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D1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A4D15">
        <w:rPr>
          <w:rFonts w:ascii="Times New Roman" w:hAnsi="Times New Roman" w:cs="Times New Roman"/>
          <w:sz w:val="28"/>
          <w:szCs w:val="28"/>
        </w:rPr>
        <w:t xml:space="preserve">: число станций скорой медицинской помощи. Следствием отсутствия фельдшерских пунктов во многих глубинках нашей страны или недостаточная их оснащенность приводит к </w:t>
      </w:r>
      <w:proofErr w:type="gramStart"/>
      <w:r w:rsidRPr="00FA4D15">
        <w:rPr>
          <w:rFonts w:ascii="Times New Roman" w:hAnsi="Times New Roman" w:cs="Times New Roman"/>
          <w:sz w:val="28"/>
          <w:szCs w:val="28"/>
        </w:rPr>
        <w:t>не вовремя</w:t>
      </w:r>
      <w:proofErr w:type="gramEnd"/>
      <w:r w:rsidRPr="00FA4D15">
        <w:rPr>
          <w:rFonts w:ascii="Times New Roman" w:hAnsi="Times New Roman" w:cs="Times New Roman"/>
          <w:sz w:val="28"/>
          <w:szCs w:val="28"/>
        </w:rPr>
        <w:t xml:space="preserve"> оказанной медицинской помощи. В ходе корреляционно анализа показатель составил 0,94</w:t>
      </w:r>
      <w:r w:rsidR="00955BFB" w:rsidRPr="00FA4D15">
        <w:rPr>
          <w:rFonts w:ascii="Times New Roman" w:hAnsi="Times New Roman" w:cs="Times New Roman"/>
          <w:sz w:val="28"/>
          <w:szCs w:val="28"/>
        </w:rPr>
        <w:t>, значит</w:t>
      </w:r>
      <w:r w:rsidR="00316EA7">
        <w:rPr>
          <w:rFonts w:ascii="Times New Roman" w:hAnsi="Times New Roman" w:cs="Times New Roman"/>
          <w:sz w:val="28"/>
          <w:szCs w:val="28"/>
        </w:rPr>
        <w:t>,</w:t>
      </w:r>
      <w:r w:rsidR="00955BFB" w:rsidRPr="00FA4D15">
        <w:rPr>
          <w:rFonts w:ascii="Times New Roman" w:hAnsi="Times New Roman" w:cs="Times New Roman"/>
          <w:sz w:val="28"/>
          <w:szCs w:val="28"/>
        </w:rPr>
        <w:t xml:space="preserve"> число станций скорой медицинской помощи влияет на смертность в нашей стране.</w:t>
      </w:r>
      <w:r w:rsidR="00C139F3" w:rsidRPr="00FA4D15">
        <w:rPr>
          <w:rFonts w:ascii="Times New Roman" w:hAnsi="Times New Roman" w:cs="Times New Roman"/>
          <w:sz w:val="28"/>
          <w:szCs w:val="28"/>
        </w:rPr>
        <w:t xml:space="preserve"> Корреляционная взаимосвязь между</w:t>
      </w:r>
      <w:r w:rsidR="00316EA7">
        <w:rPr>
          <w:rFonts w:ascii="Times New Roman" w:hAnsi="Times New Roman" w:cs="Times New Roman"/>
          <w:sz w:val="28"/>
          <w:szCs w:val="28"/>
        </w:rPr>
        <w:t xml:space="preserve"> показателями показана на рисунке 5.</w:t>
      </w:r>
    </w:p>
    <w:p w:rsidR="00316EA7" w:rsidRDefault="00316EA7" w:rsidP="003F5FFD">
      <w:pPr>
        <w:tabs>
          <w:tab w:val="left" w:pos="751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3043" cy="2977116"/>
            <wp:effectExtent l="19050" t="0" r="18607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0FE4" w:rsidRPr="00316EA7" w:rsidRDefault="00316EA7" w:rsidP="00316E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6EA7">
        <w:rPr>
          <w:rFonts w:ascii="Times New Roman" w:hAnsi="Times New Roman" w:cs="Times New Roman"/>
          <w:sz w:val="28"/>
          <w:szCs w:val="28"/>
        </w:rPr>
        <w:t xml:space="preserve">Рисунок 5. </w:t>
      </w:r>
      <w:r w:rsidR="00ED0FE4" w:rsidRPr="00316EA7">
        <w:rPr>
          <w:rFonts w:ascii="Times New Roman" w:hAnsi="Times New Roman" w:cs="Times New Roman"/>
          <w:sz w:val="28"/>
          <w:szCs w:val="28"/>
        </w:rPr>
        <w:t>Взаимосвязь между числом отделения скорой медицин</w:t>
      </w:r>
      <w:r w:rsidRPr="00316EA7">
        <w:rPr>
          <w:rFonts w:ascii="Times New Roman" w:hAnsi="Times New Roman" w:cs="Times New Roman"/>
          <w:sz w:val="28"/>
          <w:szCs w:val="28"/>
        </w:rPr>
        <w:t>ской помощи и смертностью в РФ</w:t>
      </w:r>
    </w:p>
    <w:p w:rsidR="00C70E90" w:rsidRPr="00FA4D15" w:rsidRDefault="00C139F3" w:rsidP="004B2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5">
        <w:rPr>
          <w:rFonts w:ascii="Times New Roman" w:hAnsi="Times New Roman" w:cs="Times New Roman"/>
          <w:sz w:val="28"/>
          <w:szCs w:val="28"/>
        </w:rPr>
        <w:t xml:space="preserve">Однако не стоит забывать о механическом движении населения, которое также влияет на демографическую ситуацию в России. К механическому движению </w:t>
      </w:r>
      <w:r w:rsidR="00C70E90" w:rsidRPr="00FA4D15">
        <w:rPr>
          <w:rFonts w:ascii="Times New Roman" w:hAnsi="Times New Roman" w:cs="Times New Roman"/>
          <w:sz w:val="28"/>
          <w:szCs w:val="28"/>
        </w:rPr>
        <w:t>относятся эмиграция и иммиграция, т.е. отток и приток трудоспособного населения. В России хотели использовать иммиграцию как средство борьбы с демографическим кризисом</w:t>
      </w:r>
      <w:r w:rsidR="00955BFB" w:rsidRPr="00FA4D15">
        <w:rPr>
          <w:rFonts w:ascii="Times New Roman" w:hAnsi="Times New Roman" w:cs="Times New Roman"/>
          <w:sz w:val="28"/>
          <w:szCs w:val="28"/>
        </w:rPr>
        <w:t>. О</w:t>
      </w:r>
      <w:r w:rsidR="00C70E90" w:rsidRPr="00FA4D15">
        <w:rPr>
          <w:rFonts w:ascii="Times New Roman" w:hAnsi="Times New Roman" w:cs="Times New Roman"/>
          <w:sz w:val="28"/>
          <w:szCs w:val="28"/>
        </w:rPr>
        <w:t>днако в этой ситуации важно и необходимо оценивать качество образованности пр</w:t>
      </w:r>
      <w:r w:rsidR="00955BFB" w:rsidRPr="00FA4D15">
        <w:rPr>
          <w:rFonts w:ascii="Times New Roman" w:hAnsi="Times New Roman" w:cs="Times New Roman"/>
          <w:sz w:val="28"/>
          <w:szCs w:val="28"/>
        </w:rPr>
        <w:t>итока трудоспособного населения. Продолжая данную</w:t>
      </w:r>
      <w:r w:rsidR="00C70E90" w:rsidRPr="00FA4D15">
        <w:rPr>
          <w:rFonts w:ascii="Times New Roman" w:hAnsi="Times New Roman" w:cs="Times New Roman"/>
          <w:sz w:val="28"/>
          <w:szCs w:val="28"/>
        </w:rPr>
        <w:t xml:space="preserve"> политику,</w:t>
      </w:r>
      <w:r w:rsidR="00955BFB" w:rsidRPr="00FA4D15">
        <w:rPr>
          <w:rFonts w:ascii="Times New Roman" w:hAnsi="Times New Roman" w:cs="Times New Roman"/>
          <w:sz w:val="28"/>
          <w:szCs w:val="28"/>
        </w:rPr>
        <w:t xml:space="preserve"> может назреть</w:t>
      </w:r>
      <w:r w:rsidR="00316EA7">
        <w:rPr>
          <w:rFonts w:ascii="Times New Roman" w:hAnsi="Times New Roman" w:cs="Times New Roman"/>
          <w:sz w:val="28"/>
          <w:szCs w:val="28"/>
        </w:rPr>
        <w:t xml:space="preserve"> </w:t>
      </w:r>
      <w:r w:rsidR="00955BFB" w:rsidRPr="00FA4D15">
        <w:rPr>
          <w:rFonts w:ascii="Times New Roman" w:hAnsi="Times New Roman" w:cs="Times New Roman"/>
          <w:sz w:val="28"/>
          <w:szCs w:val="28"/>
        </w:rPr>
        <w:t>проблема дестабилизации</w:t>
      </w:r>
      <w:r w:rsidR="00C70E90" w:rsidRPr="00FA4D15">
        <w:rPr>
          <w:rFonts w:ascii="Times New Roman" w:hAnsi="Times New Roman" w:cs="Times New Roman"/>
          <w:sz w:val="28"/>
          <w:szCs w:val="28"/>
        </w:rPr>
        <w:t xml:space="preserve"> социокультурной обстановки в ближайшем будущем, поэтому Правительству РФ необходимо разработать </w:t>
      </w:r>
      <w:r w:rsidRPr="00FA4D15">
        <w:rPr>
          <w:rFonts w:ascii="Times New Roman" w:hAnsi="Times New Roman" w:cs="Times New Roman"/>
          <w:sz w:val="28"/>
          <w:szCs w:val="28"/>
        </w:rPr>
        <w:t xml:space="preserve">федеральные </w:t>
      </w:r>
      <w:r w:rsidR="00955BFB" w:rsidRPr="00FA4D15">
        <w:rPr>
          <w:rFonts w:ascii="Times New Roman" w:hAnsi="Times New Roman" w:cs="Times New Roman"/>
          <w:sz w:val="28"/>
          <w:szCs w:val="28"/>
        </w:rPr>
        <w:t>программы, нацеленные</w:t>
      </w:r>
      <w:r w:rsidR="00C70E90" w:rsidRPr="00FA4D15">
        <w:rPr>
          <w:rFonts w:ascii="Times New Roman" w:hAnsi="Times New Roman" w:cs="Times New Roman"/>
          <w:sz w:val="28"/>
          <w:szCs w:val="28"/>
        </w:rPr>
        <w:t xml:space="preserve"> на возвращение соотечественников. </w:t>
      </w:r>
      <w:r w:rsidR="00316EA7">
        <w:rPr>
          <w:rFonts w:ascii="Times New Roman" w:hAnsi="Times New Roman" w:cs="Times New Roman"/>
          <w:sz w:val="28"/>
          <w:szCs w:val="28"/>
        </w:rPr>
        <w:t>На рисунке 6</w:t>
      </w:r>
      <w:r w:rsidR="00FA4D15" w:rsidRPr="00FA4D15">
        <w:rPr>
          <w:rFonts w:ascii="Times New Roman" w:hAnsi="Times New Roman" w:cs="Times New Roman"/>
          <w:sz w:val="28"/>
          <w:szCs w:val="28"/>
        </w:rPr>
        <w:t xml:space="preserve"> представлен график процессов эмиграции и иммиграции в РФ.</w:t>
      </w:r>
    </w:p>
    <w:p w:rsidR="003F5FFD" w:rsidRDefault="003F5FFD" w:rsidP="00316E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5FFD" w:rsidRDefault="003F5FFD" w:rsidP="00316E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5FFD" w:rsidRDefault="003F5FFD" w:rsidP="00316E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D15" w:rsidRPr="00316EA7" w:rsidRDefault="00ED0FE4" w:rsidP="00316E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6EA7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09881" cy="3405431"/>
            <wp:effectExtent l="19050" t="0" r="14619" b="4519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3F5FFD">
        <w:rPr>
          <w:rFonts w:ascii="Times New Roman" w:hAnsi="Times New Roman" w:cs="Times New Roman"/>
          <w:sz w:val="28"/>
          <w:szCs w:val="28"/>
        </w:rPr>
        <w:t>Рисунок 6</w:t>
      </w:r>
      <w:r w:rsidR="00316EA7" w:rsidRPr="00316EA7">
        <w:rPr>
          <w:rFonts w:ascii="Times New Roman" w:hAnsi="Times New Roman" w:cs="Times New Roman"/>
          <w:sz w:val="28"/>
          <w:szCs w:val="28"/>
        </w:rPr>
        <w:t xml:space="preserve">. </w:t>
      </w:r>
      <w:r w:rsidR="00FA4D15" w:rsidRPr="00316EA7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316EA7" w:rsidRPr="00316EA7">
        <w:rPr>
          <w:rFonts w:ascii="Times New Roman" w:hAnsi="Times New Roman" w:cs="Times New Roman"/>
          <w:sz w:val="28"/>
          <w:szCs w:val="28"/>
        </w:rPr>
        <w:t>динамики иммиграции и эмиграции</w:t>
      </w:r>
    </w:p>
    <w:p w:rsidR="00437F1C" w:rsidRPr="0003421A" w:rsidRDefault="00C70E90" w:rsidP="00034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5">
        <w:rPr>
          <w:rFonts w:ascii="Times New Roman" w:hAnsi="Times New Roman" w:cs="Times New Roman"/>
          <w:sz w:val="28"/>
          <w:szCs w:val="28"/>
        </w:rPr>
        <w:t>Таким образом, с помощью метода корреляции мы выявили взаимосвязь между выделенными факторами и процессами естественного</w:t>
      </w:r>
      <w:r w:rsidR="00C139F3" w:rsidRPr="00FA4D15">
        <w:rPr>
          <w:rFonts w:ascii="Times New Roman" w:hAnsi="Times New Roman" w:cs="Times New Roman"/>
          <w:sz w:val="28"/>
          <w:szCs w:val="28"/>
        </w:rPr>
        <w:t>, а также</w:t>
      </w:r>
      <w:r w:rsidR="00955BFB" w:rsidRPr="00FA4D15">
        <w:rPr>
          <w:rFonts w:ascii="Times New Roman" w:hAnsi="Times New Roman" w:cs="Times New Roman"/>
          <w:sz w:val="28"/>
          <w:szCs w:val="28"/>
        </w:rPr>
        <w:t xml:space="preserve"> механического движения в РФ.</w:t>
      </w:r>
      <w:r w:rsidR="003F5FFD">
        <w:rPr>
          <w:rFonts w:ascii="Times New Roman" w:hAnsi="Times New Roman" w:cs="Times New Roman"/>
          <w:sz w:val="28"/>
          <w:szCs w:val="28"/>
        </w:rPr>
        <w:t xml:space="preserve"> </w:t>
      </w:r>
      <w:r w:rsidRPr="00FA4D15">
        <w:rPr>
          <w:rFonts w:ascii="Times New Roman" w:hAnsi="Times New Roman" w:cs="Times New Roman"/>
          <w:sz w:val="28"/>
          <w:szCs w:val="28"/>
        </w:rPr>
        <w:t xml:space="preserve">По всем прогнозам, </w:t>
      </w:r>
      <w:r w:rsidR="00C139F3" w:rsidRPr="00FA4D15">
        <w:rPr>
          <w:rFonts w:ascii="Times New Roman" w:hAnsi="Times New Roman" w:cs="Times New Roman"/>
          <w:sz w:val="28"/>
          <w:szCs w:val="28"/>
        </w:rPr>
        <w:t xml:space="preserve">в том числе на уровне ООН, </w:t>
      </w:r>
      <w:r w:rsidRPr="00FA4D15">
        <w:rPr>
          <w:rFonts w:ascii="Times New Roman" w:hAnsi="Times New Roman" w:cs="Times New Roman"/>
          <w:sz w:val="28"/>
          <w:szCs w:val="28"/>
        </w:rPr>
        <w:t>мы уже должны были сползти в новую «демографическую яму»</w:t>
      </w:r>
      <w:r w:rsidR="00C139F3" w:rsidRPr="00FA4D15">
        <w:rPr>
          <w:rFonts w:ascii="Times New Roman" w:hAnsi="Times New Roman" w:cs="Times New Roman"/>
          <w:sz w:val="28"/>
          <w:szCs w:val="28"/>
        </w:rPr>
        <w:t>.</w:t>
      </w:r>
      <w:r w:rsidRPr="00FA4D15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</w:t>
      </w:r>
      <w:r w:rsidR="00FA4D15" w:rsidRPr="00FA4D15">
        <w:rPr>
          <w:rFonts w:ascii="Times New Roman" w:hAnsi="Times New Roman" w:cs="Times New Roman"/>
          <w:sz w:val="28"/>
          <w:szCs w:val="28"/>
        </w:rPr>
        <w:t xml:space="preserve"> и </w:t>
      </w:r>
      <w:r w:rsidRPr="00FA4D15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FA4D15" w:rsidRPr="00FA4D1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A4D15">
        <w:rPr>
          <w:rFonts w:ascii="Times New Roman" w:hAnsi="Times New Roman" w:cs="Times New Roman"/>
          <w:sz w:val="28"/>
          <w:szCs w:val="28"/>
        </w:rPr>
        <w:t xml:space="preserve"> необходимо уделять особое внимание факторам, влияющим на данные процессы</w:t>
      </w:r>
      <w:r w:rsidR="00FA4D15" w:rsidRPr="00FA4D15">
        <w:rPr>
          <w:rFonts w:ascii="Times New Roman" w:hAnsi="Times New Roman" w:cs="Times New Roman"/>
          <w:sz w:val="28"/>
          <w:szCs w:val="28"/>
        </w:rPr>
        <w:t>. В</w:t>
      </w:r>
      <w:r w:rsidRPr="00FA4D15">
        <w:rPr>
          <w:rFonts w:ascii="Times New Roman" w:hAnsi="Times New Roman" w:cs="Times New Roman"/>
          <w:sz w:val="28"/>
          <w:szCs w:val="28"/>
        </w:rPr>
        <w:t xml:space="preserve"> настоящее время разработано множество федеральных программ поддержки населения, способствующие улучшению демографической ситуации. Россия смогла остановить вымирание населения, и этот результат нужно закрепить и превратить в стабильный рост.</w:t>
      </w:r>
    </w:p>
    <w:p w:rsidR="00437F1C" w:rsidRPr="00FA4D15" w:rsidRDefault="00437F1C" w:rsidP="004B28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D1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37F1C" w:rsidRPr="00FA4D15" w:rsidRDefault="00437F1C" w:rsidP="004B284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5">
        <w:rPr>
          <w:rFonts w:ascii="Times New Roman" w:hAnsi="Times New Roman" w:cs="Times New Roman"/>
          <w:sz w:val="28"/>
          <w:szCs w:val="28"/>
        </w:rPr>
        <w:t>Социальное положение и уровень жизни населения России. 2015: Стат. сб. / Росстат. – М., 2015</w:t>
      </w:r>
    </w:p>
    <w:p w:rsidR="00437F1C" w:rsidRPr="00FA4D15" w:rsidRDefault="00437F1C" w:rsidP="004B284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5">
        <w:rPr>
          <w:rFonts w:ascii="Times New Roman" w:hAnsi="Times New Roman" w:cs="Times New Roman"/>
          <w:sz w:val="28"/>
          <w:szCs w:val="28"/>
        </w:rPr>
        <w:t>Природные ресурсы и охрана окружающей среды. 2015: Стат. сб. / Росстат. – М., 2015</w:t>
      </w:r>
    </w:p>
    <w:p w:rsidR="00437F1C" w:rsidRPr="00FA4D15" w:rsidRDefault="00437F1C" w:rsidP="004B284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5">
        <w:rPr>
          <w:rFonts w:ascii="Times New Roman" w:hAnsi="Times New Roman" w:cs="Times New Roman"/>
          <w:sz w:val="28"/>
          <w:szCs w:val="28"/>
        </w:rPr>
        <w:t xml:space="preserve">Здравоохранение в России. 2015: </w:t>
      </w:r>
      <w:proofErr w:type="spellStart"/>
      <w:r w:rsidRPr="00FA4D15">
        <w:rPr>
          <w:rFonts w:ascii="Times New Roman" w:hAnsi="Times New Roman" w:cs="Times New Roman"/>
          <w:sz w:val="28"/>
          <w:szCs w:val="28"/>
        </w:rPr>
        <w:t>Стат.сб</w:t>
      </w:r>
      <w:proofErr w:type="spellEnd"/>
      <w:r w:rsidRPr="00FA4D15">
        <w:rPr>
          <w:rFonts w:ascii="Times New Roman" w:hAnsi="Times New Roman" w:cs="Times New Roman"/>
          <w:sz w:val="28"/>
          <w:szCs w:val="28"/>
        </w:rPr>
        <w:t>. / Росстат. – М., 2015</w:t>
      </w:r>
    </w:p>
    <w:p w:rsidR="00437F1C" w:rsidRPr="00955BFB" w:rsidRDefault="00437F1C" w:rsidP="004B28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608D4" w:rsidRDefault="009608D4" w:rsidP="004B284D">
      <w:pPr>
        <w:spacing w:after="0" w:line="360" w:lineRule="auto"/>
        <w:ind w:firstLine="709"/>
        <w:jc w:val="both"/>
      </w:pPr>
    </w:p>
    <w:sectPr w:rsidR="009608D4" w:rsidSect="004B28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FC" w:rsidRDefault="003018FC" w:rsidP="00A463AB">
      <w:pPr>
        <w:spacing w:after="0" w:line="240" w:lineRule="auto"/>
      </w:pPr>
      <w:r>
        <w:separator/>
      </w:r>
    </w:p>
  </w:endnote>
  <w:endnote w:type="continuationSeparator" w:id="0">
    <w:p w:rsidR="003018FC" w:rsidRDefault="003018FC" w:rsidP="00A4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FC" w:rsidRDefault="003018FC" w:rsidP="00A463AB">
      <w:pPr>
        <w:spacing w:after="0" w:line="240" w:lineRule="auto"/>
      </w:pPr>
      <w:r>
        <w:separator/>
      </w:r>
    </w:p>
  </w:footnote>
  <w:footnote w:type="continuationSeparator" w:id="0">
    <w:p w:rsidR="003018FC" w:rsidRDefault="003018FC" w:rsidP="00A463AB">
      <w:pPr>
        <w:spacing w:after="0" w:line="240" w:lineRule="auto"/>
      </w:pPr>
      <w:r>
        <w:continuationSeparator/>
      </w:r>
    </w:p>
  </w:footnote>
  <w:footnote w:id="1">
    <w:p w:rsidR="00A463AB" w:rsidRPr="0003421A" w:rsidRDefault="00A463AB">
      <w:pPr>
        <w:pStyle w:val="a4"/>
        <w:rPr>
          <w:rFonts w:ascii="Times New Roman" w:hAnsi="Times New Roman" w:cs="Times New Roman"/>
        </w:rPr>
      </w:pPr>
      <w:r w:rsidRPr="0003421A">
        <w:rPr>
          <w:rStyle w:val="a6"/>
          <w:rFonts w:ascii="Times New Roman" w:hAnsi="Times New Roman" w:cs="Times New Roman"/>
        </w:rPr>
        <w:footnoteRef/>
      </w:r>
      <w:r w:rsidRPr="0003421A">
        <w:rPr>
          <w:rFonts w:ascii="Times New Roman" w:hAnsi="Times New Roman" w:cs="Times New Roman"/>
        </w:rPr>
        <w:t xml:space="preserve"> РИА Новости: «Спикер Госдумы Нарышкин: Россия выбралась из "демографической ямы"</w:t>
      </w:r>
      <w:r w:rsidR="007E4FA4" w:rsidRPr="0003421A">
        <w:rPr>
          <w:rFonts w:ascii="Times New Roman" w:hAnsi="Times New Roman" w:cs="Times New Roman"/>
        </w:rPr>
        <w:t>»</w:t>
      </w:r>
      <w:r w:rsidRPr="0003421A">
        <w:rPr>
          <w:rFonts w:ascii="Times New Roman" w:hAnsi="Times New Roman" w:cs="Times New Roman"/>
        </w:rPr>
        <w:t xml:space="preserve"> от 17.03.2016</w:t>
      </w:r>
      <w:r w:rsidR="0003421A" w:rsidRPr="0003421A">
        <w:rPr>
          <w:rFonts w:ascii="Times New Roman" w:hAnsi="Times New Roman" w:cs="Times New Roman"/>
        </w:rPr>
        <w:t xml:space="preserve"> </w:t>
      </w:r>
      <w:r w:rsidR="0003421A">
        <w:rPr>
          <w:rFonts w:ascii="Times New Roman" w:hAnsi="Times New Roman" w:cs="Times New Roman"/>
        </w:rPr>
        <w:t>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279C"/>
    <w:multiLevelType w:val="hybridMultilevel"/>
    <w:tmpl w:val="907EC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D4"/>
    <w:rsid w:val="0003421A"/>
    <w:rsid w:val="00076C4D"/>
    <w:rsid w:val="001066BD"/>
    <w:rsid w:val="00115EBE"/>
    <w:rsid w:val="00153364"/>
    <w:rsid w:val="00167E6A"/>
    <w:rsid w:val="003018FC"/>
    <w:rsid w:val="00316EA7"/>
    <w:rsid w:val="003F5FFD"/>
    <w:rsid w:val="00437F1C"/>
    <w:rsid w:val="00476201"/>
    <w:rsid w:val="004B284D"/>
    <w:rsid w:val="005E48D4"/>
    <w:rsid w:val="00612B06"/>
    <w:rsid w:val="00717A99"/>
    <w:rsid w:val="007E4FA4"/>
    <w:rsid w:val="00842150"/>
    <w:rsid w:val="00885CFD"/>
    <w:rsid w:val="00955BFB"/>
    <w:rsid w:val="009608D4"/>
    <w:rsid w:val="00A002F1"/>
    <w:rsid w:val="00A06296"/>
    <w:rsid w:val="00A20684"/>
    <w:rsid w:val="00A463AB"/>
    <w:rsid w:val="00AE066B"/>
    <w:rsid w:val="00AF1D2F"/>
    <w:rsid w:val="00C139F3"/>
    <w:rsid w:val="00C517D0"/>
    <w:rsid w:val="00C70E90"/>
    <w:rsid w:val="00EC24D2"/>
    <w:rsid w:val="00ED0FE4"/>
    <w:rsid w:val="00EF2A0E"/>
    <w:rsid w:val="00FA4D15"/>
    <w:rsid w:val="00FF0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1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3A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1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39F3"/>
  </w:style>
  <w:style w:type="paragraph" w:styleId="a9">
    <w:name w:val="footer"/>
    <w:basedOn w:val="a"/>
    <w:link w:val="aa"/>
    <w:uiPriority w:val="99"/>
    <w:unhideWhenUsed/>
    <w:rsid w:val="00C1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39F3"/>
  </w:style>
  <w:style w:type="paragraph" w:styleId="ab">
    <w:name w:val="Balloon Text"/>
    <w:basedOn w:val="a"/>
    <w:link w:val="ac"/>
    <w:uiPriority w:val="99"/>
    <w:semiHidden/>
    <w:unhideWhenUsed/>
    <w:rsid w:val="0007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1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3A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1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39F3"/>
  </w:style>
  <w:style w:type="paragraph" w:styleId="a9">
    <w:name w:val="footer"/>
    <w:basedOn w:val="a"/>
    <w:link w:val="aa"/>
    <w:uiPriority w:val="99"/>
    <w:unhideWhenUsed/>
    <w:rsid w:val="00C1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39F3"/>
  </w:style>
  <w:style w:type="paragraph" w:styleId="ab">
    <w:name w:val="Balloon Text"/>
    <w:basedOn w:val="a"/>
    <w:link w:val="ac"/>
    <w:uiPriority w:val="99"/>
    <w:semiHidden/>
    <w:unhideWhenUsed/>
    <w:rsid w:val="0007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ownloads\chisty_prozhitochny_minimu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ownloads\korrelyatsia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ownloads\migratsia_i_emigrats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показателя чистого прожиточного минимума в РФ</a:t>
            </a:r>
          </a:p>
          <a:p>
            <a:pPr>
              <a:defRPr/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(2001-2014 гг.)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7904855643044618"/>
          <c:y val="3.24074074074074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955189059079098"/>
          <c:y val="0.26359352479783954"/>
          <c:w val="0.81502304749219878"/>
          <c:h val="0.55200703958248065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Лист1!$C$2:$C$15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1262</c:v>
                </c:pt>
                <c:pt idx="1">
                  <c:v>1571</c:v>
                </c:pt>
                <c:pt idx="2">
                  <c:v>1886</c:v>
                </c:pt>
                <c:pt idx="3">
                  <c:v>2126</c:v>
                </c:pt>
                <c:pt idx="4">
                  <c:v>2721</c:v>
                </c:pt>
                <c:pt idx="5">
                  <c:v>3139</c:v>
                </c:pt>
                <c:pt idx="6">
                  <c:v>3439</c:v>
                </c:pt>
                <c:pt idx="7">
                  <c:v>4054</c:v>
                </c:pt>
                <c:pt idx="8">
                  <c:v>4768</c:v>
                </c:pt>
                <c:pt idx="9">
                  <c:v>5229</c:v>
                </c:pt>
                <c:pt idx="10">
                  <c:v>6003</c:v>
                </c:pt>
                <c:pt idx="11">
                  <c:v>6108</c:v>
                </c:pt>
                <c:pt idx="12">
                  <c:v>6863</c:v>
                </c:pt>
                <c:pt idx="13">
                  <c:v>7229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192128"/>
        <c:axId val="166359040"/>
      </c:lineChart>
      <c:catAx>
        <c:axId val="220192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Временной</a:t>
                </a:r>
                <a:r>
                  <a:rPr lang="ru-RU" sz="1200" baseline="0">
                    <a:latin typeface="Times New Roman" pitchFamily="18" charset="0"/>
                    <a:cs typeface="Times New Roman" pitchFamily="18" charset="0"/>
                  </a:rPr>
                  <a:t> период</a:t>
                </a:r>
                <a:endParaRPr lang="ru-RU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1854286964129528"/>
              <c:y val="0.8712962962962973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6359040"/>
        <c:crosses val="autoZero"/>
        <c:auto val="1"/>
        <c:lblAlgn val="ctr"/>
        <c:lblOffset val="100"/>
        <c:noMultiLvlLbl val="0"/>
      </c:catAx>
      <c:valAx>
        <c:axId val="1663590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Размер</a:t>
                </a:r>
                <a:r>
                  <a:rPr lang="ru-RU" sz="1200" baseline="0">
                    <a:latin typeface="Times New Roman" pitchFamily="18" charset="0"/>
                    <a:cs typeface="Times New Roman" pitchFamily="18" charset="0"/>
                  </a:rPr>
                  <a:t> чистого прожиточного минимума</a:t>
                </a:r>
                <a:endParaRPr lang="ru-RU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9444444444444445E-2"/>
              <c:y val="0.103715368912219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20192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Взаимосвязь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между числом отделений скорой медицинской помощи и количеством умерщих в РФ (2001-2014 гг.)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37893501798752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164212823410619"/>
          <c:y val="0.2067133464994407"/>
          <c:w val="0.7802753294264595"/>
          <c:h val="0.54474065334667277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'[korrelyatsia (2).xlsx]Лист1'!$B$63:$B$76</c:f>
              <c:numCache>
                <c:formatCode>General</c:formatCode>
                <c:ptCount val="14"/>
                <c:pt idx="0">
                  <c:v>3212</c:v>
                </c:pt>
                <c:pt idx="1">
                  <c:v>3252</c:v>
                </c:pt>
                <c:pt idx="2">
                  <c:v>3268</c:v>
                </c:pt>
                <c:pt idx="3">
                  <c:v>3266</c:v>
                </c:pt>
                <c:pt idx="4">
                  <c:v>3276</c:v>
                </c:pt>
                <c:pt idx="5">
                  <c:v>3223</c:v>
                </c:pt>
                <c:pt idx="6">
                  <c:v>3091</c:v>
                </c:pt>
                <c:pt idx="7">
                  <c:v>3029</c:v>
                </c:pt>
                <c:pt idx="8">
                  <c:v>2992</c:v>
                </c:pt>
                <c:pt idx="9">
                  <c:v>2940</c:v>
                </c:pt>
                <c:pt idx="10">
                  <c:v>2912</c:v>
                </c:pt>
                <c:pt idx="11">
                  <c:v>2841</c:v>
                </c:pt>
                <c:pt idx="12">
                  <c:v>2704</c:v>
                </c:pt>
                <c:pt idx="13">
                  <c:v>2657</c:v>
                </c:pt>
              </c:numCache>
            </c:numRef>
          </c:xVal>
          <c:yVal>
            <c:numRef>
              <c:f>'[korrelyatsia (2).xlsx]Лист1'!$C$63:$C$76</c:f>
              <c:numCache>
                <c:formatCode>General</c:formatCode>
                <c:ptCount val="14"/>
                <c:pt idx="0">
                  <c:v>2254856</c:v>
                </c:pt>
                <c:pt idx="1">
                  <c:v>2332272</c:v>
                </c:pt>
                <c:pt idx="2">
                  <c:v>2365826</c:v>
                </c:pt>
                <c:pt idx="3">
                  <c:v>2295402</c:v>
                </c:pt>
                <c:pt idx="4">
                  <c:v>2303935</c:v>
                </c:pt>
                <c:pt idx="5">
                  <c:v>2166703</c:v>
                </c:pt>
                <c:pt idx="6">
                  <c:v>2080445</c:v>
                </c:pt>
                <c:pt idx="7">
                  <c:v>2075954</c:v>
                </c:pt>
                <c:pt idx="8">
                  <c:v>2010543</c:v>
                </c:pt>
                <c:pt idx="9">
                  <c:v>2028516</c:v>
                </c:pt>
                <c:pt idx="10">
                  <c:v>1925720</c:v>
                </c:pt>
                <c:pt idx="11">
                  <c:v>1906335</c:v>
                </c:pt>
                <c:pt idx="12">
                  <c:v>1871809</c:v>
                </c:pt>
                <c:pt idx="13">
                  <c:v>1912347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376192"/>
        <c:axId val="166378112"/>
      </c:scatterChart>
      <c:valAx>
        <c:axId val="166376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Число</a:t>
                </a:r>
                <a:r>
                  <a:rPr lang="ru-RU" sz="1200" baseline="0">
                    <a:latin typeface="Times New Roman" pitchFamily="18" charset="0"/>
                    <a:cs typeface="Times New Roman" pitchFamily="18" charset="0"/>
                  </a:rPr>
                  <a:t> отделений скорой медицинской помощи, шт</a:t>
                </a:r>
                <a:endParaRPr lang="ru-RU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6378112"/>
        <c:crosses val="autoZero"/>
        <c:crossBetween val="midCat"/>
      </c:valAx>
      <c:valAx>
        <c:axId val="1663781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sz="1200" baseline="0">
                    <a:latin typeface="Times New Roman" pitchFamily="18" charset="0"/>
                    <a:cs typeface="Times New Roman" pitchFamily="18" charset="0"/>
                  </a:rPr>
                  <a:t> умерших, тыс.</a:t>
                </a:r>
                <a:endParaRPr lang="ru-RU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2194779050049192E-2"/>
              <c:y val="0.1483799212598423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637619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График</a:t>
            </a:r>
            <a:r>
              <a:rPr lang="ru-RU" sz="1400" baseline="0"/>
              <a:t> динамики иммиграции и эмиграции</a:t>
            </a:r>
          </a:p>
          <a:p>
            <a:pPr>
              <a:defRPr/>
            </a:pPr>
            <a:r>
              <a:rPr lang="ru-RU" sz="1400" baseline="0"/>
              <a:t> (2000-2014 гг.)</a:t>
            </a:r>
            <a:endParaRPr lang="ru-RU" sz="14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миграция</c:v>
          </c:tx>
          <c:marker>
            <c:symbol val="none"/>
          </c:marker>
          <c:cat>
            <c:numRef>
              <c:f>Лист1!$A$6:$A$19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Лист1!$B$6:$B$19</c:f>
              <c:numCache>
                <c:formatCode>General</c:formatCode>
                <c:ptCount val="14"/>
                <c:pt idx="0">
                  <c:v>193450</c:v>
                </c:pt>
                <c:pt idx="1">
                  <c:v>184612</c:v>
                </c:pt>
                <c:pt idx="2">
                  <c:v>129144</c:v>
                </c:pt>
                <c:pt idx="3">
                  <c:v>119157</c:v>
                </c:pt>
                <c:pt idx="4">
                  <c:v>177230</c:v>
                </c:pt>
                <c:pt idx="5">
                  <c:v>186380</c:v>
                </c:pt>
                <c:pt idx="6">
                  <c:v>286956</c:v>
                </c:pt>
                <c:pt idx="7">
                  <c:v>281614</c:v>
                </c:pt>
                <c:pt idx="8">
                  <c:v>279907</c:v>
                </c:pt>
                <c:pt idx="9">
                  <c:v>191651</c:v>
                </c:pt>
                <c:pt idx="10">
                  <c:v>356535</c:v>
                </c:pt>
                <c:pt idx="11">
                  <c:v>417681</c:v>
                </c:pt>
                <c:pt idx="12">
                  <c:v>482241</c:v>
                </c:pt>
                <c:pt idx="13">
                  <c:v>578511</c:v>
                </c:pt>
              </c:numCache>
            </c:numRef>
          </c:val>
          <c:smooth val="0"/>
        </c:ser>
        <c:ser>
          <c:idx val="1"/>
          <c:order val="1"/>
          <c:marker>
            <c:symbol val="none"/>
          </c:marker>
          <c:cat>
            <c:numRef>
              <c:f>Лист1!$A$6:$A$19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Лист1!$C$6:$C$19</c:f>
              <c:numCache>
                <c:formatCode>General</c:formatCode>
                <c:ptCount val="14"/>
              </c:numCache>
            </c:numRef>
          </c:val>
          <c:smooth val="0"/>
        </c:ser>
        <c:ser>
          <c:idx val="2"/>
          <c:order val="2"/>
          <c:tx>
            <c:v>эмиграция</c:v>
          </c:tx>
          <c:marker>
            <c:symbol val="none"/>
          </c:marker>
          <c:cat>
            <c:numRef>
              <c:f>Лист1!$A$6:$A$19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Лист1!$D$6:$D$19</c:f>
              <c:numCache>
                <c:formatCode>General</c:formatCode>
                <c:ptCount val="14"/>
                <c:pt idx="0">
                  <c:v>121166</c:v>
                </c:pt>
                <c:pt idx="1">
                  <c:v>106685</c:v>
                </c:pt>
                <c:pt idx="2">
                  <c:v>94018</c:v>
                </c:pt>
                <c:pt idx="3">
                  <c:v>79795</c:v>
                </c:pt>
                <c:pt idx="4">
                  <c:v>69798</c:v>
                </c:pt>
                <c:pt idx="5">
                  <c:v>54061</c:v>
                </c:pt>
                <c:pt idx="6">
                  <c:v>47013</c:v>
                </c:pt>
                <c:pt idx="7">
                  <c:v>39508</c:v>
                </c:pt>
                <c:pt idx="8">
                  <c:v>32458</c:v>
                </c:pt>
                <c:pt idx="9">
                  <c:v>33578</c:v>
                </c:pt>
                <c:pt idx="10">
                  <c:v>36774</c:v>
                </c:pt>
                <c:pt idx="11">
                  <c:v>122751</c:v>
                </c:pt>
                <c:pt idx="12">
                  <c:v>186382</c:v>
                </c:pt>
                <c:pt idx="13">
                  <c:v>308475</c:v>
                </c:pt>
              </c:numCache>
            </c:numRef>
          </c:val>
          <c:smooth val="0"/>
        </c:ser>
        <c:ser>
          <c:idx val="3"/>
          <c:order val="3"/>
          <c:marker>
            <c:symbol val="none"/>
          </c:marker>
          <c:cat>
            <c:numRef>
              <c:f>Лист1!$A$6:$A$19</c:f>
              <c:numCache>
                <c:formatCode>General</c:formatCod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numCache>
            </c:numRef>
          </c:cat>
          <c:val>
            <c:numRef>
              <c:f>Лист1!$E$6:$E$19</c:f>
              <c:numCache>
                <c:formatCode>General</c:formatCode>
                <c:ptCount val="1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707776"/>
        <c:axId val="167709696"/>
      </c:lineChart>
      <c:catAx>
        <c:axId val="167707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Временной</a:t>
                </a:r>
                <a:r>
                  <a:rPr lang="ru-RU" baseline="0"/>
                  <a:t> период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7709696"/>
        <c:crosses val="autoZero"/>
        <c:auto val="1"/>
        <c:lblAlgn val="ctr"/>
        <c:lblOffset val="100"/>
        <c:noMultiLvlLbl val="0"/>
      </c:catAx>
      <c:valAx>
        <c:axId val="167709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человек, тыс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7707776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FFF4-1C31-403A-A767-11824376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dcterms:created xsi:type="dcterms:W3CDTF">2019-10-22T13:12:00Z</dcterms:created>
  <dcterms:modified xsi:type="dcterms:W3CDTF">2019-10-22T13:12:00Z</dcterms:modified>
</cp:coreProperties>
</file>