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7E" w:rsidRDefault="00FB607E" w:rsidP="00FB6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575">
        <w:rPr>
          <w:rFonts w:ascii="Times New Roman" w:hAnsi="Times New Roman" w:cs="Times New Roman"/>
          <w:b/>
          <w:sz w:val="26"/>
          <w:szCs w:val="26"/>
        </w:rPr>
        <w:t>Изучение инновационной экосистемы с точки зрения устойчивости: на пути к концептуальной структуре</w:t>
      </w:r>
    </w:p>
    <w:p w:rsidR="002E7DFA" w:rsidRPr="00C75575" w:rsidRDefault="002E7DFA" w:rsidP="00FB6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671B7" w:rsidRDefault="003671B7" w:rsidP="003671B7">
      <w:pPr>
        <w:pStyle w:val="a4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Выполнили: </w:t>
      </w:r>
      <w:proofErr w:type="spellStart"/>
      <w:r>
        <w:rPr>
          <w:color w:val="000000"/>
          <w:sz w:val="27"/>
          <w:szCs w:val="27"/>
        </w:rPr>
        <w:t>Камлюк</w:t>
      </w:r>
      <w:proofErr w:type="spellEnd"/>
      <w:r>
        <w:rPr>
          <w:color w:val="000000"/>
          <w:sz w:val="27"/>
          <w:szCs w:val="27"/>
        </w:rPr>
        <w:t xml:space="preserve"> Анастасия Андреевна, </w:t>
      </w:r>
      <w:proofErr w:type="spellStart"/>
      <w:r>
        <w:rPr>
          <w:color w:val="000000"/>
          <w:sz w:val="27"/>
          <w:szCs w:val="27"/>
        </w:rPr>
        <w:t>Нитиевская</w:t>
      </w:r>
      <w:proofErr w:type="spellEnd"/>
      <w:r>
        <w:rPr>
          <w:color w:val="000000"/>
          <w:sz w:val="27"/>
          <w:szCs w:val="27"/>
        </w:rPr>
        <w:t xml:space="preserve"> Елена Игоревна</w:t>
      </w:r>
    </w:p>
    <w:p w:rsidR="003671B7" w:rsidRDefault="003671B7" w:rsidP="003671B7">
      <w:pPr>
        <w:pStyle w:val="a4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Научный руководитель: </w:t>
      </w:r>
      <w:proofErr w:type="spellStart"/>
      <w:r>
        <w:rPr>
          <w:color w:val="000000"/>
          <w:sz w:val="27"/>
          <w:szCs w:val="27"/>
        </w:rPr>
        <w:t>Пузыревская</w:t>
      </w:r>
      <w:proofErr w:type="spellEnd"/>
      <w:r>
        <w:rPr>
          <w:color w:val="000000"/>
          <w:sz w:val="27"/>
          <w:szCs w:val="27"/>
        </w:rPr>
        <w:t xml:space="preserve"> Алла Александровна</w:t>
      </w:r>
    </w:p>
    <w:p w:rsidR="003671B7" w:rsidRDefault="003671B7" w:rsidP="003671B7">
      <w:pPr>
        <w:pStyle w:val="a4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</w:p>
    <w:p w:rsidR="003671B7" w:rsidRDefault="003671B7" w:rsidP="003671B7">
      <w:pPr>
        <w:pStyle w:val="a4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экономической теории и маркетинга</w:t>
      </w:r>
    </w:p>
    <w:p w:rsidR="003671B7" w:rsidRDefault="003671B7" w:rsidP="003671B7">
      <w:pPr>
        <w:pStyle w:val="a4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Белорусский государственный технологический университет</w:t>
      </w:r>
    </w:p>
    <w:p w:rsidR="003671B7" w:rsidRDefault="003671B7" w:rsidP="003671B7">
      <w:pPr>
        <w:pStyle w:val="a4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Минск, Беларусь</w:t>
      </w:r>
    </w:p>
    <w:p w:rsidR="006D7F25" w:rsidRPr="00C75575" w:rsidRDefault="006D7F25" w:rsidP="006D7F25">
      <w:pPr>
        <w:pStyle w:val="a3"/>
        <w:ind w:firstLine="709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7901AB" w:rsidRPr="00C75575" w:rsidRDefault="007901A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1B7">
        <w:rPr>
          <w:rFonts w:ascii="Times New Roman" w:hAnsi="Times New Roman" w:cs="Times New Roman"/>
          <w:b/>
          <w:sz w:val="26"/>
          <w:szCs w:val="26"/>
        </w:rPr>
        <w:t>Аннотация:</w:t>
      </w:r>
      <w:r w:rsidR="00563E34"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развитием технологий, промышленной революцией, предприятия в настоящее время находятся в конкурентной борьбе за инновации в продуктах, услугах и бизнес-моделях. Между тем, возникающий социально-экологический кризис делает все более важным выявление воздействия бизнеса на окружающую среду и общество. На сегодняшний день во многих литературах изучалось, как можно достичь устойчивости за счет внутренних исследований и разработок фирм, а также сотрудничества в цепочке поставок. Однако такие вопросы, как участие различных заинтересованных сторон, в том числе клиентов, партнеров, правительства и университетов, устойчивое формирование инновационной экосистемы, изучены недостаточно. Эта статья направлена ​​на обеспечение связи между инновациями и устойчивым развитием посредством обзора литературы и изучения конкретных случаев. Создается концептуальная основа, начиная с уровня фирмы / внутрифирменного уровня, до уровня цепочки поставок / уровня внутрифирменного уровня и до уровня экосистемы. Предлагая возникающие темы инноваций с точки зрения устойчивости, структура может быть обогащена и подтверждена в ходе будущих эмпирических исследований.</w:t>
      </w:r>
    </w:p>
    <w:p w:rsidR="009F57F9" w:rsidRPr="00C75575" w:rsidRDefault="007901A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Ключевые слова:</w:t>
      </w:r>
      <w:r w:rsidRPr="00C75575">
        <w:rPr>
          <w:rFonts w:ascii="Times New Roman" w:hAnsi="Times New Roman" w:cs="Times New Roman"/>
          <w:sz w:val="26"/>
          <w:szCs w:val="26"/>
        </w:rPr>
        <w:t xml:space="preserve"> устойчивые инновации; инновационная </w:t>
      </w:r>
      <w:r w:rsidR="007930BE" w:rsidRPr="00C75575">
        <w:rPr>
          <w:rFonts w:ascii="Times New Roman" w:hAnsi="Times New Roman" w:cs="Times New Roman"/>
          <w:sz w:val="26"/>
          <w:szCs w:val="26"/>
        </w:rPr>
        <w:t>экосистема</w:t>
      </w:r>
      <w:r w:rsidRPr="00C75575">
        <w:rPr>
          <w:rFonts w:ascii="Times New Roman" w:hAnsi="Times New Roman" w:cs="Times New Roman"/>
          <w:sz w:val="26"/>
          <w:szCs w:val="26"/>
        </w:rPr>
        <w:t>; инновация</w:t>
      </w:r>
      <w:r w:rsidR="00563E34" w:rsidRPr="00C75575">
        <w:rPr>
          <w:rFonts w:ascii="Times New Roman" w:hAnsi="Times New Roman" w:cs="Times New Roman"/>
          <w:sz w:val="26"/>
          <w:szCs w:val="26"/>
        </w:rPr>
        <w:t>.</w:t>
      </w:r>
    </w:p>
    <w:p w:rsidR="007D7F5C" w:rsidRPr="00C75575" w:rsidRDefault="007D7F5C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Введение</w:t>
      </w:r>
      <w:r w:rsidR="00563E34" w:rsidRPr="009A3E23">
        <w:rPr>
          <w:rFonts w:ascii="Times New Roman" w:hAnsi="Times New Roman" w:cs="Times New Roman"/>
          <w:b/>
          <w:sz w:val="26"/>
          <w:szCs w:val="26"/>
        </w:rPr>
        <w:t>:</w:t>
      </w:r>
      <w:r w:rsidR="00563E34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>Успех бизнеса все больше зависит от инноваций и устойчивости. Инновации связаны с деятельностью по созданию и обмену знаниями внутри и между организациями. Здесь представлены исследования и внедрение новых продуктов, новых методов производства, новых рынков, новых источников поставок и новых отраслевых организаций [1]. Интернет вещей, большие данные, 3D-печать и другие передовые технологии Четвертой промышленной революции постоянно отражают и позволяют развивать экономику совместного использования с особенностями творчества, участия небольших фирм и участия общества [2]. В то же время социальные и экологические последствия производственной и экономической деятельности становятся все более важными, поскольку компании в настоящее время рассматривают устойчивые особенности в своих инновационных продуктах, технологических процессах и цепочке поставок.</w:t>
      </w:r>
    </w:p>
    <w:p w:rsidR="00563E34" w:rsidRPr="00C75575" w:rsidRDefault="00563E34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 Б</w:t>
      </w:r>
      <w:r w:rsidR="007D7F5C" w:rsidRPr="00C75575">
        <w:rPr>
          <w:rFonts w:ascii="Times New Roman" w:hAnsi="Times New Roman" w:cs="Times New Roman"/>
          <w:sz w:val="26"/>
          <w:szCs w:val="26"/>
        </w:rPr>
        <w:t xml:space="preserve">лагодаря таким подходам, как снижение энергопотребления, инвестиции в переработку и участие в общественной деятельности, бренд и имидж компании могут лучше узнаваться клиентами, что, в свою очередь, приносит компании устойчивую прибыль. Действительно, все большее давление на компании оказывается прозрачным в своей деятельности, связанной с такими проблемами, как выбросы углерода, хотя и с различными нагрузками, ведущими к изменению стратегий раскрытия информации [3,4]. Однако, помимо экологических аспектов, устойчивость часто рассматривается через систему </w:t>
      </w:r>
      <w:proofErr w:type="spellStart"/>
      <w:r w:rsidR="007D7F5C" w:rsidRPr="00C75575">
        <w:rPr>
          <w:rFonts w:ascii="Times New Roman" w:hAnsi="Times New Roman" w:cs="Times New Roman"/>
          <w:sz w:val="26"/>
          <w:szCs w:val="26"/>
        </w:rPr>
        <w:t>Triple-Bottom-Line</w:t>
      </w:r>
      <w:proofErr w:type="spellEnd"/>
      <w:r w:rsidR="007D7F5C" w:rsidRPr="00C75575">
        <w:rPr>
          <w:rFonts w:ascii="Times New Roman" w:hAnsi="Times New Roman" w:cs="Times New Roman"/>
          <w:sz w:val="26"/>
          <w:szCs w:val="26"/>
        </w:rPr>
        <w:t xml:space="preserve"> (TBL), что означает, что истинная устойчивость находится на пересечении экономических (финансовых), экологических (экологических) и социальных аспектов [5]. </w:t>
      </w:r>
      <w:proofErr w:type="spellStart"/>
      <w:r w:rsidR="007D7F5C" w:rsidRPr="00C75575">
        <w:rPr>
          <w:rFonts w:ascii="Times New Roman" w:hAnsi="Times New Roman" w:cs="Times New Roman"/>
          <w:sz w:val="26"/>
          <w:szCs w:val="26"/>
        </w:rPr>
        <w:lastRenderedPageBreak/>
        <w:t>Проактивно</w:t>
      </w:r>
      <w:proofErr w:type="spellEnd"/>
      <w:r w:rsidR="007D7F5C" w:rsidRPr="00C75575">
        <w:rPr>
          <w:rFonts w:ascii="Times New Roman" w:hAnsi="Times New Roman" w:cs="Times New Roman"/>
          <w:sz w:val="26"/>
          <w:szCs w:val="26"/>
        </w:rPr>
        <w:t>, соображения об этих аспектах могут быть связаны с новым продуктом и дизайном процесса, что позволяет фирмам реагировать на новые нагрузки и проблемы устойчивости, а также принимать</w:t>
      </w:r>
      <w:r w:rsidR="005219DB" w:rsidRPr="00C75575">
        <w:rPr>
          <w:rFonts w:ascii="Times New Roman" w:hAnsi="Times New Roman" w:cs="Times New Roman"/>
          <w:sz w:val="26"/>
          <w:szCs w:val="26"/>
        </w:rPr>
        <w:t xml:space="preserve"> преимущество сопутствующих возможностей. </w:t>
      </w:r>
    </w:p>
    <w:p w:rsidR="00563E34" w:rsidRPr="00C75575" w:rsidRDefault="005219D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Внешне управление поставками, этическое снабжение и развитие тесных взаимоотношений с клиентами также могут генерировать инновации, которые оказывают воздействие (и выгоды) как для учреждения, так и для более широкого сообщества. Такие фирмы, как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Boeing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Airbus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Apple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уже внедряют инновационные практики с помощью открытого системного подхода, который объединяет ресурсы знаний вышестоящих и нисходящих организаций в их цепочке поставок [6]. Помимо партнеров по цепочке поставок, правительство, промышленная ассоциация, университеты и общество в целом также могут быть активно вовлечены, в совокупности формируя инновационную экосистему с функциями многоуровневых,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мультиузловых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многосторонних систем и особенности сосуществования,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коэволюции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ко-специализации и кооптации [7]. </w:t>
      </w:r>
    </w:p>
    <w:p w:rsidR="00563E34" w:rsidRPr="00C75575" w:rsidRDefault="005219D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Считается, что инновации расширились от линейной модели университетских знаний в режиме 1 до нелинейной модели университет-промышленность в режиме 2, а теперь - в режиме 3 [7], известном как университет-индустрия-правительство-гражданское общество. нелинейная модель «модель четверной спирали» [7]. При участии гражданского общества в этой сложной динамичной экосистеме начинает появляться концепция устойчивых инноваций. Исследования в области устойчивых инноваций были проведены недавно, однако, их бизнес-модель до сих пор остается недостаточно изученной [9]. </w:t>
      </w:r>
    </w:p>
    <w:p w:rsidR="00563E34" w:rsidRPr="00C75575" w:rsidRDefault="005219D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Кроме того, концепция устойчивых инноваций расширяется от корпоративной социальной ответственности до динамичной сети, которая занимает центральное место в контексте новой индустриальной эры инноваций, разделения экономики, коллективного обучения и участия общества. Поэтому важно понять его новое значение и определить области исследований, которые будут формировать значимую программу исследований. Руководствуясь академическим интересом и отраслевыми требованиями, эта статья направлена ​​на изучение проблемы инноваций с точки зрения устойчивости. </w:t>
      </w:r>
    </w:p>
    <w:p w:rsidR="005219DB" w:rsidRDefault="005219D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В частности, будут даны ответы на следующие три вопроса: (1) Каковы основные области устойчивых инноваций на внутрифирменном и межфирменном уровнях, в теории и на практике? (2) Каковы возникающие проблемы устойчивых инноваций в контексте инновационной экосистемы, в теории и на практике? (3) Каковы будущие области исследований устойчивых инноваций на уровне экосистем?</w:t>
      </w:r>
    </w:p>
    <w:p w:rsidR="009A3E23" w:rsidRPr="00C75575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9DB" w:rsidRPr="009A3E23" w:rsidRDefault="007930BE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1</w:t>
      </w:r>
      <w:r w:rsidR="005219DB" w:rsidRPr="009A3E23">
        <w:rPr>
          <w:rFonts w:ascii="Times New Roman" w:hAnsi="Times New Roman" w:cs="Times New Roman"/>
          <w:b/>
          <w:sz w:val="26"/>
          <w:szCs w:val="26"/>
        </w:rPr>
        <w:t>. Обзор литературы</w:t>
      </w:r>
    </w:p>
    <w:p w:rsidR="009A3E23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7703" w:rsidRPr="00C75575" w:rsidRDefault="005219D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Чтобы исследовать динамику технологического перехода к устойчивости и устойчивости, многоуровневая перспективная структура (MLP) используется в качестве аналитического инструмента, который разделяет социально-техническую систему на ландшафт (макроуровень), режимы (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мезоуровень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) и ниши. (микроуровень) [10]. Для объема этого исследования, как показано на рисунке 1, анализ начинается с внутрифирменных и межфирменных устойчивых инноваций, которые фокусируются на инновациях продуктов, услуг и процессов на микроуровне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мезоуровнях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из теорий управления операциями и цепочки поставок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. ,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Они могут стать строительными блоками знаний для достижения в конечном итоге неизвестных проблем на более макроуровне экосистемы, включая участие и вклад заинтересованных сторон Совета. Соответственно, существующая литература может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>быть рассмотрена с внутрифирменного и межфирменного уровней и экосистемы.</w:t>
      </w:r>
      <w:r w:rsidR="00DB7703" w:rsidRPr="00C75575">
        <w:rPr>
          <w:rFonts w:ascii="Times New Roman" w:hAnsi="Times New Roman" w:cs="Times New Roman"/>
          <w:sz w:val="26"/>
          <w:szCs w:val="26"/>
        </w:rPr>
        <w:t>\ 2.1. Внутрифирменные и Межфирменные Уровни</w:t>
      </w:r>
    </w:p>
    <w:p w:rsidR="00DB7703" w:rsidRPr="00C75575" w:rsidRDefault="00DB770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Внутри компаний инновации связаны с дизайном продуктов и услуг, как одной из важных областей принятия решений. Процесс включает в себя преобразование ресурсов, таких как проектный и технический персонал, оборудование и преобразованные ресурсы, такие как информация, для предоставления новых продуктов и / или услуг с четкой спецификацией. Устойчивое развитие тесно связано с инновациями в продуктах и ​​услугах, в том числе с возможностью переработки материалов, энергопотребления, образования отходов и технологических процессов с точки зрения утилизации отходов и продуктов, шумового загрязнения, загрязнения паров и выбросов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[11]. Экологические технологии, включая предотвращение и контроль загрязнения, а также системы экологического менеджмента рассматриваются как жесткие и мягкие технологии управления [12]. На уровне фирмы и внутри фирмы устойчивые инновации взаимодействуют с продуктами, процессами, услугами и бизнес-моделями [13]. В частности, с точки зрения устойчивости можно было бы согласиться с тем, что инновации с точки зрения бизнес-моделей крайне необходимы для перехода к устойчивому потреблению и производству [14] независимо от продолжающихся дискуссий о целесообразности продолжения экономического роста [15] или альтернативных точек зрения на устойчивое развитие и соответствующие способы управления для его достижения [16]. Связь между устойчивыми инновациями и управлением цепочками поставок была подчеркнута на том основании, что требование иметь возможность оценивать и улучшать воздействие продукта на жизненный цикл на устойчивость неизбежно требует вклада и вклада от полной цепочки поставок продукта, которая, вероятно, существует за пределами о полном контроле фокальной компании [17].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Исакссон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 [18] подчеркнуло, что большая ориентация на цепочку поставок / перспективу управления может привести к увеличению потенциала для инноваций во имя устойчивого развития, которое может рассматриваться как подкрепленное перспективой цепочки поставок как «альянс знаний» [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19 ]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>, исходя из того, что знания увеличиваются – является стимулом инноваций в интересах устойчивого развития.</w:t>
      </w:r>
    </w:p>
    <w:p w:rsidR="00DB7703" w:rsidRPr="00C75575" w:rsidRDefault="00DB770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Это основано на предыдущем признании роли управления цепями поставок в успехе традиционных (то есть, неустойчивых) усилий по разработке новых продуктов [20]. Таким образом,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Карвалью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Барбьери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[17] (стр. 147) определяют устойчивые инновации как «внедрение продуктов, производственных процессов, методов управления или бизнеса, новых или значительно улучшенных, которые приносят экономические, социальные или экологические результаты с учетом цепочки поставок и по сравнению с соответствующие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альтернативы »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. В последние годы появились попытки систематически и формально кодифицировать концепцию устойчивых инноваций в цепочках поставок (SSCI) [21,22].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Гао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[22] предполагают, что «коренные инновации в цепочках поставок» возникли из корня инноваций в цепочках поставок (SCI), которые можно определить как комплексное изменение от постепенных к радикальным изменениям в продукте, процессе, маркетинге, технологии, ресурсе и / или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организация, связанная со всеми связанными сторонами, охватывающая все связанные функции в цепочке поставок и создающая ценность для всех заинтересованных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сторон »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>[21] (с. 3497).</w:t>
      </w:r>
    </w:p>
    <w:p w:rsidR="00B46F83" w:rsidRPr="00C75575" w:rsidRDefault="00DB770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Следовательно, в контексте управления цепочками поставок устойчивые инновации могут рассматриваться как сложные и многогранные, отражающие многочисленные категории или «типы» инноваций (продукт, процесс, организационная структура и бизнес-модели) [21], которые по-разному пересекаются с многочисленные межфирменные,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 xml:space="preserve">восходящие и нисходящие процессы, которые составляют управление цепочкой поставок (включая, например, «сделать», «источник», «доставить», «розничный») [23,24].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Гао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[22] кодифицирует широту этих пересечений в их концептуальной структуре SSCI. Затем это дополнительно детализируется с помощью многомерных показателей эффективности, которые выходят за рамки традиционных экономических показателей эффективности инноваций (таких как затраты, возврат инвестиций или доля рынка) и включают социальные и экологические показатели эффективности (например, сокращение отходов, возможность переработки, здоровье и безопасность и т. д.). Например, в контексте цепочек поставок продуктов питания, четыре критерия устойчивости были кодифицированы для классификации устойчивого развития новых продуктов питания: разработка более здорового продукта (например, сокращение консервантов); проектирование для окружающей среды (то есть выбор материалов / компонентов, которые оказывают минимальное воздействие в течение всего срока службы); дизайн для продления жизненного цикла (например, посредством использования определенных долговечных материалов) и дизайн с использованием устойчивых материалов (например, использование переработанных материалов) [24]. Реализация инновационных стратегий для повышения устойчивости в цепочках поставок обусловлена ​​как внутренними, так и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внешними мотивами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и стимулами (такими как государственное регулирование,</w:t>
      </w:r>
      <w:r w:rsidR="00B46F83" w:rsidRPr="00C75575">
        <w:rPr>
          <w:rFonts w:ascii="Times New Roman" w:hAnsi="Times New Roman" w:cs="Times New Roman"/>
          <w:sz w:val="26"/>
          <w:szCs w:val="26"/>
        </w:rPr>
        <w:t xml:space="preserve"> требования клиентов, конкурентные преимущества и личные ценности управляющих директоров и / или сотрудников) [25–27]. Эти стратегии могут рассматриваться как «реактивные» или «активные» [25] и, таким образом,</w:t>
      </w:r>
    </w:p>
    <w:p w:rsidR="00B46F83" w:rsidRPr="00C75575" w:rsidRDefault="00B46F8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«Постепенный» или «радикальный» в их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инновационности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соответственно [17, 26]: постепенно инновационные стратегии для повышения устойчивости в цепочке поставок могут включать подходы к управлению поставщиками и развитию, направленные на повышение устойчивости (экологические / социальные) эффективность существующих структур / продуктов / процессов цепочки поставок посредством управления рисками и уровнями эффективности в цепочке поставок; радикально инновационные стратегии могут включать активное развитие новых устойчивых продуктов, что требует развития новых отношений и новых структур цепочки поставок [25,28]. В связи с этим, как для дополнительных и радикальных инноваций для устойчивого предложения управление цепочкой, подчеркивается важность отношений и сотрудничества с партнерами по цепочке поставок [29].</w:t>
      </w:r>
    </w:p>
    <w:p w:rsidR="00B46F83" w:rsidRPr="00C75575" w:rsidRDefault="00B46F8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Способность управлять отношениями и развивать партнерские отношения для устойчивых инноваций в цепочках поставок была определена как одна из серии «динамических возможностей», которые рассматриваются как существенные предпосылки для инноваций для обеспечения устойчивости в управлении цепочками поставок [30]. В рамках тематического исследования итальянского МСП в пищевой промышленности. [24] Поэтому связаны определенные динамические возможности для определенных типов инноваций (инкрементные или радикальные). Авторы обнаружили, что в то время как DC, такие как оценка знаний (способность оценивать знания по их качеству) и рефлексивный контроль (способность постоянно контролировать производительность цепочки поставок с точки зрения ее требуемой функциональности) была необходима для постепенных инноваций, развития партнеров (развитие партнеров цепочки поставок возможности через обмен знаниями, совместные программы),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реконцептуализацию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цепочки поставок (способность по мере необходимости изменять архитектуру цепочки поставок), совместное развитие (разработка и внедрение новых возможностей посредством совместной работы) и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>приобретение знаний (способность приобретать уже имеющиеся знания другими партнерами цепочки поставок) были необходимы для радикальных инноваций.</w:t>
      </w:r>
    </w:p>
    <w:p w:rsidR="00B46F83" w:rsidRDefault="00B46F8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В связи с этим в литературе подчеркивается роль целевой компании (компании, которая управляет или управляет цепочкой поставок, или имеет прямой контакт с покупателем, или является владельцем бренда [25] как источник распространения инноваций по всей их цепочке поставок: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Карвалью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Барбьери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[17] назвали фокусную компанию «индуктором инноваций». Их работа основана на Ван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Боммеле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[28], который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предложил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что «инновационная сила» целевой компании опосредует взаимосвязь между внешними факторами устойчивости и реализацией стратегий устойчивой цепочки поставок [25]. «Инновационная сила» целевой компании состоит из «инновационных характеристик» целевой компании (таких как сотрудничество между отделами, обучение и адаптация, возможность экспериментировать и ориентирование на результаты) и «кооперативных характеристик» цепочки поставок. (например, уровень доверия, репутация, совместные программы и совместные системы обмена информацией).</w:t>
      </w:r>
    </w:p>
    <w:p w:rsidR="009A3E23" w:rsidRPr="00C75575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F83" w:rsidRPr="00C75575" w:rsidRDefault="007930BE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575">
        <w:rPr>
          <w:rFonts w:ascii="Times New Roman" w:hAnsi="Times New Roman" w:cs="Times New Roman"/>
          <w:b/>
          <w:sz w:val="26"/>
          <w:szCs w:val="26"/>
        </w:rPr>
        <w:t>1</w:t>
      </w:r>
      <w:r w:rsidR="00B46F83" w:rsidRPr="00C75575">
        <w:rPr>
          <w:rFonts w:ascii="Times New Roman" w:hAnsi="Times New Roman" w:cs="Times New Roman"/>
          <w:b/>
          <w:sz w:val="26"/>
          <w:szCs w:val="26"/>
        </w:rPr>
        <w:t>.2. Уровень экосистемы: открытые инновации, инновационная экосистема, тройная / четверная спираль</w:t>
      </w:r>
    </w:p>
    <w:p w:rsidR="009A3E23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F83" w:rsidRPr="00C75575" w:rsidRDefault="00B46F8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В то время как внутрифирменные и межфирменные исследования можно найти непосредственно в литературе по инновациям в продуктах и ​​цепочке поставок, концепция экосистемы может быть изучена посредством открытых инноваций, бизнес-экосистемы, инновационная экосистема и теории тройной спирали.</w:t>
      </w:r>
    </w:p>
    <w:p w:rsidR="00B46F83" w:rsidRPr="00C75575" w:rsidRDefault="00B46F8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В то время как традиционные инновации в продуктах и ​​процессах проводятся в крупных фирмах или через официальных партнеров по цепочке поставок, известных как закрытые инновации, концепция открытых инноваций проявляется как фирмы используют внешние и внутренние идеи для продвижения своих технологий, разрушая границы компаний в направлении обмена знаниями для разработки продуктов и услуг [31]. Используя экологические метафоры, разработал концепцию бизнес-экосистемы и определил ее как экономическое сообщество, поддерживаемое фондом взаимодействующих организаций и отдельных лиц - организмов бизнеса. Экономическое сообщество производит товары и услуги, представляющие ценность для клиентов, которые сами являются членами экосистемы. Организмы-члены также включают поставщиков, ведущих </w:t>
      </w:r>
      <w:proofErr w:type="spellStart"/>
      <w:proofErr w:type="gramStart"/>
      <w:r w:rsidRPr="00C75575">
        <w:rPr>
          <w:rFonts w:ascii="Times New Roman" w:hAnsi="Times New Roman" w:cs="Times New Roman"/>
          <w:sz w:val="26"/>
          <w:szCs w:val="26"/>
        </w:rPr>
        <w:t>производителей,конкуренты</w:t>
      </w:r>
      <w:proofErr w:type="spellEnd"/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и другие заинтересованные стороны. Со временем они совместно развивают свои возможности и роли и стремятся присоединиться к направлениям, установленным одной или несколькими центральными компаниями. Те компании холдинга</w:t>
      </w:r>
    </w:p>
    <w:p w:rsidR="00161E78" w:rsidRPr="00C75575" w:rsidRDefault="00B46F8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Лидерские роли могут со временем меняться, но функция лидера экосистемы ценится сообществом, поскольку она позволяет участникам двигаться к общим взглядам, чтобы согласовать свои инвестиции и найти</w:t>
      </w:r>
      <w:r w:rsidR="00161E78"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1E78" w:rsidRPr="00C75575">
        <w:rPr>
          <w:rFonts w:ascii="Times New Roman" w:hAnsi="Times New Roman" w:cs="Times New Roman"/>
          <w:sz w:val="26"/>
          <w:szCs w:val="26"/>
        </w:rPr>
        <w:t>взаимоподдерживающие</w:t>
      </w:r>
      <w:proofErr w:type="spellEnd"/>
      <w:r w:rsidR="00161E78"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1E78" w:rsidRPr="00C75575">
        <w:rPr>
          <w:rFonts w:ascii="Times New Roman" w:hAnsi="Times New Roman" w:cs="Times New Roman"/>
          <w:sz w:val="26"/>
          <w:szCs w:val="26"/>
        </w:rPr>
        <w:t>роли »</w:t>
      </w:r>
      <w:proofErr w:type="gramEnd"/>
      <w:r w:rsidR="00161E78" w:rsidRPr="00C75575">
        <w:rPr>
          <w:rFonts w:ascii="Times New Roman" w:hAnsi="Times New Roman" w:cs="Times New Roman"/>
          <w:sz w:val="26"/>
          <w:szCs w:val="26"/>
        </w:rPr>
        <w:t>[32] (с. 26). Это расширило официальную цепочку поставок в сторону широкой сети заинтересованных сторон и сторонних деловых партнеров в динамичной и взаимозависимой форме.</w:t>
      </w:r>
    </w:p>
    <w:p w:rsidR="00161E78" w:rsidRPr="00C75575" w:rsidRDefault="00161E78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В то время как теории цепочки поставок ориентированы на отрасль и уровень цепочки создания стоимости, концепция бизнес-экосистемы относится к эволюции поставщиков, ведущих производителей, конкурентов и других заинтересованных сторон, проходящих через существующее сотрудничество через этапы расширения, конвергенции и обновления [33]. Этот динамичный процесс может помочь компаниям переосмыслить структуру бизнеса,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>устойчивость и характер сотрудничества в формировании и поддержании как новой отрасли, так и устоявшихся секторов.</w:t>
      </w:r>
    </w:p>
    <w:p w:rsidR="00161E78" w:rsidRPr="00C75575" w:rsidRDefault="00161E78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С точки зрения управления знаниями, инновационная экосистема состоит из экономических и неэкономических агентов и отношений, включая технологии, институты, социологические взаимодействия и культуру [34,35]. Однако детали организационной структуры инновационной экосистемы и процесса ее развития недостаточно изучены в современной литературе. Это видно из значений</w:t>
      </w:r>
    </w:p>
    <w:p w:rsidR="00161E78" w:rsidRPr="00C75575" w:rsidRDefault="00161E78" w:rsidP="009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С точки зрения экосистемы, цепочка поставок является формальной межфирменной связью в четко определенных секторах промышленности или товарах, тогда как открытые инновации включают в себя более неформальные и косвенные отношения внутри</w:t>
      </w:r>
      <w:r w:rsidR="009A3E23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>определенный сектор промышленности, но иногда продукт является неопределенным. Бизнес-экосистема расширяет цепочку поставок в направлении общего участия заинтересованных сторон, в результате чего происходит расширение, сближение и обновление в новой отрасли или цепочке создания стоимости. Инновационная экосистема ориентирована на создание и обмен знаниями и ИС, иногда не обязательно приводит к ощутимым результатам, таким как продукт или цепочка создания стоимости. Эти проблемы пересекаются, помогая сформировать целостный взгляд на экосистему и ее взаимодействие с устойчивым развитием с экономической, экологической и социальной точек зрения. Экосистема также пересекается с альянсом и кластером. Тем не менее, его структура соответствует принципу «многостороннего набора партнеров, которые должны взаимодействовать, чтобы реализовать ценностное предложение» [36] (стр. 42).</w:t>
      </w:r>
    </w:p>
    <w:p w:rsidR="00161E78" w:rsidRPr="00C75575" w:rsidRDefault="00161E78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Недавние теории тройной спирали исследуют нелинейную связь между университетами, промышленностью и правительством для создания знаний и обмена ими, где промышленность выступает в качестве источника производства, правительство обеспечивает нормативы, стабильность и правила игры, а университеты являются поставщиками новых знаний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и технологии [37,38]. Основываясь на тройной спирали, позже был идентифицирован еще один элемент инноваций - общественные / гражданские / посреднические организации, основанные на средствах массовой информации и культуре, которые в целом известны как модель четырехкратной спирали [39]. С введением гражданского общества и посредничества на основе средств массовой информации и культуры устойчивые инновации, вовлекающие общество, становятся новой темой исследований в целом мире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экосистемной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среде. Тем не менее, в настоящее время существует ограниченное понимание слабых сторон экосистемы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четырехспиральной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спирали, таких как построение отношений доверия и доверия [40]. Такие мягкие факторы считаются неотъемлемой частью стратегий партнерства и сотрудничества, которые могут обеспечить совместное использование основных ресурсов в контексте действительно открытой инновационной экосистемы, такой как «умный город» [41].</w:t>
      </w:r>
    </w:p>
    <w:p w:rsidR="00161E78" w:rsidRDefault="00161E78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Помимо спиралей, промышленная ассоциация играет важную роль в экосистеме, помогая фирмам развивать потенциал [42]. Исследования социальных инноваций обеспечивают еще один поток литературы, подчеркивая роль инноваций в продуктах и ​​процессах с социальной целью [43] и развивая социальное предпринимательство [44]. Помимо участия университетов и клиентов, фирмы могут сотрудничать с НПО и посредниками для повышения эффективности открытых инноваций [45]. На региональном уровне исследования исследуют взаимосвязь между экологической устойчивостью и умными городами, объединяя инновации в цифровых технологиях, управление знаниями, экономическую эффективность, креативность, устойчивость и долгосрочное городское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[46,47]. Новая экономическая культура, подчеркивающая знания и обучение, должна быть связана с появлением знаний и умных городов [41,48].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Караяннис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Кэмпбелл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[49] предложил, чтобы эко-инновации и эко-предпринимательство были выделены в более широком понимании инноваций с отраслью, фирмами, экономической системой; правительство </w:t>
      </w:r>
      <w:proofErr w:type="spellStart"/>
      <w:proofErr w:type="gramStart"/>
      <w:r w:rsidRPr="00C75575">
        <w:rPr>
          <w:rFonts w:ascii="Times New Roman" w:hAnsi="Times New Roman" w:cs="Times New Roman"/>
          <w:sz w:val="26"/>
          <w:szCs w:val="26"/>
        </w:rPr>
        <w:t>штата,политическая</w:t>
      </w:r>
      <w:proofErr w:type="spellEnd"/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система; академия, университеты, система высшего образования; медиа и общественность; и природная среда и природная среда в контексте общества, предложенные в качестве нового каркаса пятикратной спирали.</w:t>
      </w:r>
    </w:p>
    <w:p w:rsidR="009A3E23" w:rsidRPr="00C75575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E78" w:rsidRPr="009A3E23" w:rsidRDefault="007930BE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2</w:t>
      </w:r>
      <w:r w:rsidR="00161E78" w:rsidRPr="009A3E23">
        <w:rPr>
          <w:rFonts w:ascii="Times New Roman" w:hAnsi="Times New Roman" w:cs="Times New Roman"/>
          <w:b/>
          <w:sz w:val="26"/>
          <w:szCs w:val="26"/>
        </w:rPr>
        <w:t>. Методология исследования</w:t>
      </w:r>
    </w:p>
    <w:p w:rsidR="009A3E23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045" w:rsidRPr="00C75575" w:rsidRDefault="00161E78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Целью данной работы является исследование возникающего феномена устойчивых инноваций в контексте инновационной экосистемы и среды с четырьмя спиралями. Систематический обзор литературы</w:t>
      </w:r>
      <w:r w:rsidR="009B6045" w:rsidRPr="00C75575">
        <w:rPr>
          <w:rFonts w:ascii="Times New Roman" w:hAnsi="Times New Roman" w:cs="Times New Roman"/>
          <w:sz w:val="26"/>
          <w:szCs w:val="26"/>
        </w:rPr>
        <w:t xml:space="preserve"> выходит за рамки наших исследований. Вместо этого глубокий анализ был взят в ключевую теоретическую работу, связанную с инновациями и устойчивым развитием, и сосредоточен на недавно опубликованных обзорах литературы, которые охватывать устойчивые инновации, определяемые как «прозрачный, интерактивный процесс, посредством которого общественные субъекты и новаторы становятся взаимно отзывчивыми друг с другом в целях признания приемлемости, устойчивости и социальной привлекательности инновационного процесса и его товарных продуктов» [50] (стр. 9 ). Основываясь на этом, исследование исследует более широкие значения и возникающие проблемы, которые могут связать инновации и устойчивость. Таким образом, ключевые вопросы суммированы с уровня фирмы / внутрифирменного уровня, цепочки поставок / уровня внутрифирменного уровня и уровня экосистемы, что обеспечивает ключевые строительные блоки нашей концептуальной основы.</w:t>
      </w:r>
    </w:p>
    <w:p w:rsidR="009B6045" w:rsidRPr="00C75575" w:rsidRDefault="009B6045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Текущая литература ясно показывает взаимодействие инноваций и устойчивости на уровне фирм и цепочек поставок через инновации продуктов и процессов. Однако устойчивые инновации на уровне экосистем, сочетающие в себе черты открытости,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коэволюции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между университетами, промышленностью, правительством и гражданским обществом, пока не ясны. На самом деле, эмпирические исследования инноваций в области четырехкратной спирали только начали появляться [40]. Как новая концепция, внедрение ответственных инноваций в бизнес-контексте все еще ограничено [51].</w:t>
      </w:r>
    </w:p>
    <w:p w:rsidR="009B6045" w:rsidRPr="00C75575" w:rsidRDefault="009B6045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Таким образом, чтобы обогатить рамки, были проведены исследовательские тематические исследования. Как утверждает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Эйзенхардт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[52], тематические исследования могут объяснить детали текущего явления. Инь [53] предлагает использовать метод исследования применяется для объяснения, описания, иллюстрации, исследования и мета-оценки. Для дальнейшего понимания взаимодействия инноваций и устойчивости на практике были выбраны три тематические компании, основанные на критериях. (1) Эти фирмы известны своей передовой практикой инноваций, а также устойчивостью / КСО; (2) Они имеют сильные внутренние возможности для исследований и разработок и сотрудничают с рядом внешних партнеров; (3) Они инициируют открытые инновационные платформы с внешними ресурсами, расширяя отношения цепочки поставок к экосистеме; (4) Данные, связанные с их инновациями и практика устойчивого развития может быть оценена либо с веб-сайта компании, либо из опубликованных ресурсов; (5) Существует сочетание инноваций в продуктах, взаимодействия с заинтересованными сторонами и открытых инноваций дела компаний, которые потенциально могут быть реализованы в других компаниях; (6) Хотя компании могут быть из разных секторов, результаты их практической деятельности могут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>быть распространены на общие вопросы устойчивых инноваций, наряду с темами, определенными в существующей литературе. Таблица 1 показывает подробную информацию о компаниях.</w:t>
      </w:r>
    </w:p>
    <w:p w:rsidR="00985B6B" w:rsidRPr="00C75575" w:rsidRDefault="009B6045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В целях предварительного изучения данных были собраны данные из вторичных источников, таких как опубликованные документы, веб-сайты компаний, а также отчеты по КСО и устойчивому развитию, о деятельности, проектах, продуктах и ​​процессах. Затем они были классифицированы на уровне фирмы /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внутрифирмы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что означает устойчивые инновации в рамках одной компании или различных сайтов одного и того же MNE; межфирменный уровень, что означает устойчивые инновации между целевой фирмой и ее партнерами по цепочке поставок; и уровень экосистемы, что означает устойчивые инновации, происходящие за пределами официальной сети поставок, с участием пользователей, университетов, правительства и других косвенных партнеров. Посредством анализа содержания данные на каждом уровне были закодированы и расположены в соответствии с их связью с тремя столпами трехуровневой экономической, экологической и социальной устойчивости. Например, этическое управление цепочками поставок и справедливая торговля позиционировалась как межфирменная социальная устойчивость; улучшение экологических характеристик продукта с помощью внутренних исследований и разработок инновационная практика. Затем было проведено сравнение между данными случаев и литературой, которая может</w:t>
      </w:r>
      <w:r w:rsidR="00985B6B" w:rsidRPr="00C75575">
        <w:rPr>
          <w:rFonts w:ascii="Times New Roman" w:hAnsi="Times New Roman" w:cs="Times New Roman"/>
          <w:sz w:val="26"/>
          <w:szCs w:val="26"/>
        </w:rPr>
        <w:t xml:space="preserve"> создать концептуальную основу, сочетающую инновации и устойчивость с ключевыми игроками (активаторами) и KPI на уровне экосистем.</w:t>
      </w:r>
    </w:p>
    <w:p w:rsidR="00985B6B" w:rsidRPr="00C75575" w:rsidRDefault="00985B6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Рассматривая будущие исследования, основанные на этом документе, в конечном итоге нацеленные на создание связи между инновационной экосистемой и устойчивостью, мы также предлагаем программу исследований (рисунок 2), содержащую три основных этапа исследовательского проекта: построение теории и исследования конкретных случаев (этот документ), построение теории и основные тематические исследования (будущие исследования), а также тестирование и проверка теории (будущие исследования).</w:t>
      </w:r>
    </w:p>
    <w:p w:rsidR="00985B6B" w:rsidRDefault="00985B6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Эта статья - первый шаг, принятие качественного метода с исследованиями конкретных случаев для выявления возникающих проблем устойчивых инноваций на разных уровнях и предложение основы. Второй шаг - построение теории с основными примерами, чтобы выявить текущие проблемы в бизнесе и обогатить предыдущие рамки. Наконец, количественные методы будут приняты для проверки и подтверждения теории.</w:t>
      </w:r>
    </w:p>
    <w:p w:rsidR="009A3E23" w:rsidRPr="00C75575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B6B" w:rsidRPr="009A3E23" w:rsidRDefault="007930BE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3</w:t>
      </w:r>
      <w:r w:rsidR="00985B6B" w:rsidRPr="009A3E23">
        <w:rPr>
          <w:rFonts w:ascii="Times New Roman" w:hAnsi="Times New Roman" w:cs="Times New Roman"/>
          <w:b/>
          <w:sz w:val="26"/>
          <w:szCs w:val="26"/>
        </w:rPr>
        <w:t>. Выводы и обсуждение</w:t>
      </w:r>
    </w:p>
    <w:p w:rsidR="009A3E23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B6B" w:rsidRDefault="00985B6B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Обзор литературы показывает, что на уровне фирм и внутрифирменных исследований исследования устойчивых инноваций в отношении продуктов, услуг и процессов уже являются зрелыми, как часть теории операций и управления цепочками поставок. На уровне экосистем открытые инновации подчеркивают создание знаний в компаниях с четкой целью, такой как дизайн продукта, тогда как бизнес-экосистема и инновационная экосистема связаны с неопределенностью результатов инноваций, а сама система является расширением и улучшением существующего сотрудничества. Теории тройной спирали и четырехкратной спирали обеспечивают модели нелинейных инноваций с взаимодействием университетов, промышленности, правительства и общества. В частности, с учетом того, что общество и окружающая среда выдвинуты на первый план в теории пятикратной спирали, инновации тесно связаны с устойчивостью. Тем не менее, как новые теории, детали не ясны, и есть необходимость в более эмпирических исследованиях. Таким образом, для дальнейшего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>чтобы понять детальное значение и новые проблемы устойчивых инноваций, мы исследовали три компании, которые начали программы, связанные с устойчивыми инновациями на уровне сети или общества.</w:t>
      </w:r>
    </w:p>
    <w:p w:rsidR="009A3E23" w:rsidRPr="00C75575" w:rsidRDefault="009A3E23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B6B" w:rsidRPr="009A3E23" w:rsidRDefault="007930BE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3</w:t>
      </w:r>
      <w:r w:rsidR="00985B6B" w:rsidRPr="009A3E23">
        <w:rPr>
          <w:rFonts w:ascii="Times New Roman" w:hAnsi="Times New Roman" w:cs="Times New Roman"/>
          <w:b/>
          <w:sz w:val="26"/>
          <w:szCs w:val="26"/>
        </w:rPr>
        <w:t>.1. И</w:t>
      </w:r>
      <w:r w:rsidR="009A3E23">
        <w:rPr>
          <w:rFonts w:ascii="Times New Roman" w:hAnsi="Times New Roman" w:cs="Times New Roman"/>
          <w:b/>
          <w:sz w:val="26"/>
          <w:szCs w:val="26"/>
        </w:rPr>
        <w:t>сследовательский случай первый –</w:t>
      </w:r>
      <w:r w:rsidR="00985B6B" w:rsidRPr="009A3E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85B6B" w:rsidRPr="009A3E23">
        <w:rPr>
          <w:rFonts w:ascii="Times New Roman" w:hAnsi="Times New Roman" w:cs="Times New Roman"/>
          <w:b/>
          <w:sz w:val="26"/>
          <w:szCs w:val="26"/>
        </w:rPr>
        <w:t>Heineken</w:t>
      </w:r>
      <w:proofErr w:type="spellEnd"/>
    </w:p>
    <w:p w:rsidR="009A3E23" w:rsidRDefault="009A3E23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232C5B" w:rsidRDefault="00985B6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На уровне фирм /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внутрифирм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Heineken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рассматривает возможность использования возобновляемых источников энергии (солнечной и ветровой энергии), инноваций в натуральных материалах и продуктах, сокращения отходов и улучшения качества за счет совершенствования технологий эксплуатации (например, хранение). В целях поощрения взаимодействия с акционерами компания запустила проект «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Brewhouse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Innovators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Brewhouse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», который объединяет инновационное пространство, открытое для предпринимателей, изобретателей, университетов, поставщиков и частных лиц. Цель состоит в том, чтобы коллективно найти</w:t>
      </w:r>
      <w:r w:rsidR="000135B9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 xml:space="preserve">решения проблем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Heineken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с помощью изобретений и совместного развития. Эти проблемы включают в себя устойчивость (например, технологии упаковки), пивоварения и дистрибуции, технологии, продукта</w:t>
      </w:r>
      <w:r w:rsidR="000135B9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 xml:space="preserve">и ингредиенты. Посредством инноваций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Heineken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может создавать ресурсы знаний, расширяя инновационную экосистему и совместно</w:t>
      </w:r>
      <w:r w:rsidR="00232C5B"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2C5B" w:rsidRPr="00C75575">
        <w:rPr>
          <w:rFonts w:ascii="Times New Roman" w:hAnsi="Times New Roman" w:cs="Times New Roman"/>
          <w:sz w:val="26"/>
          <w:szCs w:val="26"/>
        </w:rPr>
        <w:t>с  партнерами</w:t>
      </w:r>
      <w:proofErr w:type="gramEnd"/>
      <w:r w:rsidR="00232C5B" w:rsidRPr="00C75575">
        <w:rPr>
          <w:rFonts w:ascii="Times New Roman" w:hAnsi="Times New Roman" w:cs="Times New Roman"/>
          <w:sz w:val="26"/>
          <w:szCs w:val="26"/>
        </w:rPr>
        <w:t>.</w:t>
      </w:r>
    </w:p>
    <w:p w:rsidR="009A3E23" w:rsidRPr="00C75575" w:rsidRDefault="009A3E23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232C5B" w:rsidRPr="009A3E23" w:rsidRDefault="007930BE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3</w:t>
      </w:r>
      <w:r w:rsidR="00232C5B" w:rsidRPr="009A3E23">
        <w:rPr>
          <w:rFonts w:ascii="Times New Roman" w:hAnsi="Times New Roman" w:cs="Times New Roman"/>
          <w:b/>
          <w:sz w:val="26"/>
          <w:szCs w:val="26"/>
        </w:rPr>
        <w:t>.2</w:t>
      </w:r>
      <w:r w:rsidR="009A3E23">
        <w:rPr>
          <w:rFonts w:ascii="Times New Roman" w:hAnsi="Times New Roman" w:cs="Times New Roman"/>
          <w:b/>
          <w:sz w:val="26"/>
          <w:szCs w:val="26"/>
        </w:rPr>
        <w:t>. Исследовательский Случай Два –</w:t>
      </w:r>
      <w:r w:rsidR="00232C5B" w:rsidRPr="009A3E23">
        <w:rPr>
          <w:rFonts w:ascii="Times New Roman" w:hAnsi="Times New Roman" w:cs="Times New Roman"/>
          <w:b/>
          <w:sz w:val="26"/>
          <w:szCs w:val="26"/>
        </w:rPr>
        <w:t xml:space="preserve"> BMW</w:t>
      </w:r>
    </w:p>
    <w:p w:rsidR="009A3E23" w:rsidRDefault="009A3E23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232C5B" w:rsidRPr="00C75575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С точки зрения дизайна продукта на уровне фирмы /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внутрифирмы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электрическая мобильность в настоящее время является основным стратегическим направлением BMW. Например, компания разрабатывает аккумуляторные технологии в Германии, США и Китае, формируя локальные цепочки поставок. В целях экологической устойчивости BMW проводит исследования по инновационным технологиям резервуаров и дозаправки в сочетании с новой концепцией охлаждения топливных элементов.</w:t>
      </w:r>
    </w:p>
    <w:p w:rsidR="00232C5B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BMW работает с партнерами по глобальной цепочке поставок над новыми технологиями и исследованиями и разработками продуктов. Например, научно-исследовательский институт BMW в Шанхае специализируется на цифровых технологиях и технологиях вождения, благодаря сотрудничеству с различными местными экспертами, формирующими инновационную экосистему. Кроме того, открытые инновации предлагают компании возможности для увеличения ассортимента своей продукции и интеграции внешних идей. Одним из подходов является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Co-Creation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Lab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открытая платформа, на которой общественность может делиться идеями и мнениями о будущем автомобилей и совместно создавать продукты и услуги. В лаборатории проводятся конкурсы инноваций, такие как конкурс дизайна интерьера BMW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который побудил публику предложить инновационные идеи для персонализации интерьера автомобилей. Таким образом, BMW может лучше понять требования клиентов, получая при этом концепции дизайна и продвигая хороший имидж для общества.</w:t>
      </w:r>
    </w:p>
    <w:p w:rsidR="009A3E23" w:rsidRPr="00C75575" w:rsidRDefault="009A3E23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232C5B" w:rsidRPr="009A3E23" w:rsidRDefault="007930BE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3.</w:t>
      </w:r>
      <w:r w:rsidR="009A3E23">
        <w:rPr>
          <w:rFonts w:ascii="Times New Roman" w:hAnsi="Times New Roman" w:cs="Times New Roman"/>
          <w:b/>
          <w:sz w:val="26"/>
          <w:szCs w:val="26"/>
        </w:rPr>
        <w:t>3. Исследовательский случай 3 –</w:t>
      </w:r>
      <w:r w:rsidR="00232C5B" w:rsidRPr="009A3E23">
        <w:rPr>
          <w:rFonts w:ascii="Times New Roman" w:hAnsi="Times New Roman" w:cs="Times New Roman"/>
          <w:b/>
          <w:sz w:val="26"/>
          <w:szCs w:val="26"/>
        </w:rPr>
        <w:t xml:space="preserve"> P &amp; G</w:t>
      </w:r>
    </w:p>
    <w:p w:rsidR="009A3E23" w:rsidRDefault="009A3E23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232C5B" w:rsidRPr="00C75575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P &amp; G как крупная компания по производству потребительских товаров известна как инновационная. В целях устойчивого развития компания проводит исследования в области возобновляемых источников энергии, переработанных материалов, разработки продуктов и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>максимизации</w:t>
      </w:r>
      <w:r w:rsidR="00953A5D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>сохранение ресурсов. По мере того как масштабы бизнеса достигают земного шара, он также создал централизованный исследовательский институт (например, исследовательский центр здравоохранения) для интеграции глобальных ресурсов знаний. Команда</w:t>
      </w:r>
      <w:r w:rsidR="00953A5D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>изучает основные потребности потребителей в новых продуктах. Внутренне, технология одного продукта может быть перенесена в другой продукт, как способ совместного использования технологии и постоянного снижения затрат.</w:t>
      </w:r>
    </w:p>
    <w:p w:rsidR="00232C5B" w:rsidRPr="00C75575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Культура компании поощряет обучение через функции. Помимо собственных инноваций, P &amp; G тесно сотрудничает со своими основными партнерами по цепочке поставок через защищенную веб-платформу данных</w:t>
      </w:r>
      <w:r w:rsidR="00953A5D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>совместное использование. Помимо официальной цепочки поставок, P &amp; G также инициирует инновационную экосистему, запустив модель «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Connect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Develop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». Это открытая платформа, привлекающая внешних партнеров и частных лиц для внесения новых</w:t>
      </w:r>
      <w:r w:rsidR="00953A5D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>технологии и решения. Открытые инновации не только приводят к появлению новых идей для продуктов P &amp; G, но и облегчают последующие действия, такие как коммерциализация и управление взаимоотношениями с клиентами.</w:t>
      </w:r>
    </w:p>
    <w:p w:rsidR="00232C5B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Онлайн-портал теперь также используется как платформа для обмена IP-адресами, как часть развития сервиса. С расширением инновационной экосистемы, теперь она достигает сотрудничества с университетами, правительством, частными консультантами и другими ресурсами, демонстрируя модель устойчивых инноваций.</w:t>
      </w:r>
    </w:p>
    <w:p w:rsidR="009A3E23" w:rsidRPr="00C75575" w:rsidRDefault="009A3E23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232C5B" w:rsidRPr="009A3E23" w:rsidRDefault="007930BE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3</w:t>
      </w:r>
      <w:r w:rsidR="00232C5B" w:rsidRPr="009A3E23">
        <w:rPr>
          <w:rFonts w:ascii="Times New Roman" w:hAnsi="Times New Roman" w:cs="Times New Roman"/>
          <w:b/>
          <w:sz w:val="26"/>
          <w:szCs w:val="26"/>
        </w:rPr>
        <w:t>.4. обсуждение</w:t>
      </w:r>
    </w:p>
    <w:p w:rsidR="009A3E23" w:rsidRDefault="009A3E23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232C5B" w:rsidRPr="00C75575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В то время как литература освещает социальные инновации, безопасность пользователей, экологическую эффективность и государственную политику, отраслевая практика предлагает открытую платформу, взаимодействие с акционерами, культурные, доверительные отношения и</w:t>
      </w:r>
      <w:r w:rsidR="00953A5D"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>общественные / социальные инновации. Вышеупомянутые три исследовательских случая показывают, что на уровне фирм и внутрифирменных компаний внутренние исследования и разработки, глобальная интеграция исследовательских ресурсов, исследования клиентов являются основными путями устойчивых инноваций. На уровне цепочки поставок формальное сотрудничество, основанное на долгосрочном доверии, постоянно генерирует новый продукт и ценность. Построение отношений с местными экспертами может выявить новые возможности обучения и роста. Открытые инновации - это эффективный способ дальнейшего взаимодействия фирм с обществом и постоянного усвоения знаний. С акцентом на совместное использование и совместное развитие, отрасль может работать с университетами, правительством и пользователями для совместного решения проблем.</w:t>
      </w:r>
    </w:p>
    <w:p w:rsidR="00A11480" w:rsidRPr="00C75575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Переход от производства к развитию услуг также является тенденцией к постоянному увеличению ценности, знаний и рынка. Объединяя литературные и отраслевые наблюдения, мы суммировали деятельность, связанную с устойчивыми инновациями, на уровне фирм, цепочек поставок и экосистем, наряду с трехуровневой структурой устойчивости</w:t>
      </w:r>
      <w:r w:rsidR="00A11480"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1480" w:rsidRPr="00C7557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11480" w:rsidRPr="00C75575">
        <w:rPr>
          <w:rFonts w:ascii="Times New Roman" w:hAnsi="Times New Roman" w:cs="Times New Roman"/>
          <w:sz w:val="26"/>
          <w:szCs w:val="26"/>
        </w:rPr>
        <w:t xml:space="preserve"> настоящего времени исследованная теория и практика продемонстрировали связь между инновациями и устойчивостью на уровне фирм и цепочек поставок. Однако на уровне инновационной экосистемы все еще существуют пробелы в исследованиях. Детали того, как устойчивые инновации могут быть сформированы, развиты и улучшены, пока неизвестны. Исследовательские исследования показывают, что фирмы улучшают экологические характеристики продукта.</w:t>
      </w:r>
    </w:p>
    <w:p w:rsidR="00A11480" w:rsidRPr="00C75575" w:rsidRDefault="00A11480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lastRenderedPageBreak/>
        <w:t>и обслуживание, сокращение выбросов углекислого газа при улучшении внутренних операций и сотрудничество с партнерами по цепочке поставок. Это может быть практическим смыслом устойчивых инноваций в фирме и уровень цепочки поставок. На уровне экосистем концепция устойчивых инноваций означает гораздо больше.</w:t>
      </w:r>
    </w:p>
    <w:p w:rsidR="00A11480" w:rsidRPr="00C75575" w:rsidRDefault="00A11480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Отраслевая практика предполагает совместное создание знаний, взаимодействие с заинтересованными сторонами, совместную работу с партнерами и клиентами для решений, связанных с технологиями, разработкой продуктов и экологической устойчивостью. Таким образом, устойчивость может быть движущей силой инноваций и изменений в бизнесе, тогда как подходы к инновациям способствуют устойчивости, обеспечивая новую повестку дня по экономическим, социальным и экологическим вопросам. Как показано на рисунке 3, два измерения взаимодействуют друг с другом, образуя динамическую петлю обратной связи. Во время взаимодействия ключевыми игроками и активистами являются промышленность (компании, поставщики, конкуренты и т. Д.), Университет, научно-исследовательские институты, правительство, пользователи и НПО. Результатом является устойчивая инновационная экосистема с точки зрения долгосрочного продукта, услуги, процесса, бизнес-модели и развития сети.</w:t>
      </w:r>
    </w:p>
    <w:p w:rsidR="00A11480" w:rsidRPr="00C75575" w:rsidRDefault="00A11480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Рассматривая эти выводы с точки зрения существующих теоретических соображений, они предлагают большой потенциал для расширения и развития нашего понимания того, как организации могут плодотворно способствовать решению социально-экологического кризиса, с которым в настоящее время сталкивается планета [59]. На данном этапе можно предположить, что устойчивые инновации на уровне экосистем подтверждают важность взаимодействия с заинтересованными сторонами (особенно потребителями) [60] с разных точек зрения: во-первых, с точки зрения легитимации деятельности фирмы посредством лучшего понимания желаний клиентов, которые все более и более связанный с проблемами устойчивости (как замечено в BMW) и облегчить коммерциализацию и управление отношениями с клиентами (как замечено в P &amp; G); и, во-вторых, с точки зрения расширения доступа заинтересованных сторон к фирмам, с тем чтобы привлечь их к ответственности за их огромную власть и потенциал как для вреда и помогать социально-экологическим условиям посредством их деятельности. Это также может способствовать обсуждению (изменения) ролей и обязанностей в обществе крупных фирм, таких как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Heineken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BMW и P &amp; G в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антропоцене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</w:t>
      </w:r>
    </w:p>
    <w:p w:rsidR="007513CF" w:rsidRPr="00C75575" w:rsidRDefault="00A11480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Подходы к устойчивым инновациям на уровне экосистем могут также способствовать более демократичному подходу к определению и формулированию воздействия деятельности организации на устойчивость с точки зрения многих заинтересованных сторон, признавая тем самым многосторонний и нормативный характер устойчивости [61]. Тем не менее, в признании критических точек зрения на</w:t>
      </w:r>
      <w:r w:rsidR="007513CF" w:rsidRPr="00C75575">
        <w:rPr>
          <w:rFonts w:ascii="Times New Roman" w:hAnsi="Times New Roman" w:cs="Times New Roman"/>
          <w:sz w:val="26"/>
          <w:szCs w:val="26"/>
        </w:rPr>
        <w:t xml:space="preserve"> устойчивость [61]. Однако, признавая критические взгляды на устойчивость, возможно, следует также учитывать степень, в которой такие подходы, как BMW </w:t>
      </w:r>
      <w:proofErr w:type="spellStart"/>
      <w:r w:rsidR="007513CF" w:rsidRPr="00C75575">
        <w:rPr>
          <w:rFonts w:ascii="Times New Roman" w:hAnsi="Times New Roman" w:cs="Times New Roman"/>
          <w:sz w:val="26"/>
          <w:szCs w:val="26"/>
        </w:rPr>
        <w:t>Co-Creation</w:t>
      </w:r>
      <w:proofErr w:type="spellEnd"/>
      <w:r w:rsidR="007513CF"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13CF" w:rsidRPr="00C75575">
        <w:rPr>
          <w:rFonts w:ascii="Times New Roman" w:hAnsi="Times New Roman" w:cs="Times New Roman"/>
          <w:sz w:val="26"/>
          <w:szCs w:val="26"/>
        </w:rPr>
        <w:t>Lab</w:t>
      </w:r>
      <w:proofErr w:type="spellEnd"/>
      <w:r w:rsidR="007513CF" w:rsidRPr="00C75575">
        <w:rPr>
          <w:rFonts w:ascii="Times New Roman" w:hAnsi="Times New Roman" w:cs="Times New Roman"/>
          <w:sz w:val="26"/>
          <w:szCs w:val="26"/>
        </w:rPr>
        <w:t xml:space="preserve">, P &amp; G </w:t>
      </w:r>
      <w:proofErr w:type="spellStart"/>
      <w:r w:rsidR="007513CF" w:rsidRPr="00C75575">
        <w:rPr>
          <w:rFonts w:ascii="Times New Roman" w:hAnsi="Times New Roman" w:cs="Times New Roman"/>
          <w:sz w:val="26"/>
          <w:szCs w:val="26"/>
        </w:rPr>
        <w:t>Connect</w:t>
      </w:r>
      <w:proofErr w:type="spellEnd"/>
      <w:r w:rsidR="007513CF" w:rsidRPr="00C75575">
        <w:rPr>
          <w:rFonts w:ascii="Times New Roman" w:hAnsi="Times New Roman" w:cs="Times New Roman"/>
          <w:sz w:val="26"/>
          <w:szCs w:val="26"/>
        </w:rPr>
        <w:t xml:space="preserve"> и разработать «платформу», и «Пивоваренный завод новаторов» </w:t>
      </w:r>
      <w:proofErr w:type="spellStart"/>
      <w:r w:rsidR="007513CF" w:rsidRPr="00C75575">
        <w:rPr>
          <w:rFonts w:ascii="Times New Roman" w:hAnsi="Times New Roman" w:cs="Times New Roman"/>
          <w:sz w:val="26"/>
          <w:szCs w:val="26"/>
        </w:rPr>
        <w:t>Heineken</w:t>
      </w:r>
      <w:proofErr w:type="spellEnd"/>
      <w:r w:rsidR="007513CF" w:rsidRPr="00C75575">
        <w:rPr>
          <w:rFonts w:ascii="Times New Roman" w:hAnsi="Times New Roman" w:cs="Times New Roman"/>
          <w:sz w:val="26"/>
          <w:szCs w:val="26"/>
        </w:rPr>
        <w:t xml:space="preserve">, которые будут способствовать продвижению голоса наиболее влиятельных заинтересованных сторон и не в состоянии уловить перспективы и воздействия устойчивости, которые испытывают те (клиенты / поставщики) на «дне пирамиды» </w:t>
      </w:r>
      <w:proofErr w:type="gramStart"/>
      <w:r w:rsidR="007513CF" w:rsidRPr="00C75575">
        <w:rPr>
          <w:rFonts w:ascii="Times New Roman" w:hAnsi="Times New Roman" w:cs="Times New Roman"/>
          <w:sz w:val="26"/>
          <w:szCs w:val="26"/>
        </w:rPr>
        <w:t>[ 62</w:t>
      </w:r>
      <w:proofErr w:type="gramEnd"/>
      <w:r w:rsidR="007513CF" w:rsidRPr="00C75575">
        <w:rPr>
          <w:rFonts w:ascii="Times New Roman" w:hAnsi="Times New Roman" w:cs="Times New Roman"/>
          <w:sz w:val="26"/>
          <w:szCs w:val="26"/>
        </w:rPr>
        <w:t>,63]. Таким образом, из нашей концептуальной основы мы также определили некоторые возникающие проблемы, которые предварительно предложены в качестве важных областей для будущих исследований.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lastRenderedPageBreak/>
        <w:t>Открытые инновации рассматриваются как эффективный способ достижения устойчивых инноваций посредством сотрудничества и участия заинтересованных сторон. Он основан на четко определенном секторе или продукте.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Исходя из отраслевых наблюдений, открытая платформа может быть инициирована крупными фирмами, которые уже имеют такие ресурсы, как признанный бренд и рынок. Они могут легко привлечь потенциальных внешних партнеров для обмена знаниями. Однако роль МСП неясна, особенно на ранней стадии инновационной экосистемы.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До сих пор инновационным исследованиям МСП по-прежнему уделялось мало внимания, особенно в менее развитых странах [64]. Могут ли МСП играть более активную роль в экосистеме? Как МСП могут учиться и делиться знания, расширение и достижение устойчивого развития? Могут ли МСП сформировать бизнес-экосистему без ведущих крупных фирм? Это потенциально может быть новыми темами устойчивых инноваций с точки зрения социальная и экономическая устойчивость.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Та же ситуация относится к менее развитым странам и регионам, где нет ведущих фирм или источников знаний, таких как университеты. В этом случае, может ли общество или правительство внести свой вклад формированию инновационной экосистемы? В некоторых случаях правовые рамки (например, защита окружающей среды, этический кодекс поведения) не сформировались, что может помешать фирмам рассматривать инновации в контексте устойчивости. Изучение управления политикой может обогатить тройную и четырехкратную спираль и даже новейшую теорию пятикратной спирали.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В контексте инновационной экосистемы теория предполагает, что правительство, промышленность, университет и гражданское общество могут взаимодействовать для создания знаний; Тем не менее, эмпирические исследования необходимы для изучения детали. В частности, исследования должны быть сосредоточены на структуре, компонентах, динамических процессах и ключевых показателях эффективности устойчивых инноваций. Другие вопросы, такие как влияние культуры на устойчивые инновации и мягкая сторона управления, такие как доверительные отношения, также могут быть потенциальными областями исследований.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Выводы</w:t>
      </w:r>
      <w:r w:rsidR="003F53B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 целью понимания инноваций с точки зрения устойчивости, этот документ вносит вклад в теорию инноваций и устойчивости в контексте экосистемы и четырехкратной спирали.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Посредством обзора существующей литературы и тематических исследований отрасли были выявлены ключевые области принятия решений, которые существуют на уровне фирм, внутрифи</w:t>
      </w:r>
      <w:r w:rsidR="009A3E23">
        <w:rPr>
          <w:rFonts w:ascii="Times New Roman" w:hAnsi="Times New Roman" w:cs="Times New Roman"/>
          <w:sz w:val="26"/>
          <w:szCs w:val="26"/>
        </w:rPr>
        <w:t>рменных организаций и экосистем. Концептуальная основа</w:t>
      </w:r>
      <w:r w:rsidRPr="00C75575">
        <w:rPr>
          <w:rFonts w:ascii="Times New Roman" w:hAnsi="Times New Roman" w:cs="Times New Roman"/>
          <w:sz w:val="26"/>
          <w:szCs w:val="26"/>
        </w:rPr>
        <w:t>, предлагая взаимодействие между инновациями и устойчивым развитием как динамический процесс с участием ключевых игроков для достижения результатов. На основе структуры предлагаются дальнейшие области исследований.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Помимо обогащения теории инноваций, эти результаты также продвигают концепцию тройного результата, связывая ее с возникающими проблемами инноваций при широком участии заинтересованных сторон.</w:t>
      </w:r>
    </w:p>
    <w:p w:rsidR="007513CF" w:rsidRPr="00C75575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Есть некоторые ограничения нашего исследования. Во-первых, это первоначальное исследование теории, а не систематический обзор литературы по инновациям и устойчивому развитию. Во-вторых, отраслевые обзоры и второстепенные тематические исследования, построенные на онлайн-ресурсах, могут только помочь в разработке первоначальной концептуальной основы, а не углубленной эмпирической реальности деловой практики. Точно так же, понимание основано на трех исследовательских случаях компаний, которые не </w:t>
      </w:r>
      <w:r w:rsidRPr="00C75575">
        <w:rPr>
          <w:rFonts w:ascii="Times New Roman" w:hAnsi="Times New Roman" w:cs="Times New Roman"/>
          <w:sz w:val="26"/>
          <w:szCs w:val="26"/>
        </w:rPr>
        <w:lastRenderedPageBreak/>
        <w:t>могут представлять разнообразие отраслей промышленности в сложной инновационной экосистеме. Поэтому предлагается, чтобы в будущих исследованиях рассматривался широкий круг отраслей промышленности с учетом различных игроков, таких как правительство, университеты и гражданское общество.</w:t>
      </w:r>
    </w:p>
    <w:p w:rsidR="00232C5B" w:rsidRDefault="007513CF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>Углубленные основные тематические исследования и количественные методы могут быть использованы для дальнейшего улучшения и проверки структуры.</w:t>
      </w:r>
    </w:p>
    <w:p w:rsidR="003F53BE" w:rsidRPr="00C75575" w:rsidRDefault="003F53BE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912834" w:rsidRPr="009A3E23" w:rsidRDefault="00912834" w:rsidP="009A382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9A3E23">
        <w:rPr>
          <w:rFonts w:ascii="Times New Roman" w:hAnsi="Times New Roman" w:cs="Times New Roman"/>
          <w:b/>
          <w:sz w:val="26"/>
          <w:szCs w:val="26"/>
        </w:rPr>
        <w:t>Использованная литература: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Шумпетер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Я.А. Теория экономического развития; Издательство Гарвардского университета: К</w:t>
      </w:r>
      <w:r w:rsidR="00484826">
        <w:rPr>
          <w:rFonts w:ascii="Times New Roman" w:hAnsi="Times New Roman" w:cs="Times New Roman"/>
          <w:sz w:val="26"/>
          <w:szCs w:val="26"/>
        </w:rPr>
        <w:t>ембридж, Массачусетс, США, 1934;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2. Парк, Х.С. Конвергенция технологий, открытые инновации и динамичная экономика. J.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Innov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Technol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</w:t>
      </w:r>
      <w:r w:rsidR="00484826">
        <w:rPr>
          <w:rFonts w:ascii="Times New Roman" w:hAnsi="Times New Roman" w:cs="Times New Roman"/>
          <w:sz w:val="26"/>
          <w:szCs w:val="26"/>
        </w:rPr>
        <w:t xml:space="preserve"> Отметка. Сложный. 2017, 3, 24;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3. Герольд,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Д.М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Ли К.Х. Влияние внутреннего и внешнего давления на практику управления выбросами углерода и стратегии раскрытия информации.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Australas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J.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Environ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Manag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 2018, 26, 63–81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Herold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D.M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Фарр-Уортон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B .; Ли К.Х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Groschopf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W. Взаимодействие между институциональной и давление со стороны заинтересованных сторон: продвижение основы для классификации стратегий раскрытия углерода.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Bus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 Стратегия Девиация 2019, 2, 77–90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Элкингтон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Дж. На пути к устойчивой корпорации: беспроигрышные бизнес-стратегии для устойчивого развития. развитие. Калифорния.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Манаг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Rev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 1994, 36, 90–100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Цзэн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Д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Ху, Дж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Оуян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Т. Управление парадоксом инноваций в экосистеме устойчивых инноваций: пример изучение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амбидекста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способности в фокусной фирме. Устойчивость 2017, 9, 2091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Караяннис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Э.Г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Кэмпбелл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Д.Ф.Дж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Режим 3: значение и значение с точки зрения систем знаний », в создании, распространении и использовании знаний в инновационных сетях и кластерах знаний. В сравнительном Системный подход в США, Европе и Азии;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Elias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G.C.,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Campbell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D.F.J., </w:t>
      </w:r>
      <w:proofErr w:type="spellStart"/>
      <w:proofErr w:type="gramStart"/>
      <w:r w:rsidRPr="00C75575">
        <w:rPr>
          <w:rFonts w:ascii="Times New Roman" w:hAnsi="Times New Roman" w:cs="Times New Roman"/>
          <w:sz w:val="26"/>
          <w:szCs w:val="26"/>
        </w:rPr>
        <w:t>Eds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Прегер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Вестпорт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CT, США, 2016; С. 1–25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Гиббонс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М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Лимож, С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Новотный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Ч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Schwartzman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S .; Скотт, П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Троу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М. Новое производство знаний, динамика науки и исследований в современных обществах; Мудрец: Лондон, Великобритания, 1994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Бунс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Ф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Людеке-Фрейнд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Ф. Бизнес-модели для устойчивых инноваций: состояние дел и шаги к программа исследований. J.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Clean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Prod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 2013, 45, 9–19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Джилс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Ф. В. Технологические переходы как эволюционные процессы реконфигурации: многоуровневая перспектива и тематическое исследование. Местожительство Политика 2002, 31, 1257–1274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Slack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N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Брэндон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-Джонс, А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Джонстон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Р. Операционный менеджмент, 7-е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Pearson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Limited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: Лондон, Великобритания, 2013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Классен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Р.Д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Whybark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D.C. Экологический менеджмент в операциях: выбор экологических</w:t>
      </w:r>
      <w:r w:rsidR="00484826">
        <w:rPr>
          <w:rFonts w:ascii="Times New Roman" w:hAnsi="Times New Roman" w:cs="Times New Roman"/>
          <w:sz w:val="26"/>
          <w:szCs w:val="26"/>
        </w:rPr>
        <w:t xml:space="preserve"> </w:t>
      </w:r>
      <w:r w:rsidRPr="00C75575">
        <w:rPr>
          <w:rFonts w:ascii="Times New Roman" w:hAnsi="Times New Roman" w:cs="Times New Roman"/>
          <w:sz w:val="26"/>
          <w:szCs w:val="26"/>
        </w:rPr>
        <w:t xml:space="preserve">технологии.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Децис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Sci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 1999, 30, 601–631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Schiederig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5575">
        <w:rPr>
          <w:rFonts w:ascii="Times New Roman" w:hAnsi="Times New Roman" w:cs="Times New Roman"/>
          <w:sz w:val="26"/>
          <w:szCs w:val="26"/>
        </w:rPr>
        <w:t>T .</w:t>
      </w:r>
      <w:proofErr w:type="gramEnd"/>
      <w:r w:rsidRPr="00C7557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Tietze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, F .;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Херстатт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 xml:space="preserve"> К. Зеленые инновации в технологии и управлении инновациями: исследовательский обзор литературы. Р.Д.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Манаг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. 2012, 42, 180–192</w:t>
      </w:r>
      <w:r w:rsidR="00484826">
        <w:rPr>
          <w:rFonts w:ascii="Times New Roman" w:hAnsi="Times New Roman" w:cs="Times New Roman"/>
          <w:sz w:val="26"/>
          <w:szCs w:val="26"/>
        </w:rPr>
        <w:t>;</w:t>
      </w:r>
    </w:p>
    <w:p w:rsidR="00912834" w:rsidRPr="00C75575" w:rsidRDefault="00912834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75575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C75575">
        <w:rPr>
          <w:rFonts w:ascii="Times New Roman" w:hAnsi="Times New Roman" w:cs="Times New Roman"/>
          <w:sz w:val="26"/>
          <w:szCs w:val="26"/>
        </w:rPr>
        <w:t>Людеке-Фрейнд</w:t>
      </w:r>
      <w:proofErr w:type="spellEnd"/>
      <w:r w:rsidRPr="00C75575">
        <w:rPr>
          <w:rFonts w:ascii="Times New Roman" w:hAnsi="Times New Roman" w:cs="Times New Roman"/>
          <w:sz w:val="26"/>
          <w:szCs w:val="26"/>
        </w:rPr>
        <w:t>, Ф. На пути к концептуальной структуре «б</w:t>
      </w:r>
      <w:r w:rsidR="00312DA0">
        <w:rPr>
          <w:rFonts w:ascii="Times New Roman" w:hAnsi="Times New Roman" w:cs="Times New Roman"/>
          <w:sz w:val="26"/>
          <w:szCs w:val="26"/>
        </w:rPr>
        <w:t>изнес-моделей для устойчивости»,</w:t>
      </w:r>
      <w:r w:rsidRPr="00C75575">
        <w:rPr>
          <w:rFonts w:ascii="Times New Roman" w:hAnsi="Times New Roman" w:cs="Times New Roman"/>
          <w:sz w:val="26"/>
          <w:szCs w:val="26"/>
        </w:rPr>
        <w:t xml:space="preserve"> </w:t>
      </w:r>
      <w:r w:rsidR="00312DA0">
        <w:rPr>
          <w:rFonts w:ascii="Times New Roman" w:hAnsi="Times New Roman" w:cs="Times New Roman"/>
          <w:sz w:val="26"/>
          <w:szCs w:val="26"/>
        </w:rPr>
        <w:t>2006.</w:t>
      </w:r>
    </w:p>
    <w:p w:rsidR="00232C5B" w:rsidRPr="003671B7" w:rsidRDefault="00232C5B" w:rsidP="009A38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3671B7"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  <w:br/>
      </w:r>
    </w:p>
    <w:p w:rsidR="007D7F5C" w:rsidRPr="003671B7" w:rsidRDefault="007D7F5C" w:rsidP="009A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7F5C" w:rsidRPr="003671B7" w:rsidSect="003929CF">
      <w:pgSz w:w="11906" w:h="16838"/>
      <w:pgMar w:top="1418" w:right="45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63"/>
    <w:rsid w:val="000135B9"/>
    <w:rsid w:val="00161E78"/>
    <w:rsid w:val="00232C5B"/>
    <w:rsid w:val="002E7DFA"/>
    <w:rsid w:val="00312DA0"/>
    <w:rsid w:val="003671B7"/>
    <w:rsid w:val="003929CF"/>
    <w:rsid w:val="003C135A"/>
    <w:rsid w:val="003F53BE"/>
    <w:rsid w:val="00484826"/>
    <w:rsid w:val="0049696B"/>
    <w:rsid w:val="005219DB"/>
    <w:rsid w:val="00527A42"/>
    <w:rsid w:val="00563E34"/>
    <w:rsid w:val="006D7F25"/>
    <w:rsid w:val="007513CF"/>
    <w:rsid w:val="007901AB"/>
    <w:rsid w:val="007930BE"/>
    <w:rsid w:val="007D7F5C"/>
    <w:rsid w:val="008E35B7"/>
    <w:rsid w:val="00912834"/>
    <w:rsid w:val="00953A5D"/>
    <w:rsid w:val="00985B6B"/>
    <w:rsid w:val="009A382E"/>
    <w:rsid w:val="009A3E23"/>
    <w:rsid w:val="009B6045"/>
    <w:rsid w:val="009C4C63"/>
    <w:rsid w:val="009F57F9"/>
    <w:rsid w:val="00A11480"/>
    <w:rsid w:val="00B46F83"/>
    <w:rsid w:val="00C07294"/>
    <w:rsid w:val="00C75575"/>
    <w:rsid w:val="00DB7703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9871"/>
  <w15:chartTrackingRefBased/>
  <w15:docId w15:val="{72D390B6-341F-43CF-8968-70C4B109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32C5B"/>
  </w:style>
  <w:style w:type="paragraph" w:styleId="a3">
    <w:name w:val="No Spacing"/>
    <w:uiPriority w:val="1"/>
    <w:qFormat/>
    <w:rsid w:val="006D7F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91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6519</Words>
  <Characters>37163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BelMedPreparaty</Company>
  <LinksUpToDate>false</LinksUpToDate>
  <CharactersWithSpaces>43595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2019-12-13T18:12:00Z</dcterms:created>
  <dcterms:modified xsi:type="dcterms:W3CDTF">2019-12-21T18:39:00Z</dcterms:modified>
</cp:coreProperties>
</file>