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09" w:rsidRPr="00820809" w:rsidRDefault="00820809" w:rsidP="00820809">
      <w:pPr>
        <w:jc w:val="center"/>
        <w:rPr>
          <w:b/>
          <w:bCs/>
          <w:sz w:val="32"/>
          <w:szCs w:val="32"/>
        </w:rPr>
      </w:pPr>
      <w:r w:rsidRPr="00820809">
        <w:rPr>
          <w:b/>
          <w:bCs/>
          <w:sz w:val="32"/>
          <w:szCs w:val="32"/>
        </w:rPr>
        <w:t>Влияние отраслевой специфики на процесс разработки налоговой политики</w:t>
      </w:r>
    </w:p>
    <w:p w:rsidR="00820809" w:rsidRPr="00820809" w:rsidRDefault="00820809" w:rsidP="003812A4">
      <w:pPr>
        <w:spacing w:line="360" w:lineRule="auto"/>
        <w:ind w:firstLine="709"/>
        <w:jc w:val="both"/>
        <w:rPr>
          <w:b/>
          <w:bCs/>
          <w:i/>
          <w:color w:val="5F497A" w:themeColor="accent4" w:themeShade="BF"/>
          <w:sz w:val="28"/>
          <w:szCs w:val="28"/>
        </w:rPr>
      </w:pPr>
    </w:p>
    <w:p w:rsidR="006F0B10" w:rsidRPr="00605985" w:rsidRDefault="006F0B10" w:rsidP="006F0B10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 xml:space="preserve">Строительство играет огромную роль в современной экономике. За несколько лет произошли значительные преобразования благодаря экономическим реформам. </w:t>
      </w:r>
      <w:r w:rsidRPr="00605985">
        <w:rPr>
          <w:rFonts w:eastAsia="Calibri"/>
          <w:sz w:val="28"/>
          <w:szCs w:val="28"/>
          <w:shd w:val="clear" w:color="auto" w:fill="FFFFFF"/>
          <w:lang w:eastAsia="en-US"/>
        </w:rPr>
        <w:t>Экономика и политика повлияла на цикличность строительного сектора.</w:t>
      </w:r>
      <w:r w:rsidRPr="00605985">
        <w:rPr>
          <w:rFonts w:eastAsia="Calibri"/>
          <w:sz w:val="28"/>
          <w:szCs w:val="28"/>
          <w:lang w:eastAsia="en-US"/>
        </w:rPr>
        <w:t xml:space="preserve"> За короткое время произошло быстрое формирование организаций и предприятий малого бизнеса и на данный момент их число составляет 90% от общего количества строительных организаций.</w:t>
      </w:r>
    </w:p>
    <w:p w:rsidR="006F0B10" w:rsidRDefault="006F0B10" w:rsidP="006F0B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9C5">
        <w:rPr>
          <w:sz w:val="28"/>
          <w:szCs w:val="28"/>
        </w:rPr>
        <w:t>Особенности строительства во многом определяются специфическим характером строительной продукции и самого производственного процесса, в том числе особых трудовых условий, специфики техник технологической базы, организации производства, управления и материально-технического обеспечения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3812A4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>Одним из основных экономических показателей строительной отрасли является объем работ, выполненных по виду</w:t>
      </w:r>
      <w:r>
        <w:rPr>
          <w:rFonts w:eastAsia="Calibri"/>
          <w:sz w:val="28"/>
          <w:szCs w:val="28"/>
          <w:lang w:eastAsia="en-US"/>
        </w:rPr>
        <w:t xml:space="preserve"> деятельности «Строительство» (т</w:t>
      </w:r>
      <w:r w:rsidRPr="00605985">
        <w:rPr>
          <w:rFonts w:eastAsia="Calibri"/>
          <w:sz w:val="28"/>
          <w:szCs w:val="28"/>
          <w:lang w:eastAsia="en-US"/>
        </w:rPr>
        <w:t>абл</w:t>
      </w:r>
      <w:r>
        <w:rPr>
          <w:rFonts w:eastAsia="Calibri"/>
          <w:sz w:val="28"/>
          <w:szCs w:val="28"/>
          <w:lang w:eastAsia="en-US"/>
        </w:rPr>
        <w:t>.2.</w:t>
      </w:r>
      <w:r w:rsidRPr="00605985">
        <w:rPr>
          <w:rFonts w:eastAsia="Calibri"/>
          <w:sz w:val="28"/>
          <w:szCs w:val="28"/>
          <w:lang w:eastAsia="en-US"/>
        </w:rPr>
        <w:t xml:space="preserve">1). </w:t>
      </w:r>
    </w:p>
    <w:p w:rsidR="003C62EE" w:rsidRPr="00605985" w:rsidRDefault="003C62EE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A4" w:rsidRPr="00605985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2.</w:t>
      </w:r>
      <w:r w:rsidRPr="00605985">
        <w:rPr>
          <w:rFonts w:eastAsia="Calibri"/>
          <w:sz w:val="28"/>
          <w:szCs w:val="28"/>
          <w:lang w:eastAsia="en-US"/>
        </w:rPr>
        <w:t>1 - Объем работ по виду экономической деятельнос</w:t>
      </w:r>
      <w:r w:rsidR="00F72F8A">
        <w:rPr>
          <w:rFonts w:eastAsia="Calibri"/>
          <w:sz w:val="28"/>
          <w:szCs w:val="28"/>
          <w:lang w:eastAsia="en-US"/>
        </w:rPr>
        <w:t>ти «Строительство» за 201</w:t>
      </w:r>
      <w:r w:rsidR="003C62EE">
        <w:rPr>
          <w:rFonts w:eastAsia="Calibri"/>
          <w:sz w:val="28"/>
          <w:szCs w:val="28"/>
          <w:lang w:eastAsia="en-US"/>
        </w:rPr>
        <w:t>6</w:t>
      </w:r>
      <w:r w:rsidR="00133EF0">
        <w:rPr>
          <w:rFonts w:eastAsia="Calibri"/>
          <w:sz w:val="28"/>
          <w:szCs w:val="28"/>
          <w:lang w:eastAsia="en-US"/>
        </w:rPr>
        <w:t xml:space="preserve"> –2018</w:t>
      </w:r>
      <w:r w:rsidRPr="00605985">
        <w:rPr>
          <w:rFonts w:eastAsia="Calibri"/>
          <w:sz w:val="28"/>
          <w:szCs w:val="28"/>
          <w:lang w:eastAsia="en-US"/>
        </w:rPr>
        <w:t>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92"/>
        <w:gridCol w:w="1134"/>
        <w:gridCol w:w="1130"/>
        <w:gridCol w:w="1529"/>
      </w:tblGrid>
      <w:tr w:rsidR="00F72F8A" w:rsidRPr="00605985" w:rsidTr="003C62EE">
        <w:trPr>
          <w:jc w:val="center"/>
        </w:trPr>
        <w:tc>
          <w:tcPr>
            <w:tcW w:w="4077" w:type="dxa"/>
            <w:shd w:val="clear" w:color="auto" w:fill="auto"/>
          </w:tcPr>
          <w:p w:rsidR="00F72F8A" w:rsidRPr="00605985" w:rsidRDefault="00F72F8A" w:rsidP="000215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0" w:type="dxa"/>
            <w:vAlign w:val="center"/>
          </w:tcPr>
          <w:p w:rsidR="00F72F8A" w:rsidRPr="004A347C" w:rsidRDefault="00F72F8A" w:rsidP="004A347C">
            <w:pPr>
              <w:jc w:val="center"/>
              <w:rPr>
                <w:rFonts w:eastAsia="Calibri"/>
                <w:sz w:val="28"/>
                <w:szCs w:val="28"/>
              </w:rPr>
            </w:pPr>
            <w:r w:rsidRPr="004A347C">
              <w:rPr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Изменение 2018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>/201</w:t>
            </w:r>
            <w:r w:rsidR="003C62E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72F8A" w:rsidRPr="00605985" w:rsidTr="003C62EE">
        <w:trPr>
          <w:jc w:val="center"/>
        </w:trPr>
        <w:tc>
          <w:tcPr>
            <w:tcW w:w="4077" w:type="dxa"/>
            <w:shd w:val="clear" w:color="auto" w:fill="auto"/>
          </w:tcPr>
          <w:p w:rsidR="00F72F8A" w:rsidRPr="00605985" w:rsidRDefault="00F72F8A" w:rsidP="000215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млрд. руб. (в фактически действовавших ценах)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7204,2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7545,9</w:t>
            </w:r>
          </w:p>
        </w:tc>
        <w:tc>
          <w:tcPr>
            <w:tcW w:w="1130" w:type="dxa"/>
            <w:vAlign w:val="center"/>
          </w:tcPr>
          <w:p w:rsidR="00F72F8A" w:rsidRPr="00605985" w:rsidRDefault="00F72F8A" w:rsidP="004A34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8385,7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2F8A" w:rsidRPr="00605985" w:rsidRDefault="00F72F8A" w:rsidP="00F72F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+1181,</w:t>
            </w:r>
            <w:r w:rsidRPr="00F72F8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72F8A" w:rsidRPr="00605985" w:rsidTr="003C62EE">
        <w:trPr>
          <w:jc w:val="center"/>
        </w:trPr>
        <w:tc>
          <w:tcPr>
            <w:tcW w:w="4077" w:type="dxa"/>
            <w:shd w:val="clear" w:color="auto" w:fill="auto"/>
          </w:tcPr>
          <w:p w:rsidR="00F72F8A" w:rsidRPr="00605985" w:rsidRDefault="00F72F8A" w:rsidP="000215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в процентах к предыдущему году (в постоянных ценах)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F8A" w:rsidRPr="00605985" w:rsidRDefault="00F72F8A" w:rsidP="000215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sz w:val="28"/>
                <w:szCs w:val="28"/>
                <w:lang w:eastAsia="en-US"/>
              </w:rPr>
              <w:t>98,6</w:t>
            </w:r>
          </w:p>
        </w:tc>
        <w:tc>
          <w:tcPr>
            <w:tcW w:w="1130" w:type="dxa"/>
            <w:vAlign w:val="center"/>
          </w:tcPr>
          <w:p w:rsidR="00F72F8A" w:rsidRPr="00605985" w:rsidRDefault="00F72F8A" w:rsidP="004A34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105,3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2F8A" w:rsidRPr="006144A1" w:rsidRDefault="00F72F8A" w:rsidP="00F72F8A">
            <w:pPr>
              <w:jc w:val="center"/>
              <w:rPr>
                <w:rFonts w:eastAsia="Calibri"/>
                <w:sz w:val="28"/>
                <w:szCs w:val="28"/>
              </w:rPr>
            </w:pPr>
            <w:r w:rsidRPr="006144A1">
              <w:rPr>
                <w:rFonts w:eastAsia="Calibri"/>
                <w:sz w:val="28"/>
                <w:szCs w:val="28"/>
              </w:rPr>
              <w:t>+7,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3812A4" w:rsidRDefault="003812A4" w:rsidP="003812A4">
      <w:pPr>
        <w:spacing w:line="360" w:lineRule="auto"/>
        <w:ind w:firstLine="709"/>
        <w:jc w:val="both"/>
        <w:rPr>
          <w:rFonts w:eastAsia="Calibri"/>
          <w:b/>
          <w:color w:val="7030A0"/>
          <w:sz w:val="24"/>
          <w:szCs w:val="24"/>
          <w:lang w:eastAsia="en-US"/>
        </w:rPr>
      </w:pPr>
    </w:p>
    <w:p w:rsidR="003812A4" w:rsidRPr="00605985" w:rsidRDefault="006144A1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данным Росстата, за 2018</w:t>
      </w:r>
      <w:r w:rsidR="003812A4" w:rsidRPr="00605985">
        <w:rPr>
          <w:rFonts w:eastAsia="Calibri"/>
          <w:sz w:val="28"/>
          <w:szCs w:val="28"/>
          <w:lang w:eastAsia="en-US"/>
        </w:rPr>
        <w:t xml:space="preserve"> год в России было выполнено стр</w:t>
      </w:r>
      <w:r>
        <w:rPr>
          <w:rFonts w:eastAsia="Calibri"/>
          <w:sz w:val="28"/>
          <w:szCs w:val="28"/>
          <w:lang w:eastAsia="en-US"/>
        </w:rPr>
        <w:t>оительных работ на общую сумму 8,38</w:t>
      </w:r>
      <w:r w:rsidR="003812A4" w:rsidRPr="00605985">
        <w:rPr>
          <w:rFonts w:eastAsia="Calibri"/>
          <w:sz w:val="28"/>
          <w:szCs w:val="28"/>
          <w:lang w:eastAsia="en-US"/>
        </w:rPr>
        <w:t xml:space="preserve"> трлн. рублей,</w:t>
      </w:r>
      <w:r>
        <w:rPr>
          <w:rFonts w:eastAsia="Calibri"/>
          <w:sz w:val="28"/>
          <w:szCs w:val="28"/>
          <w:lang w:eastAsia="en-US"/>
        </w:rPr>
        <w:t xml:space="preserve"> что составляет 105,3% к предыдущему году. В 2018</w:t>
      </w:r>
      <w:r w:rsidR="003812A4" w:rsidRPr="00605985">
        <w:rPr>
          <w:rFonts w:eastAsia="Calibri"/>
          <w:sz w:val="28"/>
          <w:szCs w:val="28"/>
          <w:lang w:eastAsia="en-US"/>
        </w:rPr>
        <w:t xml:space="preserve"> году произошёл </w:t>
      </w:r>
      <w:r>
        <w:rPr>
          <w:rFonts w:eastAsia="Calibri"/>
          <w:sz w:val="28"/>
          <w:szCs w:val="28"/>
          <w:lang w:eastAsia="en-US"/>
        </w:rPr>
        <w:t>прирост на 6,7% к предыдущему году и на 7,5% к 2016</w:t>
      </w:r>
      <w:r w:rsidR="003812A4" w:rsidRPr="00605985">
        <w:rPr>
          <w:rFonts w:eastAsia="Calibri"/>
          <w:sz w:val="28"/>
          <w:szCs w:val="28"/>
          <w:lang w:eastAsia="en-US"/>
        </w:rPr>
        <w:t xml:space="preserve"> году.</w:t>
      </w:r>
    </w:p>
    <w:p w:rsidR="003812A4" w:rsidRPr="00605985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3EF0">
        <w:rPr>
          <w:rFonts w:eastAsia="Calibri"/>
          <w:sz w:val="28"/>
          <w:szCs w:val="28"/>
          <w:lang w:eastAsia="en-US"/>
        </w:rPr>
        <w:lastRenderedPageBreak/>
        <w:t>За рассматриваемый период ежегодно объем выполненных работ в сопоставимых ценах колеблется в среднем на 1-2%.</w:t>
      </w:r>
      <w:r w:rsidRPr="00605985">
        <w:rPr>
          <w:rFonts w:eastAsia="Calibri"/>
          <w:sz w:val="28"/>
          <w:szCs w:val="28"/>
          <w:lang w:eastAsia="en-US"/>
        </w:rPr>
        <w:t xml:space="preserve"> Подобная ситуация объясняется непостоянством экономической активности в России ввиду принятых санкций, колебаний на валютном рынке, ростом процентных ставок по кредитам и в целом эко</w:t>
      </w:r>
      <w:r w:rsidR="00133EF0">
        <w:rPr>
          <w:rFonts w:eastAsia="Calibri"/>
          <w:sz w:val="28"/>
          <w:szCs w:val="28"/>
          <w:lang w:eastAsia="en-US"/>
        </w:rPr>
        <w:t xml:space="preserve">номической ситуацией в стране. </w:t>
      </w:r>
    </w:p>
    <w:p w:rsidR="003812A4" w:rsidRPr="00605985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>Из-за того, что финансовые ресурсы строительных организаций ограничены, одной из основных проблем становится обеспечение</w:t>
      </w:r>
      <w:r w:rsidR="006144A1">
        <w:rPr>
          <w:rFonts w:eastAsia="Calibri"/>
          <w:sz w:val="28"/>
          <w:szCs w:val="28"/>
          <w:lang w:eastAsia="en-US"/>
        </w:rPr>
        <w:t xml:space="preserve"> достаточности денежных сре</w:t>
      </w:r>
      <w:proofErr w:type="gramStart"/>
      <w:r w:rsidR="006144A1">
        <w:rPr>
          <w:rFonts w:eastAsia="Calibri"/>
          <w:sz w:val="28"/>
          <w:szCs w:val="28"/>
          <w:lang w:eastAsia="en-US"/>
        </w:rPr>
        <w:t xml:space="preserve">дств </w:t>
      </w:r>
      <w:r w:rsidRPr="00605985">
        <w:rPr>
          <w:rFonts w:eastAsia="Calibri"/>
          <w:sz w:val="28"/>
          <w:szCs w:val="28"/>
          <w:lang w:eastAsia="en-US"/>
        </w:rPr>
        <w:t>дл</w:t>
      </w:r>
      <w:proofErr w:type="gramEnd"/>
      <w:r w:rsidRPr="00605985">
        <w:rPr>
          <w:rFonts w:eastAsia="Calibri"/>
          <w:sz w:val="28"/>
          <w:szCs w:val="28"/>
          <w:lang w:eastAsia="en-US"/>
        </w:rPr>
        <w:t>я реализации проектов.</w:t>
      </w:r>
    </w:p>
    <w:p w:rsidR="003812A4" w:rsidRPr="00605985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>Важнейшим сегментом строительной отрасли является жилищное строительство, что подтверждается также статистикой ввода в эксплуатацию зданий и сооружений. Жилищное строительство оказывает решающее влияние на развитие и размещение производительных сил, наращивание производственного потенциала страны и техническую реконструкцию хозяйства, решение социальных проблем и обеспечение повышения уровня жизни населения.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812A4" w:rsidRPr="00605985" w:rsidTr="000215A9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A4" w:rsidRPr="00605985" w:rsidRDefault="006144A1" w:rsidP="000215A9">
            <w:pPr>
              <w:spacing w:line="360" w:lineRule="auto"/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</w:t>
            </w:r>
            <w:r w:rsidR="003812A4" w:rsidRPr="00605985">
              <w:rPr>
                <w:rFonts w:eastAsia="Calibri"/>
                <w:sz w:val="28"/>
                <w:szCs w:val="28"/>
                <w:lang w:eastAsia="en-US"/>
              </w:rPr>
              <w:t xml:space="preserve"> году введено в эксплуатаци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ю 1070,6</w:t>
            </w:r>
            <w:r w:rsidR="003812A4">
              <w:rPr>
                <w:rFonts w:eastAsia="Calibri"/>
                <w:sz w:val="28"/>
                <w:szCs w:val="28"/>
                <w:lang w:eastAsia="en-US"/>
              </w:rPr>
              <w:t xml:space="preserve"> тыс. квартир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общей площадью 75,3 млн.кв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етров, что составило 95,1</w:t>
            </w:r>
            <w:r w:rsidR="003812A4" w:rsidRPr="00605985">
              <w:rPr>
                <w:rFonts w:eastAsia="Calibri"/>
                <w:sz w:val="28"/>
                <w:szCs w:val="28"/>
                <w:lang w:eastAsia="en-US"/>
              </w:rPr>
              <w:t xml:space="preserve">% к соответствующему </w:t>
            </w:r>
            <w:r>
              <w:rPr>
                <w:rFonts w:eastAsia="Calibri"/>
                <w:sz w:val="28"/>
                <w:szCs w:val="28"/>
                <w:lang w:eastAsia="en-US"/>
              </w:rPr>
              <w:t>периоду предыдущего года (в 2017 году было введено 79,2 млн.кв.метров жилья, 98,7% к 2016</w:t>
            </w:r>
            <w:r w:rsidR="003812A4" w:rsidRPr="00605985">
              <w:rPr>
                <w:rFonts w:eastAsia="Calibri"/>
                <w:sz w:val="28"/>
                <w:szCs w:val="28"/>
                <w:lang w:eastAsia="en-US"/>
              </w:rPr>
              <w:t xml:space="preserve"> году).</w:t>
            </w:r>
          </w:p>
        </w:tc>
      </w:tr>
      <w:tr w:rsidR="003812A4" w:rsidRPr="00605985" w:rsidTr="000215A9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2A4" w:rsidRPr="00605985" w:rsidRDefault="003812A4" w:rsidP="000215A9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05985">
              <w:rPr>
                <w:rFonts w:eastAsia="Calibri"/>
                <w:sz w:val="28"/>
                <w:szCs w:val="28"/>
                <w:lang w:eastAsia="en-US"/>
              </w:rPr>
              <w:t>Среди субъектов Российской Федерации наибольшие объемы жилищного строительства осуществлялись в Моск</w:t>
            </w:r>
            <w:r w:rsidR="006144A1">
              <w:rPr>
                <w:rFonts w:eastAsia="Calibri"/>
                <w:sz w:val="28"/>
                <w:szCs w:val="28"/>
                <w:lang w:eastAsia="en-US"/>
              </w:rPr>
              <w:t>овской области, где введено 11,7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>% от сданной в эксплуатацию общей площади жилья по России в</w:t>
            </w:r>
            <w:r w:rsidR="006144A1">
              <w:rPr>
                <w:rFonts w:eastAsia="Calibri"/>
                <w:sz w:val="28"/>
                <w:szCs w:val="28"/>
                <w:lang w:eastAsia="en-US"/>
              </w:rPr>
              <w:t xml:space="preserve"> целом, Краснодарском крае – 5,8%, Санкт-Петербурге – 5,2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>%, Москв</w:t>
            </w:r>
            <w:r w:rsidR="006144A1">
              <w:rPr>
                <w:rFonts w:eastAsia="Calibri"/>
                <w:sz w:val="28"/>
                <w:szCs w:val="28"/>
                <w:lang w:eastAsia="en-US"/>
              </w:rPr>
              <w:t>е – 4,7%, Ленинградской области – 3,5%, Республике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 xml:space="preserve"> Татарстан</w:t>
            </w:r>
            <w:r w:rsidR="006144A1">
              <w:rPr>
                <w:rFonts w:eastAsia="Calibri"/>
                <w:sz w:val="28"/>
                <w:szCs w:val="28"/>
                <w:lang w:eastAsia="en-US"/>
              </w:rPr>
              <w:t xml:space="preserve"> – 3,2%, Ростовской области – 3,1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>%</w:t>
            </w:r>
            <w:r w:rsidR="006144A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6144A1" w:rsidRPr="006144A1">
              <w:rPr>
                <w:color w:val="000000"/>
                <w:sz w:val="28"/>
                <w:szCs w:val="28"/>
              </w:rPr>
              <w:t>Республике Башкортостан – 3,0%, Свердловской области – 2,8%, Самарской области – 2,4%, Новосибирской области – 2,3%, Воронежской  области – 2,2% и Челябинской области</w:t>
            </w:r>
            <w:proofErr w:type="gramEnd"/>
            <w:r w:rsidR="006144A1" w:rsidRPr="006144A1">
              <w:rPr>
                <w:color w:val="000000"/>
                <w:sz w:val="28"/>
                <w:szCs w:val="28"/>
              </w:rPr>
              <w:t xml:space="preserve"> – 2,0%</w:t>
            </w:r>
            <w:r w:rsidR="006144A1">
              <w:rPr>
                <w:color w:val="000000"/>
                <w:sz w:val="25"/>
                <w:szCs w:val="25"/>
              </w:rPr>
              <w:t> </w:t>
            </w:r>
            <w:r w:rsidRPr="00605985">
              <w:rPr>
                <w:rFonts w:eastAsia="Calibri"/>
                <w:sz w:val="28"/>
                <w:szCs w:val="28"/>
                <w:lang w:eastAsia="en-US"/>
              </w:rPr>
              <w:t>. В этих субъектах Российской Федерации построено чуть больше половины общей площади жилья, введенного в России.</w:t>
            </w:r>
          </w:p>
          <w:p w:rsidR="003812A4" w:rsidRPr="00605985" w:rsidRDefault="003812A4" w:rsidP="000215A9">
            <w:pPr>
              <w:spacing w:line="360" w:lineRule="auto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0598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последнее время в России государственная и муниципальная </w:t>
            </w:r>
            <w:r w:rsidRPr="00605985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собственность стала сокращаться. Больше стала преобладать и развиваться частная собственность, так как стало появляться множество малых строительных предприятий.</w:t>
            </w:r>
          </w:p>
        </w:tc>
      </w:tr>
    </w:tbl>
    <w:p w:rsidR="003812A4" w:rsidRDefault="003812A4" w:rsidP="00182C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lastRenderedPageBreak/>
        <w:t>Рассмотрим таблицу действующих строител</w:t>
      </w:r>
      <w:r>
        <w:rPr>
          <w:rFonts w:eastAsia="Calibri"/>
          <w:sz w:val="28"/>
          <w:szCs w:val="28"/>
          <w:lang w:eastAsia="en-US"/>
        </w:rPr>
        <w:t>ьных организаций России (табл.</w:t>
      </w:r>
      <w:r w:rsidRPr="00605985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.2</w:t>
      </w:r>
      <w:r w:rsidRPr="00605985">
        <w:rPr>
          <w:rFonts w:eastAsia="Calibri"/>
          <w:sz w:val="28"/>
          <w:szCs w:val="28"/>
          <w:lang w:eastAsia="en-US"/>
        </w:rPr>
        <w:t>):</w:t>
      </w:r>
    </w:p>
    <w:p w:rsidR="003C62EE" w:rsidRPr="00605985" w:rsidRDefault="003C62EE" w:rsidP="00182C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A4" w:rsidRPr="00605985" w:rsidRDefault="003812A4" w:rsidP="003812A4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>Таблица 2</w:t>
      </w:r>
      <w:r>
        <w:rPr>
          <w:rFonts w:eastAsia="Calibri"/>
          <w:sz w:val="28"/>
          <w:szCs w:val="28"/>
          <w:lang w:eastAsia="en-US"/>
        </w:rPr>
        <w:t>.2</w:t>
      </w:r>
      <w:r w:rsidRPr="00605985">
        <w:rPr>
          <w:rFonts w:eastAsia="Calibri"/>
          <w:sz w:val="28"/>
          <w:szCs w:val="28"/>
          <w:lang w:eastAsia="en-US"/>
        </w:rPr>
        <w:t xml:space="preserve"> - Число действующих строительных организаций в РФ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134"/>
        <w:gridCol w:w="992"/>
        <w:gridCol w:w="1134"/>
        <w:gridCol w:w="1241"/>
      </w:tblGrid>
      <w:tr w:rsidR="00F72F8A" w:rsidRPr="00533740" w:rsidTr="003C62EE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Изменение 2018/2016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абсолютное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относительное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232154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271604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279496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47342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F72F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28,3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В том числе по формам собственности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2F8A" w:rsidRPr="00533740" w:rsidTr="003C62EE">
        <w:trPr>
          <w:trHeight w:val="447"/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759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F72F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F72F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-8</w:t>
            </w:r>
            <w:r w:rsidRPr="0053374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</w:t>
            </w:r>
            <w:r w:rsidRPr="005337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F72F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-4</w:t>
            </w:r>
            <w:r w:rsidRPr="0053374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Частная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229943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269548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276944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47001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A05B4D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  <w:r w:rsidR="00F72F8A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Смешанная Российская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-0,3</w:t>
            </w:r>
          </w:p>
        </w:tc>
      </w:tr>
      <w:tr w:rsidR="00F72F8A" w:rsidRPr="00533740" w:rsidTr="003C62EE">
        <w:trPr>
          <w:jc w:val="center"/>
        </w:trPr>
        <w:tc>
          <w:tcPr>
            <w:tcW w:w="2660" w:type="dxa"/>
            <w:shd w:val="clear" w:color="auto" w:fill="auto"/>
          </w:tcPr>
          <w:p w:rsidR="00F72F8A" w:rsidRPr="00533740" w:rsidRDefault="00F72F8A" w:rsidP="000215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559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3740">
              <w:rPr>
                <w:rFonts w:eastAsia="Calibri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1134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1241" w:type="dxa"/>
            <w:shd w:val="clear" w:color="auto" w:fill="auto"/>
          </w:tcPr>
          <w:p w:rsidR="00F72F8A" w:rsidRPr="00533740" w:rsidRDefault="00F72F8A" w:rsidP="000215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70,9</w:t>
            </w:r>
          </w:p>
        </w:tc>
      </w:tr>
    </w:tbl>
    <w:p w:rsidR="003812A4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2A4" w:rsidRDefault="003812A4" w:rsidP="003812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985">
        <w:rPr>
          <w:rFonts w:eastAsia="Calibri"/>
          <w:sz w:val="28"/>
          <w:szCs w:val="28"/>
          <w:lang w:eastAsia="en-US"/>
        </w:rPr>
        <w:t>Исходя из официальной статистики</w:t>
      </w:r>
      <w:r w:rsidR="00A05B4D">
        <w:rPr>
          <w:rFonts w:eastAsia="Calibri"/>
          <w:sz w:val="28"/>
          <w:szCs w:val="28"/>
          <w:lang w:eastAsia="en-US"/>
        </w:rPr>
        <w:t>,</w:t>
      </w:r>
      <w:r w:rsidRPr="00605985">
        <w:rPr>
          <w:rFonts w:eastAsia="Calibri"/>
          <w:sz w:val="28"/>
          <w:szCs w:val="28"/>
          <w:lang w:eastAsia="en-US"/>
        </w:rPr>
        <w:t xml:space="preserve"> если сравнить 201</w:t>
      </w:r>
      <w:r w:rsidR="00A05B4D">
        <w:rPr>
          <w:rFonts w:eastAsia="Calibri"/>
          <w:sz w:val="28"/>
          <w:szCs w:val="28"/>
          <w:lang w:eastAsia="en-US"/>
        </w:rPr>
        <w:t>6</w:t>
      </w:r>
      <w:r w:rsidR="00533740">
        <w:rPr>
          <w:rFonts w:eastAsia="Calibri"/>
          <w:sz w:val="28"/>
          <w:szCs w:val="28"/>
          <w:lang w:eastAsia="en-US"/>
        </w:rPr>
        <w:t xml:space="preserve"> и 2018 год, то на протяжении </w:t>
      </w:r>
      <w:r w:rsidR="00A05B4D">
        <w:rPr>
          <w:rFonts w:eastAsia="Calibri"/>
          <w:sz w:val="28"/>
          <w:szCs w:val="28"/>
          <w:lang w:eastAsia="en-US"/>
        </w:rPr>
        <w:t xml:space="preserve">трех </w:t>
      </w:r>
      <w:r w:rsidRPr="00605985">
        <w:rPr>
          <w:rFonts w:eastAsia="Calibri"/>
          <w:sz w:val="28"/>
          <w:szCs w:val="28"/>
          <w:lang w:eastAsia="en-US"/>
        </w:rPr>
        <w:t xml:space="preserve">лет число действующих строительных организаций РФ возросло </w:t>
      </w:r>
      <w:r w:rsidR="00533740">
        <w:rPr>
          <w:rFonts w:eastAsia="Calibri"/>
          <w:sz w:val="28"/>
          <w:szCs w:val="28"/>
          <w:lang w:eastAsia="en-US"/>
        </w:rPr>
        <w:t xml:space="preserve">более чем </w:t>
      </w:r>
      <w:r w:rsidR="00A05B4D">
        <w:rPr>
          <w:rFonts w:eastAsia="Calibri"/>
          <w:sz w:val="28"/>
          <w:szCs w:val="28"/>
          <w:lang w:eastAsia="en-US"/>
        </w:rPr>
        <w:t>на 28</w:t>
      </w:r>
      <w:r w:rsidRPr="00605985">
        <w:rPr>
          <w:rFonts w:eastAsia="Calibri"/>
          <w:sz w:val="28"/>
          <w:szCs w:val="28"/>
          <w:lang w:eastAsia="en-US"/>
        </w:rPr>
        <w:t xml:space="preserve">%. В основном прирост произошёл из-за развития частной </w:t>
      </w:r>
      <w:r w:rsidR="00533740">
        <w:rPr>
          <w:rFonts w:eastAsia="Calibri"/>
          <w:sz w:val="28"/>
          <w:szCs w:val="28"/>
          <w:lang w:eastAsia="en-US"/>
        </w:rPr>
        <w:t xml:space="preserve">и </w:t>
      </w:r>
      <w:r w:rsidR="00A05B4D">
        <w:rPr>
          <w:rFonts w:eastAsia="Calibri"/>
          <w:sz w:val="28"/>
          <w:szCs w:val="28"/>
          <w:lang w:eastAsia="en-US"/>
        </w:rPr>
        <w:t xml:space="preserve">прочей </w:t>
      </w:r>
      <w:r w:rsidRPr="00605985">
        <w:rPr>
          <w:rFonts w:eastAsia="Calibri"/>
          <w:sz w:val="28"/>
          <w:szCs w:val="28"/>
          <w:lang w:eastAsia="en-US"/>
        </w:rPr>
        <w:t>собственности. У остальных форм</w:t>
      </w:r>
      <w:r w:rsidR="00133EF0">
        <w:rPr>
          <w:rFonts w:eastAsia="Calibri"/>
          <w:sz w:val="28"/>
          <w:szCs w:val="28"/>
          <w:lang w:eastAsia="en-US"/>
        </w:rPr>
        <w:t xml:space="preserve"> собственности произошёл спад. </w:t>
      </w:r>
    </w:p>
    <w:p w:rsidR="003812A4" w:rsidRPr="00133EF0" w:rsidRDefault="003812A4" w:rsidP="003812A4">
      <w:pPr>
        <w:spacing w:line="360" w:lineRule="auto"/>
        <w:ind w:firstLine="709"/>
        <w:jc w:val="both"/>
        <w:rPr>
          <w:sz w:val="28"/>
          <w:szCs w:val="28"/>
        </w:rPr>
      </w:pPr>
      <w:r w:rsidRPr="00133EF0">
        <w:rPr>
          <w:rFonts w:eastAsia="Calibri"/>
          <w:sz w:val="28"/>
          <w:szCs w:val="28"/>
          <w:lang w:eastAsia="en-US"/>
        </w:rPr>
        <w:t>Далее считаем целесообразным</w:t>
      </w:r>
      <w:r w:rsidR="00A05B4D">
        <w:rPr>
          <w:rFonts w:eastAsia="Calibri"/>
          <w:sz w:val="28"/>
          <w:szCs w:val="28"/>
          <w:lang w:eastAsia="en-US"/>
        </w:rPr>
        <w:t>,</w:t>
      </w:r>
      <w:r w:rsidRPr="00133EF0">
        <w:rPr>
          <w:rFonts w:eastAsia="Calibri"/>
          <w:sz w:val="28"/>
          <w:szCs w:val="28"/>
          <w:lang w:eastAsia="en-US"/>
        </w:rPr>
        <w:t xml:space="preserve"> провести анализ налоговых платежей в этой отрасли. </w:t>
      </w:r>
      <w:r w:rsidRPr="00133EF0">
        <w:rPr>
          <w:sz w:val="28"/>
          <w:szCs w:val="28"/>
        </w:rPr>
        <w:t xml:space="preserve">Поступление налогов и сборов в консолидированный бюджет Российской Федерации по виду деятельности «Строительство» в </w:t>
      </w:r>
      <w:r w:rsidR="00533740" w:rsidRPr="00133EF0">
        <w:rPr>
          <w:sz w:val="28"/>
          <w:szCs w:val="28"/>
        </w:rPr>
        <w:t>201</w:t>
      </w:r>
      <w:r w:rsidR="00A05B4D">
        <w:rPr>
          <w:sz w:val="28"/>
          <w:szCs w:val="28"/>
        </w:rPr>
        <w:t>6</w:t>
      </w:r>
      <w:r w:rsidRPr="00133EF0">
        <w:rPr>
          <w:sz w:val="28"/>
          <w:szCs w:val="28"/>
        </w:rPr>
        <w:t>-201</w:t>
      </w:r>
      <w:r w:rsidR="00A05B4D">
        <w:rPr>
          <w:sz w:val="28"/>
          <w:szCs w:val="28"/>
        </w:rPr>
        <w:t>7</w:t>
      </w:r>
      <w:r w:rsidRPr="00133EF0">
        <w:rPr>
          <w:sz w:val="28"/>
          <w:szCs w:val="28"/>
        </w:rPr>
        <w:t>гг. ежего</w:t>
      </w:r>
      <w:r w:rsidR="00133EF0" w:rsidRPr="00133EF0">
        <w:rPr>
          <w:sz w:val="28"/>
          <w:szCs w:val="28"/>
        </w:rPr>
        <w:t>дно находилось на уровне около 7</w:t>
      </w:r>
      <w:r w:rsidRPr="00133EF0">
        <w:rPr>
          <w:sz w:val="28"/>
          <w:szCs w:val="28"/>
        </w:rPr>
        <w:t xml:space="preserve">00 млрд. руб. Однако по </w:t>
      </w:r>
      <w:r w:rsidR="00133EF0" w:rsidRPr="00133EF0">
        <w:rPr>
          <w:sz w:val="28"/>
          <w:szCs w:val="28"/>
        </w:rPr>
        <w:t>итогам 2018</w:t>
      </w:r>
      <w:r w:rsidRPr="00133EF0">
        <w:rPr>
          <w:sz w:val="28"/>
          <w:szCs w:val="28"/>
        </w:rPr>
        <w:t xml:space="preserve"> года объе</w:t>
      </w:r>
      <w:r w:rsidR="00133EF0" w:rsidRPr="00133EF0">
        <w:rPr>
          <w:sz w:val="28"/>
          <w:szCs w:val="28"/>
        </w:rPr>
        <w:t>м поступлений резко возрос на 14,1% , до показателя 771</w:t>
      </w:r>
      <w:r w:rsidRPr="00133EF0">
        <w:rPr>
          <w:sz w:val="28"/>
          <w:szCs w:val="28"/>
        </w:rPr>
        <w:t xml:space="preserve"> млрд. руб. за счет:</w:t>
      </w:r>
    </w:p>
    <w:p w:rsidR="003812A4" w:rsidRPr="00133EF0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EF0">
        <w:rPr>
          <w:sz w:val="28"/>
          <w:szCs w:val="28"/>
        </w:rPr>
        <w:t>- повышени</w:t>
      </w:r>
      <w:r w:rsidR="00133EF0" w:rsidRPr="00133EF0">
        <w:rPr>
          <w:sz w:val="28"/>
          <w:szCs w:val="28"/>
        </w:rPr>
        <w:t>я объемов поступления НДФЛ на 11,1</w:t>
      </w:r>
      <w:r w:rsidRPr="00133EF0">
        <w:rPr>
          <w:sz w:val="28"/>
          <w:szCs w:val="28"/>
        </w:rPr>
        <w:t>%;</w:t>
      </w:r>
    </w:p>
    <w:p w:rsidR="003812A4" w:rsidRPr="00133EF0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EF0">
        <w:rPr>
          <w:sz w:val="28"/>
          <w:szCs w:val="28"/>
        </w:rPr>
        <w:t>-повышен</w:t>
      </w:r>
      <w:r w:rsidR="00133EF0" w:rsidRPr="00133EF0">
        <w:rPr>
          <w:sz w:val="28"/>
          <w:szCs w:val="28"/>
        </w:rPr>
        <w:t>ия объемов поступления НДС на 12,5</w:t>
      </w:r>
      <w:r w:rsidRPr="00133EF0">
        <w:rPr>
          <w:sz w:val="28"/>
          <w:szCs w:val="28"/>
        </w:rPr>
        <w:t>%;</w:t>
      </w:r>
    </w:p>
    <w:p w:rsidR="003812A4" w:rsidRPr="00133EF0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3EF0">
        <w:rPr>
          <w:sz w:val="28"/>
          <w:szCs w:val="28"/>
        </w:rPr>
        <w:t>- повышения объемов поступления налогов, предусмотренных специа</w:t>
      </w:r>
      <w:r w:rsidR="00133EF0" w:rsidRPr="00133EF0">
        <w:rPr>
          <w:sz w:val="28"/>
          <w:szCs w:val="28"/>
        </w:rPr>
        <w:t>льными налоговыми режимами на 11</w:t>
      </w:r>
      <w:r w:rsidRPr="00133EF0">
        <w:rPr>
          <w:sz w:val="28"/>
          <w:szCs w:val="28"/>
        </w:rPr>
        <w:t>,0% (рис.2.2).</w:t>
      </w:r>
    </w:p>
    <w:p w:rsidR="003812A4" w:rsidRDefault="00957F23" w:rsidP="003812A4">
      <w:pPr>
        <w:pStyle w:val="a3"/>
        <w:jc w:val="center"/>
        <w:rPr>
          <w:rFonts w:ascii="Georgia" w:hAnsi="Georgia"/>
          <w:color w:val="192328"/>
        </w:rPr>
      </w:pPr>
      <w:r>
        <w:rPr>
          <w:noProof/>
        </w:rPr>
        <w:lastRenderedPageBreak/>
        <w:drawing>
          <wp:inline distT="0" distB="0" distL="0" distR="0">
            <wp:extent cx="4752719" cy="2533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68" t="40022" r="37500" b="17617"/>
                    <a:stretch/>
                  </pic:blipFill>
                  <pic:spPr bwMode="auto">
                    <a:xfrm>
                      <a:off x="0" y="0"/>
                      <a:ext cx="4750180" cy="253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12A4" w:rsidRPr="00133EF0" w:rsidRDefault="00957F23" w:rsidP="003812A4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812A4" w:rsidRPr="00133EF0">
        <w:rPr>
          <w:sz w:val="28"/>
          <w:szCs w:val="28"/>
        </w:rPr>
        <w:t>исунок 2.2 – Динамика налогов и сборов в консолидированный бюджет РФ по виду деятельности «Строительство»</w:t>
      </w:r>
      <w:r w:rsidR="00055C0D">
        <w:rPr>
          <w:sz w:val="28"/>
          <w:szCs w:val="28"/>
        </w:rPr>
        <w:t xml:space="preserve">, в </w:t>
      </w:r>
      <w:proofErr w:type="gramStart"/>
      <w:r w:rsidR="00055C0D">
        <w:rPr>
          <w:sz w:val="28"/>
          <w:szCs w:val="28"/>
        </w:rPr>
        <w:t>трлн</w:t>
      </w:r>
      <w:proofErr w:type="gramEnd"/>
      <w:r w:rsidR="00055C0D">
        <w:rPr>
          <w:sz w:val="28"/>
          <w:szCs w:val="28"/>
        </w:rPr>
        <w:t xml:space="preserve"> руб.</w:t>
      </w:r>
    </w:p>
    <w:p w:rsidR="003812A4" w:rsidRPr="00133EF0" w:rsidRDefault="00133EF0" w:rsidP="003812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отрасль в 201</w:t>
      </w:r>
      <w:r w:rsidR="00957F23">
        <w:rPr>
          <w:sz w:val="28"/>
          <w:szCs w:val="28"/>
        </w:rPr>
        <w:t>6</w:t>
      </w:r>
      <w:r>
        <w:rPr>
          <w:sz w:val="28"/>
          <w:szCs w:val="28"/>
        </w:rPr>
        <w:t>-2018</w:t>
      </w:r>
      <w:r w:rsidR="003812A4" w:rsidRPr="00133EF0">
        <w:rPr>
          <w:sz w:val="28"/>
          <w:szCs w:val="28"/>
        </w:rPr>
        <w:t xml:space="preserve"> гг. непрерывно </w:t>
      </w:r>
      <w:r w:rsidR="00957F23">
        <w:rPr>
          <w:sz w:val="28"/>
          <w:szCs w:val="28"/>
        </w:rPr>
        <w:t xml:space="preserve">повышала </w:t>
      </w:r>
      <w:r w:rsidR="003812A4" w:rsidRPr="00133EF0">
        <w:rPr>
          <w:sz w:val="28"/>
          <w:szCs w:val="28"/>
        </w:rPr>
        <w:t>свой вклад в общий объем поступлений налого</w:t>
      </w:r>
      <w:r>
        <w:rPr>
          <w:sz w:val="28"/>
          <w:szCs w:val="28"/>
        </w:rPr>
        <w:t>в в бюджет России</w:t>
      </w:r>
      <w:r w:rsidR="003812A4" w:rsidRPr="00133EF0">
        <w:rPr>
          <w:sz w:val="28"/>
          <w:szCs w:val="28"/>
        </w:rPr>
        <w:t xml:space="preserve">. </w:t>
      </w:r>
      <w:r w:rsidR="00957F23">
        <w:rPr>
          <w:sz w:val="28"/>
          <w:szCs w:val="28"/>
        </w:rPr>
        <w:t>Так</w:t>
      </w:r>
      <w:r w:rsidR="003812A4" w:rsidRPr="00133EF0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="003812A4" w:rsidRPr="00133EF0">
        <w:rPr>
          <w:sz w:val="28"/>
          <w:szCs w:val="28"/>
        </w:rPr>
        <w:t xml:space="preserve"> году темпы поступлений налогов со стороны строительной отрасли превысили среднероссийские, соответственно вклад </w:t>
      </w:r>
      <w:r>
        <w:rPr>
          <w:sz w:val="28"/>
          <w:szCs w:val="28"/>
        </w:rPr>
        <w:t>сектора в общий объем достиг 4,5</w:t>
      </w:r>
      <w:r w:rsidR="003812A4" w:rsidRPr="00133EF0">
        <w:rPr>
          <w:sz w:val="28"/>
          <w:szCs w:val="28"/>
        </w:rPr>
        <w:t xml:space="preserve">%, </w:t>
      </w:r>
    </w:p>
    <w:p w:rsidR="003812A4" w:rsidRPr="00B97F1C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7F1C">
        <w:rPr>
          <w:sz w:val="28"/>
          <w:szCs w:val="28"/>
        </w:rPr>
        <w:t>За искл</w:t>
      </w:r>
      <w:r>
        <w:rPr>
          <w:sz w:val="28"/>
          <w:szCs w:val="28"/>
        </w:rPr>
        <w:t>ючением ряда налоговых сборов (акцизы, н</w:t>
      </w:r>
      <w:r w:rsidRPr="00B97F1C">
        <w:rPr>
          <w:sz w:val="28"/>
          <w:szCs w:val="28"/>
        </w:rPr>
        <w:t xml:space="preserve">алоги за пользование природными ресурсами, НДС) распределение типов налогов соответствует аналогичным показателям в целом по экономике России. Показатель доли налога на прибыль в строительной отрасли находится на </w:t>
      </w:r>
      <w:r w:rsidR="005F7F79">
        <w:rPr>
          <w:sz w:val="28"/>
          <w:szCs w:val="28"/>
        </w:rPr>
        <w:t>уровне всей экономики страны (18</w:t>
      </w:r>
      <w:r w:rsidRPr="00B97F1C">
        <w:rPr>
          <w:sz w:val="28"/>
          <w:szCs w:val="28"/>
        </w:rPr>
        <w:t>,</w:t>
      </w:r>
      <w:r w:rsidR="005F7F79">
        <w:rPr>
          <w:sz w:val="28"/>
          <w:szCs w:val="28"/>
        </w:rPr>
        <w:t>5% против 19,7</w:t>
      </w:r>
      <w:r w:rsidRPr="00B97F1C">
        <w:rPr>
          <w:sz w:val="28"/>
          <w:szCs w:val="28"/>
        </w:rPr>
        <w:t>%). Соответственно, можно говорить о том, что рентабельность строительного бизнеса не превышает средней рентабельности иных отраслей экономики.</w:t>
      </w:r>
    </w:p>
    <w:p w:rsidR="003812A4" w:rsidRDefault="00012CEA" w:rsidP="003812A4">
      <w:pPr>
        <w:pStyle w:val="a3"/>
        <w:jc w:val="center"/>
        <w:rPr>
          <w:rFonts w:ascii="Georgia" w:hAnsi="Georgia"/>
          <w:color w:val="192328"/>
        </w:rPr>
      </w:pPr>
      <w:r w:rsidRPr="00012CEA">
        <w:rPr>
          <w:rFonts w:ascii="Georgia" w:hAnsi="Georgia"/>
          <w:noProof/>
          <w:color w:val="192328"/>
        </w:rPr>
        <w:lastRenderedPageBreak/>
        <w:drawing>
          <wp:inline distT="0" distB="0" distL="0" distR="0">
            <wp:extent cx="5486400" cy="4181475"/>
            <wp:effectExtent l="0" t="0" r="19050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12A4" w:rsidRPr="00B97F1C" w:rsidRDefault="003812A4" w:rsidP="003812A4">
      <w:pPr>
        <w:pStyle w:val="a3"/>
        <w:jc w:val="center"/>
        <w:rPr>
          <w:sz w:val="28"/>
          <w:szCs w:val="28"/>
        </w:rPr>
      </w:pPr>
      <w:r w:rsidRPr="00B97F1C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="001527D8">
        <w:rPr>
          <w:sz w:val="28"/>
          <w:szCs w:val="28"/>
        </w:rPr>
        <w:t xml:space="preserve"> 2.3</w:t>
      </w:r>
      <w:r w:rsidRPr="00B97F1C">
        <w:rPr>
          <w:sz w:val="28"/>
          <w:szCs w:val="28"/>
        </w:rPr>
        <w:t xml:space="preserve"> Структура налогов и сборов в строительстве</w:t>
      </w:r>
    </w:p>
    <w:p w:rsidR="003812A4" w:rsidRPr="00E11D0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D04">
        <w:rPr>
          <w:sz w:val="28"/>
          <w:szCs w:val="28"/>
        </w:rPr>
        <w:t>Доля Н</w:t>
      </w:r>
      <w:proofErr w:type="gramStart"/>
      <w:r w:rsidRPr="00E11D04">
        <w:rPr>
          <w:sz w:val="28"/>
          <w:szCs w:val="28"/>
        </w:rPr>
        <w:t>ДС в стр</w:t>
      </w:r>
      <w:proofErr w:type="gramEnd"/>
      <w:r w:rsidRPr="00E11D04">
        <w:rPr>
          <w:sz w:val="28"/>
          <w:szCs w:val="28"/>
        </w:rPr>
        <w:t>уктуре налоговых поступлений со стороны строительных организаций значительно превышает показател</w:t>
      </w:r>
      <w:r w:rsidR="005F7F79">
        <w:rPr>
          <w:sz w:val="28"/>
          <w:szCs w:val="28"/>
        </w:rPr>
        <w:t>ь по всей экономике: 51,5% против 17,8</w:t>
      </w:r>
      <w:r w:rsidRPr="00E11D04">
        <w:rPr>
          <w:sz w:val="28"/>
          <w:szCs w:val="28"/>
        </w:rPr>
        <w:t>% соответственно. Данные цифры подтверждают утверждение, что строительная отрасль обладает высоким мультипликативным эффектом создания высокой добавленной стоимости.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D04">
        <w:rPr>
          <w:sz w:val="28"/>
          <w:szCs w:val="28"/>
        </w:rPr>
        <w:t>При проведении анализа налогообложения нельзя не упомянуть о широко используемом показателе – налоговая нагрузка на отрасль. Налоговая нагрузка рассчитывается как отношение полученных бюджетом налоговых платежей в строительной отрасли к валовой добавленной стоимости в соответственном секторе экономики. Согласно полученным данны</w:t>
      </w:r>
      <w:r w:rsidRPr="005F7F79">
        <w:rPr>
          <w:sz w:val="28"/>
          <w:szCs w:val="28"/>
        </w:rPr>
        <w:t xml:space="preserve">м, в период с </w:t>
      </w:r>
      <w:r w:rsidR="001527D8">
        <w:rPr>
          <w:sz w:val="28"/>
          <w:szCs w:val="28"/>
        </w:rPr>
        <w:t>2016</w:t>
      </w:r>
      <w:r w:rsidR="005F7F79" w:rsidRPr="005F7F79">
        <w:rPr>
          <w:sz w:val="28"/>
          <w:szCs w:val="28"/>
        </w:rPr>
        <w:t xml:space="preserve"> по 2018</w:t>
      </w:r>
      <w:r w:rsidRPr="005F7F79">
        <w:rPr>
          <w:sz w:val="28"/>
          <w:szCs w:val="28"/>
        </w:rPr>
        <w:t xml:space="preserve"> гг</w:t>
      </w:r>
      <w:r w:rsidRPr="00E11D04">
        <w:rPr>
          <w:sz w:val="28"/>
          <w:szCs w:val="28"/>
        </w:rPr>
        <w:t xml:space="preserve">. показатель налоговой </w:t>
      </w:r>
      <w:r w:rsidR="005F7F79">
        <w:rPr>
          <w:sz w:val="28"/>
          <w:szCs w:val="28"/>
        </w:rPr>
        <w:t xml:space="preserve">нагрузки в отрасли </w:t>
      </w:r>
      <w:r w:rsidR="00055C0D">
        <w:rPr>
          <w:sz w:val="28"/>
          <w:szCs w:val="28"/>
        </w:rPr>
        <w:t>повысился с</w:t>
      </w:r>
      <w:r w:rsidR="005F7F79">
        <w:rPr>
          <w:sz w:val="28"/>
          <w:szCs w:val="28"/>
        </w:rPr>
        <w:t xml:space="preserve"> 1</w:t>
      </w:r>
      <w:r w:rsidR="00055C0D">
        <w:rPr>
          <w:sz w:val="28"/>
          <w:szCs w:val="28"/>
        </w:rPr>
        <w:t>4,1</w:t>
      </w:r>
      <w:r w:rsidR="005F7F79">
        <w:rPr>
          <w:sz w:val="28"/>
          <w:szCs w:val="28"/>
        </w:rPr>
        <w:t>% до 1</w:t>
      </w:r>
      <w:r w:rsidR="00055C0D">
        <w:rPr>
          <w:sz w:val="28"/>
          <w:szCs w:val="28"/>
        </w:rPr>
        <w:t>4</w:t>
      </w:r>
      <w:r w:rsidR="005F7F79">
        <w:rPr>
          <w:sz w:val="28"/>
          <w:szCs w:val="28"/>
        </w:rPr>
        <w:t>,</w:t>
      </w:r>
      <w:r w:rsidR="00055C0D">
        <w:rPr>
          <w:sz w:val="28"/>
          <w:szCs w:val="28"/>
        </w:rPr>
        <w:t>8% (р</w:t>
      </w:r>
      <w:r>
        <w:rPr>
          <w:sz w:val="28"/>
          <w:szCs w:val="28"/>
        </w:rPr>
        <w:t>ис. 2.5)</w:t>
      </w:r>
      <w:r w:rsidRPr="00E11D04">
        <w:rPr>
          <w:sz w:val="28"/>
          <w:szCs w:val="28"/>
        </w:rPr>
        <w:t>.</w:t>
      </w:r>
    </w:p>
    <w:p w:rsidR="00055C0D" w:rsidRDefault="00055C0D" w:rsidP="00055C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92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250" t="32782" r="31571" b="17332"/>
                    <a:stretch/>
                  </pic:blipFill>
                  <pic:spPr bwMode="auto">
                    <a:xfrm>
                      <a:off x="0" y="0"/>
                      <a:ext cx="5426348" cy="3322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12A4" w:rsidRDefault="003812A4" w:rsidP="003812A4">
      <w:pPr>
        <w:pStyle w:val="a3"/>
        <w:spacing w:before="0" w:beforeAutospacing="0" w:after="0" w:afterAutospacing="0"/>
        <w:jc w:val="center"/>
        <w:rPr>
          <w:rFonts w:ascii="Georgia" w:hAnsi="Georgia"/>
          <w:color w:val="192328"/>
        </w:rPr>
      </w:pPr>
    </w:p>
    <w:p w:rsidR="003812A4" w:rsidRDefault="003812A4" w:rsidP="00381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12A4" w:rsidRPr="00D33E0A" w:rsidRDefault="003812A4" w:rsidP="003812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3E0A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D33E0A">
        <w:rPr>
          <w:sz w:val="28"/>
          <w:szCs w:val="28"/>
        </w:rPr>
        <w:t xml:space="preserve"> 2.5 </w:t>
      </w:r>
      <w:r>
        <w:rPr>
          <w:sz w:val="28"/>
          <w:szCs w:val="28"/>
        </w:rPr>
        <w:t xml:space="preserve">- </w:t>
      </w:r>
      <w:r w:rsidRPr="00D33E0A">
        <w:rPr>
          <w:sz w:val="28"/>
          <w:szCs w:val="28"/>
        </w:rPr>
        <w:t>Анализ налоговой нагрузки в строительной отрасли</w:t>
      </w:r>
      <w:r w:rsidR="00055C0D">
        <w:rPr>
          <w:sz w:val="28"/>
          <w:szCs w:val="28"/>
        </w:rPr>
        <w:t xml:space="preserve">, </w:t>
      </w:r>
      <w:proofErr w:type="gramStart"/>
      <w:r w:rsidR="00055C0D">
        <w:rPr>
          <w:sz w:val="28"/>
          <w:szCs w:val="28"/>
        </w:rPr>
        <w:t>в</w:t>
      </w:r>
      <w:proofErr w:type="gramEnd"/>
      <w:r w:rsidR="00055C0D">
        <w:rPr>
          <w:sz w:val="28"/>
          <w:szCs w:val="28"/>
        </w:rPr>
        <w:t xml:space="preserve"> %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color w:val="5F497A" w:themeColor="accent4" w:themeShade="BF"/>
          <w:sz w:val="28"/>
          <w:szCs w:val="28"/>
        </w:rPr>
      </w:pPr>
    </w:p>
    <w:p w:rsidR="003812A4" w:rsidRPr="00157772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772">
        <w:rPr>
          <w:sz w:val="28"/>
          <w:szCs w:val="28"/>
        </w:rPr>
        <w:t xml:space="preserve">По данным 2018 года </w:t>
      </w:r>
      <w:r w:rsidR="00055C0D">
        <w:rPr>
          <w:sz w:val="28"/>
          <w:szCs w:val="28"/>
        </w:rPr>
        <w:t>налоговая нагрузка составляет 14,8</w:t>
      </w:r>
      <w:r w:rsidRPr="00157772">
        <w:rPr>
          <w:sz w:val="28"/>
          <w:szCs w:val="28"/>
        </w:rPr>
        <w:t xml:space="preserve"> %</w:t>
      </w:r>
      <w:r w:rsidR="00055C0D">
        <w:rPr>
          <w:sz w:val="28"/>
          <w:szCs w:val="28"/>
        </w:rPr>
        <w:t>, в т.ч.</w:t>
      </w:r>
      <w:r w:rsidRPr="00157772">
        <w:rPr>
          <w:sz w:val="28"/>
          <w:szCs w:val="28"/>
        </w:rPr>
        <w:t xml:space="preserve"> по страховым взносам 4,4%</w:t>
      </w:r>
      <w:r>
        <w:rPr>
          <w:sz w:val="28"/>
          <w:szCs w:val="28"/>
        </w:rPr>
        <w:t xml:space="preserve"> (</w:t>
      </w:r>
      <w:r w:rsidRPr="00157772">
        <w:rPr>
          <w:color w:val="000000"/>
          <w:sz w:val="28"/>
          <w:szCs w:val="28"/>
          <w:shd w:val="clear" w:color="auto" w:fill="FFFFFF"/>
        </w:rPr>
        <w:t>по данным официальной статистической отчетности ФНС России и данным Росстата)</w:t>
      </w:r>
      <w:r w:rsidRPr="00157772">
        <w:rPr>
          <w:sz w:val="28"/>
          <w:szCs w:val="28"/>
        </w:rPr>
        <w:t>.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7772">
        <w:rPr>
          <w:sz w:val="28"/>
          <w:szCs w:val="28"/>
        </w:rPr>
        <w:t>Структура задолженности по типам налогов в строительной отрасли имеет схожие черты со структурой поступлений налогов и сборов строителей в бюджет страны. Соответственно, наибольшая доля приходится на налог на добавленную стоимост</w:t>
      </w:r>
      <w:r w:rsidR="00055C0D">
        <w:rPr>
          <w:sz w:val="28"/>
          <w:szCs w:val="28"/>
        </w:rPr>
        <w:t>ь – почти 50</w:t>
      </w:r>
      <w:r w:rsidRPr="00157772">
        <w:rPr>
          <w:sz w:val="28"/>
          <w:szCs w:val="28"/>
        </w:rPr>
        <w:t>%</w:t>
      </w:r>
      <w:r w:rsidR="00055C0D">
        <w:rPr>
          <w:sz w:val="28"/>
          <w:szCs w:val="28"/>
        </w:rPr>
        <w:t xml:space="preserve"> (рис. 2.5</w:t>
      </w:r>
      <w:r>
        <w:rPr>
          <w:sz w:val="28"/>
          <w:szCs w:val="28"/>
        </w:rPr>
        <w:t>).</w:t>
      </w:r>
    </w:p>
    <w:p w:rsidR="00055C0D" w:rsidRDefault="00055C0D" w:rsidP="00055C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76875" cy="3362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891" t="30501" r="27083" b="23889"/>
                    <a:stretch/>
                  </pic:blipFill>
                  <pic:spPr bwMode="auto">
                    <a:xfrm>
                      <a:off x="0" y="0"/>
                      <a:ext cx="5473951" cy="336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55C0D" w:rsidRDefault="00055C0D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5C0D" w:rsidRDefault="00055C0D" w:rsidP="003812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2.5</w:t>
      </w:r>
      <w:r w:rsidR="003812A4">
        <w:rPr>
          <w:sz w:val="28"/>
          <w:szCs w:val="28"/>
        </w:rPr>
        <w:t xml:space="preserve"> - </w:t>
      </w:r>
      <w:r w:rsidR="003812A4" w:rsidRPr="00157772">
        <w:rPr>
          <w:sz w:val="28"/>
          <w:szCs w:val="28"/>
        </w:rPr>
        <w:t xml:space="preserve">Структура задолженности </w:t>
      </w:r>
      <w:proofErr w:type="gramStart"/>
      <w:r w:rsidR="003812A4" w:rsidRPr="00157772">
        <w:rPr>
          <w:sz w:val="28"/>
          <w:szCs w:val="28"/>
        </w:rPr>
        <w:t>по</w:t>
      </w:r>
      <w:proofErr w:type="gramEnd"/>
      <w:r w:rsidR="003812A4" w:rsidRPr="00157772">
        <w:rPr>
          <w:sz w:val="28"/>
          <w:szCs w:val="28"/>
        </w:rPr>
        <w:t xml:space="preserve"> налогов в строительной отрасли</w:t>
      </w:r>
      <w:r>
        <w:rPr>
          <w:sz w:val="28"/>
          <w:szCs w:val="28"/>
        </w:rPr>
        <w:t xml:space="preserve">, </w:t>
      </w:r>
    </w:p>
    <w:p w:rsidR="003812A4" w:rsidRDefault="00055C0D" w:rsidP="003812A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%</w:t>
      </w:r>
    </w:p>
    <w:p w:rsidR="003812A4" w:rsidRPr="00951EC1" w:rsidRDefault="00055C0D" w:rsidP="00055C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5F7F79">
        <w:rPr>
          <w:sz w:val="28"/>
          <w:szCs w:val="28"/>
        </w:rPr>
        <w:t>-2018</w:t>
      </w:r>
      <w:r w:rsidR="003812A4" w:rsidRPr="00157772">
        <w:rPr>
          <w:sz w:val="28"/>
          <w:szCs w:val="28"/>
        </w:rPr>
        <w:t xml:space="preserve"> гг. задолженность по налогам строительных организаций</w:t>
      </w:r>
      <w:r w:rsidR="005F7F79">
        <w:rPr>
          <w:sz w:val="28"/>
          <w:szCs w:val="28"/>
        </w:rPr>
        <w:t xml:space="preserve"> - банкротов прибавляла примерно</w:t>
      </w:r>
      <w:r w:rsidR="003812A4" w:rsidRPr="00157772">
        <w:rPr>
          <w:sz w:val="28"/>
          <w:szCs w:val="28"/>
        </w:rPr>
        <w:t xml:space="preserve"> по 25%. В 2016 году рост замедлился до 14%.</w:t>
      </w:r>
      <w:r w:rsidR="003812A4" w:rsidRPr="00951EC1">
        <w:rPr>
          <w:sz w:val="28"/>
          <w:szCs w:val="28"/>
        </w:rPr>
        <w:t xml:space="preserve">Как было уже сказано ранее в анализе, фактическая налоговая нагрузка в </w:t>
      </w:r>
      <w:r w:rsidR="005F7F79">
        <w:rPr>
          <w:sz w:val="28"/>
          <w:szCs w:val="28"/>
        </w:rPr>
        <w:t>2016 году достигла показателя 10,3</w:t>
      </w:r>
      <w:r w:rsidR="003812A4" w:rsidRPr="00951EC1">
        <w:rPr>
          <w:sz w:val="28"/>
          <w:szCs w:val="28"/>
        </w:rPr>
        <w:t>%. Однако, данный показатель не учитывает годовой прирост задолженности по налогам и сборам. В связи с этим целесообразно рассчитывать плановую налоговую нагрузку на отрасль с учетом начисленных, но не уплаченных налогов. Если в 201</w:t>
      </w:r>
      <w:r>
        <w:rPr>
          <w:sz w:val="28"/>
          <w:szCs w:val="28"/>
        </w:rPr>
        <w:t>6</w:t>
      </w:r>
      <w:r w:rsidR="003812A4" w:rsidRPr="00951EC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3812A4" w:rsidRPr="00951EC1">
        <w:rPr>
          <w:sz w:val="28"/>
          <w:szCs w:val="28"/>
        </w:rPr>
        <w:t xml:space="preserve"> гг. плановая налоговая нагрузка не досчитывалась в сре</w:t>
      </w:r>
      <w:r w:rsidR="005F7F79">
        <w:rPr>
          <w:sz w:val="28"/>
          <w:szCs w:val="28"/>
        </w:rPr>
        <w:t>днем 0,2-0,3%, то по итогам 2018 недосчиталась уже 1,3</w:t>
      </w:r>
      <w:r w:rsidR="003812A4" w:rsidRPr="00951EC1">
        <w:rPr>
          <w:sz w:val="28"/>
          <w:szCs w:val="28"/>
        </w:rPr>
        <w:t xml:space="preserve">%. Увеличение разрыва между плановым и фактическим показателями во многом говорит </w:t>
      </w:r>
      <w:proofErr w:type="gramStart"/>
      <w:r w:rsidR="003812A4" w:rsidRPr="00951EC1">
        <w:rPr>
          <w:sz w:val="28"/>
          <w:szCs w:val="28"/>
        </w:rPr>
        <w:t>о</w:t>
      </w:r>
      <w:proofErr w:type="gramEnd"/>
      <w:r w:rsidR="003812A4" w:rsidRPr="00951EC1">
        <w:rPr>
          <w:sz w:val="28"/>
          <w:szCs w:val="28"/>
        </w:rPr>
        <w:t xml:space="preserve"> все больших трудностях со стороны строительных организаций исполнять обязательства по уплате налогов</w:t>
      </w:r>
    </w:p>
    <w:p w:rsidR="003812A4" w:rsidRPr="00951EC1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1EC1">
        <w:rPr>
          <w:sz w:val="28"/>
          <w:szCs w:val="28"/>
        </w:rPr>
        <w:t>Резюмируя все вышесказанное можно сделать следующие основные выводы:</w:t>
      </w:r>
    </w:p>
    <w:p w:rsidR="003812A4" w:rsidRPr="00951EC1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951EC1">
        <w:rPr>
          <w:sz w:val="28"/>
          <w:szCs w:val="28"/>
        </w:rPr>
        <w:t>НДС формирует более половины налогов, уплачиваемых в строительной отрасли страны. Данный факт подтвердил утверждение о том, что отрасль обладает высоким мультипликатором генерирования добавленной стоимости. При этом рентабельность в строительной отрасли не превышает среднего уровня рентабельности иных секторов экономики страны.</w:t>
      </w:r>
    </w:p>
    <w:p w:rsidR="003812A4" w:rsidRPr="00951EC1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1EC1">
        <w:rPr>
          <w:sz w:val="28"/>
          <w:szCs w:val="28"/>
        </w:rPr>
        <w:t xml:space="preserve">Несмотря на постепенное увеличение объемов собираемых налогов в отрасли, строительный сектор сокращает свою долю в общем объеме </w:t>
      </w:r>
      <w:proofErr w:type="spellStart"/>
      <w:r>
        <w:rPr>
          <w:sz w:val="28"/>
          <w:szCs w:val="28"/>
        </w:rPr>
        <w:t>по</w:t>
      </w:r>
      <w:r w:rsidRPr="00951EC1">
        <w:rPr>
          <w:sz w:val="28"/>
          <w:szCs w:val="28"/>
        </w:rPr>
        <w:t>ступаемых</w:t>
      </w:r>
      <w:proofErr w:type="spellEnd"/>
      <w:r w:rsidRPr="00951EC1">
        <w:rPr>
          <w:sz w:val="28"/>
          <w:szCs w:val="28"/>
        </w:rPr>
        <w:t xml:space="preserve"> налогов и сборов. На т</w:t>
      </w:r>
      <w:r w:rsidR="005F7F79">
        <w:rPr>
          <w:sz w:val="28"/>
          <w:szCs w:val="28"/>
        </w:rPr>
        <w:t>екущий момент она не превышает 7</w:t>
      </w:r>
      <w:r w:rsidRPr="00951EC1">
        <w:rPr>
          <w:sz w:val="28"/>
          <w:szCs w:val="28"/>
        </w:rPr>
        <w:t>%.</w:t>
      </w:r>
    </w:p>
    <w:p w:rsidR="003812A4" w:rsidRDefault="005F7F79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2A4">
        <w:rPr>
          <w:sz w:val="28"/>
          <w:szCs w:val="28"/>
        </w:rPr>
        <w:t xml:space="preserve">. </w:t>
      </w:r>
      <w:r>
        <w:rPr>
          <w:sz w:val="28"/>
          <w:szCs w:val="28"/>
        </w:rPr>
        <w:t>В 2018</w:t>
      </w:r>
      <w:r w:rsidR="003812A4" w:rsidRPr="00951EC1">
        <w:rPr>
          <w:sz w:val="28"/>
          <w:szCs w:val="28"/>
        </w:rPr>
        <w:t xml:space="preserve"> году возросла «фактическая» налоговая нагрузка на отрасль: </w:t>
      </w:r>
      <w:r>
        <w:rPr>
          <w:sz w:val="28"/>
          <w:szCs w:val="28"/>
        </w:rPr>
        <w:t>за год значение увеличилось с 10,4</w:t>
      </w:r>
      <w:r w:rsidR="003812A4" w:rsidRPr="00951EC1">
        <w:rPr>
          <w:sz w:val="28"/>
          <w:szCs w:val="28"/>
        </w:rPr>
        <w:t>% до 1</w:t>
      </w:r>
      <w:r>
        <w:rPr>
          <w:sz w:val="28"/>
          <w:szCs w:val="28"/>
        </w:rPr>
        <w:t>0</w:t>
      </w:r>
      <w:r w:rsidR="003812A4" w:rsidRPr="00951EC1">
        <w:rPr>
          <w:sz w:val="28"/>
          <w:szCs w:val="28"/>
        </w:rPr>
        <w:t>,</w:t>
      </w:r>
      <w:r w:rsidR="00055C0D">
        <w:rPr>
          <w:sz w:val="28"/>
          <w:szCs w:val="28"/>
        </w:rPr>
        <w:t>8</w:t>
      </w:r>
      <w:r w:rsidR="003812A4" w:rsidRPr="00951EC1">
        <w:rPr>
          <w:sz w:val="28"/>
          <w:szCs w:val="28"/>
        </w:rPr>
        <w:t xml:space="preserve">%. Также увеличивается разрыв между «плановой» и «фактическими» нагрузками. Тенденция во многом говорит </w:t>
      </w:r>
      <w:proofErr w:type="gramStart"/>
      <w:r w:rsidR="003812A4" w:rsidRPr="00951EC1">
        <w:rPr>
          <w:sz w:val="28"/>
          <w:szCs w:val="28"/>
        </w:rPr>
        <w:t>о</w:t>
      </w:r>
      <w:proofErr w:type="gramEnd"/>
      <w:r w:rsidR="003812A4" w:rsidRPr="00951EC1">
        <w:rPr>
          <w:sz w:val="28"/>
          <w:szCs w:val="28"/>
        </w:rPr>
        <w:t xml:space="preserve"> все больших трудностях со стороны строительных организаций исполнять обязательства по уплате налогов.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Исходя из специфики строительной отрасли, при разработке налоговой политики приоритетными является выбор общего режима налогообложения (НДС и налог на прибыль организаций). Специальные налоговые режимы выбирают небольшие строительные организации, основными заказчиками которых являются физические лица.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этим, разрабатывая налоговую политику, необходимо </w:t>
      </w:r>
      <w:r>
        <w:rPr>
          <w:rStyle w:val="1"/>
          <w:sz w:val="28"/>
          <w:szCs w:val="28"/>
          <w:shd w:val="clear" w:color="auto" w:fill="FFFFFF"/>
        </w:rPr>
        <w:t>к</w:t>
      </w:r>
      <w:r w:rsidRPr="000257E3">
        <w:rPr>
          <w:rStyle w:val="1"/>
          <w:sz w:val="28"/>
          <w:szCs w:val="28"/>
          <w:shd w:val="clear" w:color="auto" w:fill="FFFFFF"/>
        </w:rPr>
        <w:t>аждый вид налога оцени</w:t>
      </w:r>
      <w:r>
        <w:rPr>
          <w:rStyle w:val="1"/>
          <w:sz w:val="28"/>
          <w:szCs w:val="28"/>
          <w:shd w:val="clear" w:color="auto" w:fill="FFFFFF"/>
        </w:rPr>
        <w:t>ть</w:t>
      </w:r>
      <w:r w:rsidRPr="000257E3">
        <w:rPr>
          <w:rStyle w:val="1"/>
          <w:sz w:val="28"/>
          <w:szCs w:val="28"/>
          <w:shd w:val="clear" w:color="auto" w:fill="FFFFFF"/>
        </w:rPr>
        <w:t xml:space="preserve"> с точки зрения возможного влияния предприятием на его размер, изуч</w:t>
      </w:r>
      <w:r>
        <w:rPr>
          <w:rStyle w:val="1"/>
          <w:sz w:val="28"/>
          <w:szCs w:val="28"/>
          <w:shd w:val="clear" w:color="auto" w:fill="FFFFFF"/>
        </w:rPr>
        <w:t>ить</w:t>
      </w:r>
      <w:r w:rsidRPr="000257E3">
        <w:rPr>
          <w:rStyle w:val="1"/>
          <w:sz w:val="28"/>
          <w:szCs w:val="28"/>
          <w:shd w:val="clear" w:color="auto" w:fill="FFFFFF"/>
        </w:rPr>
        <w:t xml:space="preserve"> вопрос допущения на законодательном уровне применения налоговых послаблений. При наличии шанса применить льготы по конкретному налогу следует сразу уточнять, что необходимо предпринять для реализации такого права.</w:t>
      </w:r>
      <w:r>
        <w:rPr>
          <w:rStyle w:val="1"/>
          <w:sz w:val="28"/>
          <w:szCs w:val="28"/>
          <w:shd w:val="clear" w:color="auto" w:fill="FFFFFF"/>
        </w:rPr>
        <w:t xml:space="preserve"> Особое внимание уделить разработке учетной политики в части формирования налоговой базы по налогу на прибыль, использование резервов в налоговом учете и способов ускоренной амортизации.</w:t>
      </w:r>
    </w:p>
    <w:p w:rsidR="003812A4" w:rsidRDefault="003812A4" w:rsidP="003812A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7030A0"/>
          <w:sz w:val="28"/>
          <w:szCs w:val="28"/>
        </w:rPr>
      </w:pPr>
    </w:p>
    <w:p w:rsidR="003812A4" w:rsidRDefault="003812A4" w:rsidP="003812A4">
      <w:pPr>
        <w:spacing w:after="200" w:line="276" w:lineRule="auto"/>
        <w:rPr>
          <w:color w:val="192328"/>
          <w:sz w:val="28"/>
          <w:szCs w:val="28"/>
        </w:rPr>
      </w:pPr>
    </w:p>
    <w:sectPr w:rsidR="003812A4" w:rsidSect="004A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DBC"/>
    <w:multiLevelType w:val="hybridMultilevel"/>
    <w:tmpl w:val="817E5AC8"/>
    <w:lvl w:ilvl="0" w:tplc="95EE6D0A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A4"/>
    <w:rsid w:val="00012CEA"/>
    <w:rsid w:val="00055C0D"/>
    <w:rsid w:val="00133EF0"/>
    <w:rsid w:val="001527D8"/>
    <w:rsid w:val="00182CA7"/>
    <w:rsid w:val="00371D82"/>
    <w:rsid w:val="003812A4"/>
    <w:rsid w:val="00395789"/>
    <w:rsid w:val="003C62EE"/>
    <w:rsid w:val="004A1632"/>
    <w:rsid w:val="004A347C"/>
    <w:rsid w:val="00533740"/>
    <w:rsid w:val="005F7F79"/>
    <w:rsid w:val="006144A1"/>
    <w:rsid w:val="006F0B10"/>
    <w:rsid w:val="00745175"/>
    <w:rsid w:val="00820809"/>
    <w:rsid w:val="00957F23"/>
    <w:rsid w:val="00A01B3B"/>
    <w:rsid w:val="00A05B4D"/>
    <w:rsid w:val="00BA4C0A"/>
    <w:rsid w:val="00D605F8"/>
    <w:rsid w:val="00E53BE3"/>
    <w:rsid w:val="00F7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812A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1"/>
    <w:basedOn w:val="a0"/>
    <w:rsid w:val="003812A4"/>
  </w:style>
  <w:style w:type="character" w:customStyle="1" w:styleId="a4">
    <w:name w:val="Обычный (веб) Знак"/>
    <w:aliases w:val="Обычный (Web) Знак"/>
    <w:link w:val="a3"/>
    <w:uiPriority w:val="99"/>
    <w:rsid w:val="0038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3812A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1"/>
    <w:basedOn w:val="a0"/>
    <w:rsid w:val="003812A4"/>
  </w:style>
  <w:style w:type="character" w:customStyle="1" w:styleId="a4">
    <w:name w:val="Обычный (веб) Знак"/>
    <w:aliases w:val="Обычный (Web) Знак"/>
    <w:link w:val="a3"/>
    <w:uiPriority w:val="99"/>
    <w:rsid w:val="0038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поступлений налогов и сборов, всего %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Налог на прибыль</c:v>
                </c:pt>
                <c:pt idx="1">
                  <c:v>НДФЛ</c:v>
                </c:pt>
                <c:pt idx="2">
                  <c:v>НДС</c:v>
                </c:pt>
                <c:pt idx="3">
                  <c:v>Акцизы</c:v>
                </c:pt>
                <c:pt idx="4">
                  <c:v>Налоги на пользование природными ресурсами </c:v>
                </c:pt>
                <c:pt idx="5">
                  <c:v>Налоги на имущество организаций</c:v>
                </c:pt>
                <c:pt idx="6">
                  <c:v>Транспортный налог</c:v>
                </c:pt>
                <c:pt idx="7">
                  <c:v>Местные налоги и сборы</c:v>
                </c:pt>
                <c:pt idx="8">
                  <c:v>Налоги, предусмотренные специальными налоговыми режимами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18.899999999999999</c:v>
                </c:pt>
                <c:pt idx="1">
                  <c:v>17.399999999999999</c:v>
                </c:pt>
                <c:pt idx="2">
                  <c:v>17.8</c:v>
                </c:pt>
                <c:pt idx="3">
                  <c:v>7.1</c:v>
                </c:pt>
                <c:pt idx="4">
                  <c:v>29</c:v>
                </c:pt>
                <c:pt idx="5">
                  <c:v>4.7</c:v>
                </c:pt>
                <c:pt idx="6">
                  <c:v>0.8</c:v>
                </c:pt>
                <c:pt idx="7">
                  <c:v>1.2</c:v>
                </c:pt>
                <c:pt idx="8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Структура поступлений налогов и сборов, строительство, %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Налог на прибыль</c:v>
                </c:pt>
                <c:pt idx="1">
                  <c:v>НДФЛ</c:v>
                </c:pt>
                <c:pt idx="2">
                  <c:v>НДС</c:v>
                </c:pt>
                <c:pt idx="3">
                  <c:v>Акцизы</c:v>
                </c:pt>
                <c:pt idx="4">
                  <c:v>Налоги на пользование природными ресурсами </c:v>
                </c:pt>
                <c:pt idx="5">
                  <c:v>Налоги на имущество организаций</c:v>
                </c:pt>
                <c:pt idx="6">
                  <c:v>Транспортный налог</c:v>
                </c:pt>
                <c:pt idx="7">
                  <c:v>Местные налоги и сборы</c:v>
                </c:pt>
                <c:pt idx="8">
                  <c:v>Налоги, предусмотренные специальными налоговыми режимами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16.3</c:v>
                </c:pt>
                <c:pt idx="1">
                  <c:v>23.4</c:v>
                </c:pt>
                <c:pt idx="2">
                  <c:v>51.5</c:v>
                </c:pt>
                <c:pt idx="3">
                  <c:v>0</c:v>
                </c:pt>
                <c:pt idx="4">
                  <c:v>0.5</c:v>
                </c:pt>
                <c:pt idx="5">
                  <c:v>2.2999999999999998</c:v>
                </c:pt>
                <c:pt idx="6">
                  <c:v>0.5</c:v>
                </c:pt>
                <c:pt idx="7">
                  <c:v>0.9</c:v>
                </c:pt>
                <c:pt idx="8">
                  <c:v>4.5</c:v>
                </c:pt>
              </c:numCache>
            </c:numRef>
          </c:val>
        </c:ser>
        <c:axId val="70897664"/>
        <c:axId val="70899200"/>
      </c:radarChart>
      <c:catAx>
        <c:axId val="70897664"/>
        <c:scaling>
          <c:orientation val="minMax"/>
        </c:scaling>
        <c:axPos val="b"/>
        <c:majorGridlines/>
        <c:numFmt formatCode="dd/mm/yyyy" sourceLinked="1"/>
        <c:tickLblPos val="nextTo"/>
        <c:crossAx val="70899200"/>
        <c:crosses val="autoZero"/>
        <c:auto val="1"/>
        <c:lblAlgn val="ctr"/>
        <c:lblOffset val="100"/>
      </c:catAx>
      <c:valAx>
        <c:axId val="7089920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70897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DBD3-7378-4E69-8576-BA248EEA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Восточный экспресс банк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6</cp:revision>
  <dcterms:created xsi:type="dcterms:W3CDTF">2019-11-19T15:10:00Z</dcterms:created>
  <dcterms:modified xsi:type="dcterms:W3CDTF">2019-12-21T11:36:00Z</dcterms:modified>
</cp:coreProperties>
</file>