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3" w:rsidRPr="00C95D83" w:rsidRDefault="00386EC2" w:rsidP="00CB697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6EC2">
        <w:rPr>
          <w:rFonts w:ascii="Times New Roman" w:hAnsi="Times New Roman" w:cs="Times New Roman"/>
          <w:b/>
          <w:sz w:val="32"/>
          <w:szCs w:val="28"/>
        </w:rPr>
        <w:t>Открытый международный конкурс инициативных научно-исследовательских проектов</w:t>
      </w:r>
    </w:p>
    <w:p w:rsidR="00C95D83" w:rsidRDefault="00C95D83" w:rsidP="00C95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970" w:rsidRDefault="00CB6970" w:rsidP="00C95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83" w:rsidRDefault="00C95D83" w:rsidP="00C95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83" w:rsidRPr="00C95D83" w:rsidRDefault="00C95D83" w:rsidP="00C95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8C" w:rsidRPr="00C95D83" w:rsidRDefault="00C95D83" w:rsidP="00C95D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D83">
        <w:rPr>
          <w:rFonts w:ascii="Times New Roman" w:hAnsi="Times New Roman" w:cs="Times New Roman"/>
          <w:sz w:val="28"/>
          <w:szCs w:val="28"/>
          <w:u w:val="single"/>
        </w:rPr>
        <w:t>СОЗД</w:t>
      </w:r>
      <w:r w:rsidR="00EF4CB6">
        <w:rPr>
          <w:rFonts w:ascii="Times New Roman" w:hAnsi="Times New Roman" w:cs="Times New Roman"/>
          <w:sz w:val="28"/>
          <w:szCs w:val="28"/>
          <w:u w:val="single"/>
        </w:rPr>
        <w:t>АНИЕ ЦЕНТРА ПРОДОВОЛЬСТВЕННОЙ БЕЗОПАСНОСТИ В КЕМЕРОВСКОЙ ОБЛАСТИ</w:t>
      </w:r>
      <w:r w:rsidRPr="00C95D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258C" w:rsidRDefault="005C258C">
      <w:pPr>
        <w:rPr>
          <w:rFonts w:ascii="Times New Roman" w:hAnsi="Times New Roman" w:cs="Times New Roman"/>
          <w:sz w:val="28"/>
          <w:szCs w:val="28"/>
        </w:rPr>
      </w:pPr>
    </w:p>
    <w:p w:rsidR="00C95D83" w:rsidRPr="00C95D83" w:rsidRDefault="00C95D83">
      <w:pPr>
        <w:rPr>
          <w:rFonts w:ascii="Times New Roman" w:hAnsi="Times New Roman" w:cs="Times New Roman"/>
          <w:sz w:val="28"/>
          <w:szCs w:val="28"/>
        </w:rPr>
      </w:pPr>
    </w:p>
    <w:p w:rsidR="00C95D83" w:rsidRPr="00D95F9E" w:rsidRDefault="00C95D83" w:rsidP="00682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ШАРИПОВА НИНА ФАРИДОВНА</w:t>
      </w:r>
    </w:p>
    <w:p w:rsidR="005C258C" w:rsidRDefault="00C95D83" w:rsidP="00C95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КУЗБАССКИЙ ГОСУДАРСТВЕННЫЙ ТЕХНИЧЕСКИЙ УНИВЕРСИТЕТ ИМЕНИ Т. Ф. ГОРБАЧЁВА</w:t>
      </w:r>
    </w:p>
    <w:p w:rsidR="00C95D83" w:rsidRPr="00C95D83" w:rsidRDefault="00C95D83" w:rsidP="00C95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442F34">
        <w:rPr>
          <w:rFonts w:ascii="Times New Roman" w:hAnsi="Times New Roman" w:cs="Times New Roman"/>
          <w:sz w:val="28"/>
          <w:szCs w:val="28"/>
        </w:rPr>
        <w:t xml:space="preserve">КУЗГТУ </w:t>
      </w:r>
      <w:r>
        <w:rPr>
          <w:rFonts w:ascii="Times New Roman" w:hAnsi="Times New Roman" w:cs="Times New Roman"/>
          <w:sz w:val="28"/>
          <w:szCs w:val="28"/>
        </w:rPr>
        <w:t>В Г. ПРОКОПЬЕВСКЕ</w:t>
      </w:r>
    </w:p>
    <w:p w:rsidR="00C95D83" w:rsidRDefault="009341CB" w:rsidP="00207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D83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C95D83" w:rsidRDefault="00C95D83" w:rsidP="00C95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</w:p>
    <w:p w:rsidR="00C95D83" w:rsidRDefault="00C95D83" w:rsidP="00C95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Экономико-правовое обеспечение экономической безопасности </w:t>
      </w:r>
    </w:p>
    <w:p w:rsidR="00C95D83" w:rsidRDefault="00C95D83" w:rsidP="00C95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координаты</w:t>
      </w:r>
      <w:r w:rsidR="00025621">
        <w:rPr>
          <w:rFonts w:ascii="Times New Roman" w:hAnsi="Times New Roman" w:cs="Times New Roman"/>
          <w:sz w:val="28"/>
          <w:szCs w:val="28"/>
        </w:rPr>
        <w:t>:</w:t>
      </w:r>
    </w:p>
    <w:p w:rsidR="00C95D83" w:rsidRDefault="00C95D83" w:rsidP="00C9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A48FA" w:rsidRPr="002A48FA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nscharipowa</w:t>
        </w:r>
        <w:r w:rsidR="002A48FA" w:rsidRPr="002A48FA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@</w:t>
        </w:r>
        <w:r w:rsidR="002A48FA" w:rsidRPr="002A48FA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yandex</w:t>
        </w:r>
        <w:r w:rsidR="002A48FA" w:rsidRPr="002A48FA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.</w:t>
        </w:r>
        <w:r w:rsidR="002A48FA" w:rsidRPr="002A48FA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68295F" w:rsidRDefault="00C95D83" w:rsidP="00C9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89131375318</w:t>
      </w:r>
    </w:p>
    <w:p w:rsidR="00CB6970" w:rsidRDefault="00CB6970" w:rsidP="00C95D83">
      <w:pPr>
        <w:rPr>
          <w:rFonts w:ascii="Times New Roman" w:hAnsi="Times New Roman" w:cs="Times New Roman"/>
          <w:sz w:val="28"/>
          <w:szCs w:val="28"/>
        </w:rPr>
      </w:pPr>
    </w:p>
    <w:p w:rsidR="00C95D83" w:rsidRPr="00207F31" w:rsidRDefault="00207F31" w:rsidP="00C95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31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207F31" w:rsidRDefault="00207F31" w:rsidP="00C95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Кулай Светлана Владимировна</w:t>
      </w:r>
    </w:p>
    <w:p w:rsidR="00207F31" w:rsidRDefault="00207F31" w:rsidP="00C95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</w:t>
      </w:r>
      <w:r w:rsidR="00ED035C">
        <w:rPr>
          <w:rFonts w:ascii="Times New Roman" w:hAnsi="Times New Roman" w:cs="Times New Roman"/>
          <w:sz w:val="28"/>
          <w:szCs w:val="28"/>
        </w:rPr>
        <w:t>едры естественно</w:t>
      </w:r>
      <w:r w:rsidR="004C37AC">
        <w:rPr>
          <w:rFonts w:ascii="Times New Roman" w:hAnsi="Times New Roman" w:cs="Times New Roman"/>
          <w:sz w:val="28"/>
          <w:szCs w:val="28"/>
        </w:rPr>
        <w:t>научных и экономи</w:t>
      </w:r>
      <w:r>
        <w:rPr>
          <w:rFonts w:ascii="Times New Roman" w:hAnsi="Times New Roman" w:cs="Times New Roman"/>
          <w:sz w:val="28"/>
          <w:szCs w:val="28"/>
        </w:rPr>
        <w:t>ческих дисциплин</w:t>
      </w:r>
    </w:p>
    <w:p w:rsidR="00207F31" w:rsidRDefault="00207F31" w:rsidP="00C95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Куз</w:t>
      </w:r>
      <w:r w:rsidR="00F079F7">
        <w:rPr>
          <w:rFonts w:ascii="Times New Roman" w:hAnsi="Times New Roman" w:cs="Times New Roman"/>
          <w:sz w:val="28"/>
          <w:szCs w:val="28"/>
        </w:rPr>
        <w:t>ГТУ</w:t>
      </w:r>
      <w:r>
        <w:rPr>
          <w:rFonts w:ascii="Times New Roman" w:hAnsi="Times New Roman" w:cs="Times New Roman"/>
          <w:sz w:val="28"/>
          <w:szCs w:val="28"/>
        </w:rPr>
        <w:t xml:space="preserve"> в г. Прокопьевске</w:t>
      </w:r>
    </w:p>
    <w:p w:rsidR="00207F31" w:rsidRDefault="00207F31" w:rsidP="00C95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95F" w:rsidRDefault="0068295F" w:rsidP="00C95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F31" w:rsidRPr="00207F31" w:rsidRDefault="00207F31" w:rsidP="00C95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31">
        <w:rPr>
          <w:rFonts w:ascii="Times New Roman" w:hAnsi="Times New Roman" w:cs="Times New Roman"/>
          <w:b/>
          <w:sz w:val="28"/>
          <w:szCs w:val="28"/>
        </w:rPr>
        <w:t>Прокопьевск</w:t>
      </w:r>
    </w:p>
    <w:p w:rsidR="005C258C" w:rsidRPr="0068295F" w:rsidRDefault="00207F31" w:rsidP="0068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31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5C258C" w:rsidRPr="00C6461F" w:rsidRDefault="00C6461F" w:rsidP="004D4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1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275"/>
      </w:tblGrid>
      <w:tr w:rsidR="005C258C" w:rsidRPr="005C258C" w:rsidTr="003E490C">
        <w:tc>
          <w:tcPr>
            <w:tcW w:w="7905" w:type="dxa"/>
          </w:tcPr>
          <w:p w:rsidR="005C258C" w:rsidRDefault="005C258C" w:rsidP="005C25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2B2BF7" w:rsidRPr="005C258C" w:rsidRDefault="00966444" w:rsidP="005C25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B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аспекты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 </w:t>
            </w:r>
            <w:r w:rsidR="002B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продовольственной безопасности</w:t>
            </w:r>
          </w:p>
        </w:tc>
        <w:tc>
          <w:tcPr>
            <w:tcW w:w="1275" w:type="dxa"/>
          </w:tcPr>
          <w:p w:rsidR="005C258C" w:rsidRPr="005C258C" w:rsidRDefault="005C258C" w:rsidP="005C258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258C" w:rsidRPr="005C258C" w:rsidTr="003E490C">
        <w:tc>
          <w:tcPr>
            <w:tcW w:w="7905" w:type="dxa"/>
          </w:tcPr>
          <w:p w:rsidR="005C258C" w:rsidRPr="005C258C" w:rsidRDefault="005C258C" w:rsidP="005C2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2B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Продовольственная безопасность:</w:t>
            </w:r>
            <w:r w:rsidR="00C94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понятие, требования достижения и</w:t>
            </w:r>
            <w:r w:rsidR="002B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</w:t>
            </w:r>
          </w:p>
        </w:tc>
        <w:tc>
          <w:tcPr>
            <w:tcW w:w="1275" w:type="dxa"/>
          </w:tcPr>
          <w:p w:rsidR="005C258C" w:rsidRPr="005C258C" w:rsidRDefault="00252A30" w:rsidP="005C258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258C" w:rsidRPr="005C258C" w:rsidTr="003E490C">
        <w:tc>
          <w:tcPr>
            <w:tcW w:w="7905" w:type="dxa"/>
          </w:tcPr>
          <w:p w:rsidR="005C258C" w:rsidRPr="002B2BF7" w:rsidRDefault="00966444" w:rsidP="005C2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258C" w:rsidRPr="0042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258C" w:rsidRPr="009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оценки продовольственной безопасности</w:t>
            </w:r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РФ</w:t>
            </w:r>
          </w:p>
        </w:tc>
        <w:tc>
          <w:tcPr>
            <w:tcW w:w="1275" w:type="dxa"/>
          </w:tcPr>
          <w:p w:rsidR="005C258C" w:rsidRPr="005C258C" w:rsidRDefault="00252A30" w:rsidP="005C258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C258C" w:rsidRPr="005C258C" w:rsidTr="003E490C">
        <w:tc>
          <w:tcPr>
            <w:tcW w:w="7905" w:type="dxa"/>
          </w:tcPr>
          <w:p w:rsidR="009C0B2E" w:rsidRPr="009C0B2E" w:rsidRDefault="00966444" w:rsidP="005C258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2</w:t>
            </w:r>
            <w:r w:rsidR="005C258C" w:rsidRPr="005C258C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Анализ продовольственной безопасности Кемеровской области</w:t>
            </w:r>
          </w:p>
        </w:tc>
        <w:tc>
          <w:tcPr>
            <w:tcW w:w="1275" w:type="dxa"/>
          </w:tcPr>
          <w:p w:rsidR="005C258C" w:rsidRPr="005C258C" w:rsidRDefault="00252A30" w:rsidP="005C258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0B2E" w:rsidRPr="005C258C" w:rsidTr="003E490C">
        <w:tc>
          <w:tcPr>
            <w:tcW w:w="7905" w:type="dxa"/>
          </w:tcPr>
          <w:p w:rsidR="009C0B2E" w:rsidRDefault="009C0B2E" w:rsidP="005C258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3. Центр продовольственной безопасности Кемеровской области </w:t>
            </w:r>
          </w:p>
        </w:tc>
        <w:tc>
          <w:tcPr>
            <w:tcW w:w="1275" w:type="dxa"/>
          </w:tcPr>
          <w:p w:rsidR="009C0B2E" w:rsidRPr="005C258C" w:rsidRDefault="00252A30" w:rsidP="005C258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258C" w:rsidRPr="005C258C" w:rsidTr="003E490C">
        <w:tc>
          <w:tcPr>
            <w:tcW w:w="7905" w:type="dxa"/>
          </w:tcPr>
          <w:p w:rsidR="005C258C" w:rsidRPr="005C258C" w:rsidRDefault="005C258C" w:rsidP="005C2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275" w:type="dxa"/>
          </w:tcPr>
          <w:p w:rsidR="005C258C" w:rsidRPr="005C258C" w:rsidRDefault="00252A30" w:rsidP="005C258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C258C" w:rsidRPr="005C258C" w:rsidTr="003E490C">
        <w:tc>
          <w:tcPr>
            <w:tcW w:w="7905" w:type="dxa"/>
          </w:tcPr>
          <w:p w:rsidR="005C258C" w:rsidRPr="005C258C" w:rsidRDefault="005C258C" w:rsidP="005C2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1275" w:type="dxa"/>
          </w:tcPr>
          <w:p w:rsidR="005C258C" w:rsidRPr="005C258C" w:rsidRDefault="00252A30" w:rsidP="005C258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C258C" w:rsidRPr="005C258C" w:rsidTr="003E490C">
        <w:tc>
          <w:tcPr>
            <w:tcW w:w="7905" w:type="dxa"/>
          </w:tcPr>
          <w:p w:rsidR="005C258C" w:rsidRPr="005C258C" w:rsidRDefault="005C258C" w:rsidP="005C2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275" w:type="dxa"/>
          </w:tcPr>
          <w:p w:rsidR="005C258C" w:rsidRPr="005C258C" w:rsidRDefault="00252A30" w:rsidP="005C258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5C258C" w:rsidRPr="009C0B2E" w:rsidRDefault="005C258C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Pr="009C0B2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4D4D8C" w:rsidRPr="00A853ED" w:rsidRDefault="009D3428" w:rsidP="00A853E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853ED">
        <w:rPr>
          <w:b/>
          <w:color w:val="000000"/>
          <w:sz w:val="28"/>
          <w:szCs w:val="28"/>
        </w:rPr>
        <w:lastRenderedPageBreak/>
        <w:t>ВВЕДЕНИЕ</w:t>
      </w:r>
    </w:p>
    <w:p w:rsidR="004D4D8C" w:rsidRDefault="004D4D8C" w:rsidP="004D4D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Состояние, при котором каждый человек имеет постоянный физический и экономический доступ к достаточному количеству безопасной пище, необходимой для ведения активной и здоровой жизни, называется продовольственной безопасностью, которая является одним из важных элементов экономической безопасности. </w:t>
      </w:r>
      <w:r w:rsidR="00A853ED" w:rsidRPr="00A8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30 января 2010 года, Дмитрием Медведевым, в то время президентом РФ, была подписана доктрина продовольственной безопасности, которая действует и в настоящее время. В ней было введено понятие продовольственной независимости - положение в экономики, при котором выпуск жизненно необходимых пищевых продуктов за отчетный период (год) составляет не менее </w:t>
      </w:r>
      <w:r w:rsidR="007F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 потребностей населения</w:t>
      </w:r>
      <w:r w:rsidR="00A853ED" w:rsidRPr="00A8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рассчитывается, что обеспечение рыбной продукции и сахара должны поставляться внутренним производителем не менее чем на 80%, мяса - не менее 85%, молока и молочных продуктов - не менее 90%, зерна - не менее 95%. Так же указаны цели, задачи и основные направления государственной экономической политики в производственной безопасности. </w:t>
      </w:r>
      <w:r w:rsidRPr="00A7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Кемеровской области доля обрабатывающей промышленности составляет всего лишь 12-13%, при этом пороговое значение по доктрине должны быть не менее 60%, объём производства сельскохозяйственной продукции увеличивается лишь по некоторым отраслям и с небольшим темпом. Поэтому долгое время остаются актуальными проблемы обеспечения устойчивого развития отечественного производства пищевых продуктов и достижения продовольственной независимости региона [2]. </w:t>
      </w:r>
    </w:p>
    <w:p w:rsidR="007C567F" w:rsidRPr="007C567F" w:rsidRDefault="004C0DD7" w:rsidP="007C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данной</w:t>
      </w:r>
      <w:r w:rsidR="007C567F" w:rsidRPr="00D768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проектной </w:t>
      </w:r>
      <w:r w:rsidR="00C73777">
        <w:rPr>
          <w:rFonts w:ascii="Times New Roman" w:hAnsi="Times New Roman" w:cs="Times New Roman"/>
          <w:sz w:val="28"/>
        </w:rPr>
        <w:t>работы является предотвращение вышеуказанных проблем в Кемеровской области</w:t>
      </w:r>
      <w:r w:rsidR="008E6AA4">
        <w:rPr>
          <w:rFonts w:ascii="Times New Roman" w:hAnsi="Times New Roman" w:cs="Times New Roman"/>
          <w:sz w:val="28"/>
        </w:rPr>
        <w:t>, а также дальнейшее развитие региона</w:t>
      </w:r>
      <w:r w:rsidR="00C73777">
        <w:rPr>
          <w:rFonts w:ascii="Times New Roman" w:hAnsi="Times New Roman" w:cs="Times New Roman"/>
          <w:sz w:val="28"/>
        </w:rPr>
        <w:t>, с помощью создания центра продовольственной безопасности</w:t>
      </w:r>
      <w:r>
        <w:rPr>
          <w:rFonts w:ascii="Times New Roman" w:hAnsi="Times New Roman" w:cs="Times New Roman"/>
          <w:sz w:val="28"/>
        </w:rPr>
        <w:t>.</w:t>
      </w:r>
      <w:r w:rsidR="007C567F" w:rsidRPr="00D7680C">
        <w:rPr>
          <w:rFonts w:ascii="Times New Roman" w:hAnsi="Times New Roman" w:cs="Times New Roman"/>
          <w:sz w:val="28"/>
        </w:rPr>
        <w:t xml:space="preserve"> </w:t>
      </w:r>
    </w:p>
    <w:p w:rsidR="007C567F" w:rsidRDefault="007C567F" w:rsidP="007C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80C">
        <w:rPr>
          <w:rFonts w:ascii="Times New Roman" w:hAnsi="Times New Roman" w:cs="Times New Roman"/>
          <w:sz w:val="28"/>
        </w:rPr>
        <w:t>Основными задачами данной работы являются:</w:t>
      </w:r>
    </w:p>
    <w:p w:rsidR="00C73777" w:rsidRPr="008E6AA4" w:rsidRDefault="00634236" w:rsidP="008E6AA4">
      <w:pPr>
        <w:pStyle w:val="aa"/>
        <w:numPr>
          <w:ilvl w:val="0"/>
          <w:numId w:val="2"/>
        </w:numPr>
        <w:spacing w:after="0" w:line="360" w:lineRule="auto"/>
        <w:ind w:left="109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теоретических аспектов</w:t>
      </w:r>
      <w:r w:rsidR="00C73777" w:rsidRPr="008E6AA4">
        <w:rPr>
          <w:rFonts w:ascii="Times New Roman" w:hAnsi="Times New Roman" w:cs="Times New Roman"/>
          <w:sz w:val="28"/>
        </w:rPr>
        <w:t xml:space="preserve"> проблем продовольственной безопасности;</w:t>
      </w:r>
    </w:p>
    <w:p w:rsidR="00C73777" w:rsidRPr="008E6AA4" w:rsidRDefault="00634236" w:rsidP="008E6AA4">
      <w:pPr>
        <w:pStyle w:val="aa"/>
        <w:numPr>
          <w:ilvl w:val="0"/>
          <w:numId w:val="2"/>
        </w:numPr>
        <w:spacing w:after="0" w:line="360" w:lineRule="auto"/>
        <w:ind w:left="1094" w:hanging="35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Проведение</w:t>
      </w:r>
      <w:r w:rsidR="00C73777" w:rsidRPr="008E6AA4">
        <w:rPr>
          <w:rFonts w:ascii="Times New Roman" w:hAnsi="Times New Roman" w:cs="Times New Roman"/>
          <w:sz w:val="28"/>
        </w:rPr>
        <w:t xml:space="preserve"> </w:t>
      </w:r>
      <w:r w:rsidR="00C73777" w:rsidRPr="008E6AA4">
        <w:rPr>
          <w:rFonts w:ascii="Times New Roman" w:eastAsia="Calibri" w:hAnsi="Times New Roman" w:cs="Times New Roman"/>
          <w:spacing w:val="-10"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>а</w:t>
      </w:r>
      <w:r w:rsidR="00C73777" w:rsidRPr="008E6AA4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продовольственной безопасности Кемеровской области;</w:t>
      </w:r>
    </w:p>
    <w:p w:rsidR="00C73777" w:rsidRPr="008E6AA4" w:rsidRDefault="00B47A7A" w:rsidP="008E6AA4">
      <w:pPr>
        <w:pStyle w:val="aa"/>
        <w:numPr>
          <w:ilvl w:val="0"/>
          <w:numId w:val="2"/>
        </w:numPr>
        <w:spacing w:after="0" w:line="360" w:lineRule="auto"/>
        <w:ind w:left="109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Проектирование центра по продовольственной безопасности в Кемеровской области.</w:t>
      </w:r>
    </w:p>
    <w:p w:rsidR="007C567F" w:rsidRPr="00D7680C" w:rsidRDefault="007C567F" w:rsidP="007C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80C">
        <w:rPr>
          <w:rFonts w:ascii="Times New Roman" w:hAnsi="Times New Roman" w:cs="Times New Roman"/>
          <w:sz w:val="28"/>
        </w:rPr>
        <w:t xml:space="preserve">Объектом исследования является </w:t>
      </w:r>
      <w:r w:rsidR="00B6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="008E6AA4" w:rsidRPr="00A7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устойчивого развития отечественного производств</w:t>
      </w:r>
      <w:r w:rsidR="00B6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пищевых продуктов и достижение</w:t>
      </w:r>
      <w:r w:rsidR="008E6AA4" w:rsidRPr="00A7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продовольственной независимости региона</w:t>
      </w:r>
      <w:r w:rsidRPr="00D7680C">
        <w:rPr>
          <w:rFonts w:ascii="Times New Roman" w:hAnsi="Times New Roman" w:cs="Times New Roman"/>
          <w:sz w:val="28"/>
        </w:rPr>
        <w:t xml:space="preserve">. </w:t>
      </w:r>
    </w:p>
    <w:p w:rsidR="007C567F" w:rsidRPr="00D7680C" w:rsidRDefault="00B6247E" w:rsidP="007C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Предметом данной </w:t>
      </w:r>
      <w:r w:rsidR="007C567F" w:rsidRPr="00D7680C">
        <w:rPr>
          <w:rFonts w:ascii="Times New Roman" w:hAnsi="Times New Roman" w:cs="Times New Roman"/>
          <w:sz w:val="28"/>
        </w:rPr>
        <w:t>работы является</w:t>
      </w:r>
      <w:r>
        <w:rPr>
          <w:rFonts w:ascii="Times New Roman" w:hAnsi="Times New Roman" w:cs="Times New Roman"/>
          <w:sz w:val="28"/>
        </w:rPr>
        <w:t xml:space="preserve"> проектирование центра по продовольственной безопасности в регионе</w:t>
      </w:r>
      <w:r w:rsidR="007C567F" w:rsidRPr="00D7680C">
        <w:rPr>
          <w:rFonts w:ascii="Times New Roman" w:hAnsi="Times New Roman" w:cs="Times New Roman"/>
          <w:sz w:val="28"/>
        </w:rPr>
        <w:t xml:space="preserve">. </w:t>
      </w:r>
    </w:p>
    <w:p w:rsidR="007C567F" w:rsidRPr="00D7680C" w:rsidRDefault="00B6247E" w:rsidP="007C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написании </w:t>
      </w:r>
      <w:r w:rsidR="007C567F" w:rsidRPr="00D7680C">
        <w:rPr>
          <w:rFonts w:ascii="Times New Roman" w:hAnsi="Times New Roman" w:cs="Times New Roman"/>
          <w:sz w:val="28"/>
        </w:rPr>
        <w:t xml:space="preserve">работы были использованы материалы законодательной базы, сборников, учебников, электронных ресурсов. </w:t>
      </w:r>
    </w:p>
    <w:p w:rsidR="004D4D8C" w:rsidRDefault="004D4D8C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D4D8C" w:rsidRDefault="004D4D8C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D4D8C" w:rsidRDefault="004D4D8C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B2BF7" w:rsidRDefault="002B2BF7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D3428" w:rsidRDefault="009D3428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1CC3" w:rsidRDefault="00A31CC3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D3428" w:rsidRDefault="009D3428" w:rsidP="006342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B2BF7" w:rsidRPr="00966444" w:rsidRDefault="00966444" w:rsidP="0096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66444">
        <w:rPr>
          <w:b/>
          <w:color w:val="000000"/>
          <w:sz w:val="28"/>
          <w:szCs w:val="28"/>
        </w:rPr>
        <w:lastRenderedPageBreak/>
        <w:t>1. ТЕОРЕТИЧЕСКИЕ АСПЕКТЫ ПРОБЛЕМ ПРОДОВОЛЬСТВЕННОЙ БЕЗОПАСНОСТИ</w:t>
      </w:r>
    </w:p>
    <w:p w:rsidR="002B2BF7" w:rsidRDefault="00966444" w:rsidP="0096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 П</w:t>
      </w:r>
      <w:r w:rsidRPr="00966444">
        <w:rPr>
          <w:b/>
          <w:color w:val="000000"/>
          <w:sz w:val="28"/>
          <w:szCs w:val="28"/>
        </w:rPr>
        <w:t xml:space="preserve">родовольственная безопасность: </w:t>
      </w:r>
      <w:r w:rsidR="00234F5E">
        <w:rPr>
          <w:b/>
          <w:color w:val="000000"/>
          <w:sz w:val="28"/>
          <w:szCs w:val="28"/>
        </w:rPr>
        <w:t xml:space="preserve">понятие, требования достижения и </w:t>
      </w:r>
      <w:r w:rsidRPr="00966444">
        <w:rPr>
          <w:b/>
          <w:color w:val="000000"/>
          <w:sz w:val="28"/>
          <w:szCs w:val="28"/>
        </w:rPr>
        <w:t>задачи</w:t>
      </w:r>
    </w:p>
    <w:p w:rsidR="00966444" w:rsidRPr="00966444" w:rsidRDefault="00966444" w:rsidP="0096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Н.В. Климова в своих трудах отмечает: «Проблема организации продовольственной безопасности региона имеет интегральный характер, в ней сочетаются важные этапы агропромышленного и экономического развития, настоящее положение и методы развития производства сельскохозяйственной и продовольственной продукции, отечественного рынка продовольствия, изменения уровня его зависимости от импорта, платежеспособности населения в различных регионах России» [3]. 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По мнению Д.Г. Оловянникова «продовольственная безопасность – это положение экономики, при котором население государства имеет постоянный физический и экономический доступ к достаточному объему безопасного и полезного продовольствия отечественного производства и его запасов. А основами продовольственной безопасности являются: физическая, экономическая доступность, распределение продовольствия и рацион питания, качество и безопасность продовольствия» [4].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Продовольственная безопасность - это состояние экономики, предполагающее ситуацию в государстве и его образованиях, при которой достигается продовольственная независимость, осуществляется экономическая доступность для населения страны пищевыми продуктами, при которой население постоянно имеет доступ к достаточно, в количественном отношении, необходимой пище, важной для активной и здоровой жизни.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Касаясь иных видов безопасности, входящих в состав экономической (информационная, внешнеэкономическая, производственная и др.), продовольственная безопасность считается             первоосновой.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Важнейшими требованиями достижения продовольственной безопасности являются: 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lastRenderedPageBreak/>
        <w:t>1) возможная физическая доступность продуктов питания для населения (наличие их в достаточном количестве);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2) экономическая реальность покупки продовольствия любыми социальными группами общества, включая и малоимущих (платежеспособность потребительского спроса) 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3) потребление продуктов высшего качества в необходимом объёме.</w:t>
      </w:r>
      <w:r w:rsidRPr="00085342">
        <w:rPr>
          <w:color w:val="000000"/>
          <w:sz w:val="28"/>
          <w:szCs w:val="28"/>
        </w:rPr>
        <w:br/>
        <w:t>В зависимости от субъектов, решающих проблему и выполняемых функций, различают семь уровней продовольственной безопасности: глобальный, субрегиональный, межгосударственный, государственный, местный, групп населения и семейный (домашние хозяйства).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Обеспечение продовольственной безопасности включает решение ряда задач, важнейшими из </w:t>
      </w:r>
      <w:r w:rsidR="00BF1448" w:rsidRPr="00085342">
        <w:rPr>
          <w:color w:val="000000"/>
          <w:sz w:val="28"/>
          <w:szCs w:val="28"/>
        </w:rPr>
        <w:t>которых являются</w:t>
      </w:r>
      <w:r w:rsidRPr="00085342">
        <w:rPr>
          <w:color w:val="000000"/>
          <w:sz w:val="28"/>
          <w:szCs w:val="28"/>
        </w:rPr>
        <w:t>: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1. Достижение устойчивых экономических условий; 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2. Проведение и поддержание эффективной аграрной политики; 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3. Установление равных возможностей для субъектов хозяйствования; 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4. Организация рациональной политики в сфере занятости населения; 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5. Проведение социальной политики, с целью искоренение бедности и неравенства в части легко доступного </w:t>
      </w:r>
      <w:r w:rsidR="00226956" w:rsidRPr="00085342">
        <w:rPr>
          <w:color w:val="000000"/>
          <w:sz w:val="28"/>
          <w:szCs w:val="28"/>
        </w:rPr>
        <w:t>продовольствия;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6. Обеспечение неизменного, интенсивного и разностороннего производства продовольствия, рост его эффективности и </w:t>
      </w:r>
      <w:r w:rsidR="00226956" w:rsidRPr="00085342">
        <w:rPr>
          <w:color w:val="000000"/>
          <w:sz w:val="28"/>
          <w:szCs w:val="28"/>
        </w:rPr>
        <w:t>качества;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7. Помощь по внедрению инновационных технологий в сфере производства, переработки и хранении сырья и продовольствия; 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8. Достичь развития </w:t>
      </w:r>
      <w:r w:rsidR="00226956" w:rsidRPr="00085342">
        <w:rPr>
          <w:color w:val="000000"/>
          <w:sz w:val="28"/>
          <w:szCs w:val="28"/>
        </w:rPr>
        <w:t>в размещении</w:t>
      </w:r>
      <w:r w:rsidRPr="00085342">
        <w:rPr>
          <w:color w:val="000000"/>
          <w:sz w:val="28"/>
          <w:szCs w:val="28"/>
        </w:rPr>
        <w:t xml:space="preserve"> и специализации сельского хозяйства, с целью самообеспечения регионов сырьем и продовольствием с учетом потребления и преимуществ международного разделения труда; 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9. Разработка и проведение активной внешнеэкономической политики, </w:t>
      </w:r>
      <w:r w:rsidR="00226956" w:rsidRPr="00085342">
        <w:rPr>
          <w:color w:val="000000"/>
          <w:sz w:val="28"/>
          <w:szCs w:val="28"/>
        </w:rPr>
        <w:t>усовершенствование экспортно</w:t>
      </w:r>
      <w:r w:rsidRPr="00085342">
        <w:rPr>
          <w:color w:val="000000"/>
          <w:sz w:val="28"/>
          <w:szCs w:val="28"/>
        </w:rPr>
        <w:t>-импортной деятельности; 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10. Совершать вложения в аграрную сферу.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Принимая во внимание множество целей, определяющих проблему продовольствия, а также трудность их достижения, можно сделать вывод, что </w:t>
      </w:r>
      <w:r w:rsidRPr="00085342">
        <w:rPr>
          <w:color w:val="000000"/>
          <w:sz w:val="28"/>
          <w:szCs w:val="28"/>
        </w:rPr>
        <w:lastRenderedPageBreak/>
        <w:t>продовольственная безопасность государства достигается совокупностью экономических и социальных условий, взаимосвязанных как с развитием сельского хозяйства и всего агропромышленного комплекса, так и с общим положением национальной и мировой экономики.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По зерну, мясу, растительному маслу, сахару и картофелю Россия уже сегодня практически полностью независима от импорта, сообщил минсельхоз, говоря о ходе выполнения основных показателей Доктрины продовольственной безопасности на период до 2020 года.</w:t>
      </w:r>
    </w:p>
    <w:p w:rsid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Между тем часть задач ещё не решена. Несмотря на развитие тепличного производства, полностью закрыть потребность в тепличных овощах пока не удалось. "Чтобы отечественным аграриям занять доминирующую позицию на рынке тех же томатов, необходимо еще три года, - отметил в беседе с "Российской газетой" исполнительный директор Ассоциации производителей и поставщиков продовольственных товаров ("Руспродсоюз") Дмитрий Востриков. - Впрочем, сегодня мы уже вдвое сократили их импорт, и сейчас доля отечественного предложения превышает 40 процентов». Кроме того, как отмечает эксперт, пока не достигнуты установленные Доктриной показатели по молоку и соли. "Доля отечественного молока в общем объеме потребления находится на уровне в 80-82 процента, - отмечает он. - А из-за проблем с грузоперевозками сохраняется низкий уровень самообеспеченности по пищевой соли "[5]. </w:t>
      </w:r>
    </w:p>
    <w:p w:rsidR="009A14AF" w:rsidRDefault="009A14AF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14AF" w:rsidRDefault="009A14AF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14AF" w:rsidRDefault="009A14AF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14AF" w:rsidRDefault="009A14AF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14AF" w:rsidRDefault="009A14AF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14AF" w:rsidRDefault="009A14AF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14AF" w:rsidRDefault="009A14AF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14AF" w:rsidRDefault="009A14AF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14AF" w:rsidRDefault="009A14AF" w:rsidP="0053412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A14AF" w:rsidRPr="009A14AF" w:rsidRDefault="009A14AF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A14AF">
        <w:rPr>
          <w:b/>
          <w:color w:val="000000"/>
          <w:sz w:val="28"/>
          <w:szCs w:val="28"/>
        </w:rPr>
        <w:lastRenderedPageBreak/>
        <w:t>1.2 Методы оценки продовольственной безопасности</w:t>
      </w:r>
      <w:r w:rsidR="00257ED5">
        <w:rPr>
          <w:b/>
          <w:color w:val="000000"/>
          <w:sz w:val="28"/>
          <w:szCs w:val="28"/>
        </w:rPr>
        <w:t xml:space="preserve"> в РФ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В Российской Федерации методы оценки продовольственной безопасности представлены следующим образом: 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1.Оценка продовольственной безопасности по одному показателю.  Больше всего применяются такие показатели, как: средний коэффициент самообеспеченности, производство зерна на душу населения (в основном они служат для характеристики продовольственной безопасности на уровне страны).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2.Оценка продовольственной безопасности с использованием системы показателей. 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А. Корбут к таким показателям относит: 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- территориальную доступность продуктов;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-  степень «удобства» продовольствия продуктов;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-  степень «натуральности» и качественности продуктов;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- влияние качества продуктов на уровень здоровья и продолжительность жизни, включая продукты, полученные с помощью методов генной инженерии и биотехнологии, и др. 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По методике ФАО для установления продовольственной безопасности применяются следующие экономические показатели: расходы на питание, инфраструктура, рынки, валовой национальный доход на душу населения, ВВП на душу населения, процент населения, проживающего на уровне бедности, коэффициент Джини, социальная и политическая среда, уровень калорийности суточного рациона питания. 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С. Парамонова, Л. Пашина выделяют четыре группы индикаторов, применяемых для оценки состояния продовольственного обеспечения населения: 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− показатели, описывающие наличие продуктов питания, т.е. физическую доступность продовольствия (предложение продовольствия); 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− показатели, указывающие на доступность продуктов питания для отдельных граждан и домохозяйств, т.е. экономическую свободу продовольствия (платежеспособный спрос); 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lastRenderedPageBreak/>
        <w:t xml:space="preserve">− показатели, характеризующие достаточность питания (потребление продовольствия); 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− показатели, характеризующие качество и безопасность продуктов питания (продовольствия).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3. Оценка продовольственной безопасности с помощью комплексного интегрального показателя. </w:t>
      </w:r>
    </w:p>
    <w:p w:rsid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Д. Оловянников разработал методику комплексной оценки продовольственного обеспечения региона, с у</w:t>
      </w:r>
      <w:r w:rsidR="000341E4">
        <w:rPr>
          <w:color w:val="000000"/>
          <w:sz w:val="28"/>
          <w:szCs w:val="28"/>
        </w:rPr>
        <w:t>четом выделения этапов анализа [6</w:t>
      </w:r>
      <w:r w:rsidRPr="00085342">
        <w:rPr>
          <w:color w:val="000000"/>
          <w:sz w:val="28"/>
          <w:szCs w:val="28"/>
        </w:rPr>
        <w:t>].</w:t>
      </w:r>
    </w:p>
    <w:p w:rsidR="00641216" w:rsidRDefault="0064121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41216" w:rsidRDefault="0064121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41216" w:rsidRDefault="0064121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41216" w:rsidRDefault="0064121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41216" w:rsidRDefault="0064121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C47C6" w:rsidRDefault="004C47C6" w:rsidP="004C47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C47C6">
        <w:rPr>
          <w:b/>
          <w:color w:val="000000"/>
          <w:sz w:val="28"/>
          <w:szCs w:val="28"/>
        </w:rPr>
        <w:lastRenderedPageBreak/>
        <w:t>2.  АНАЛИЗ ПРОДОВОЛЬСТВЕННОЙ БЕЗОПАСНОСТИ КЕМЕРОВСКОЙ ОБЛАСТИ</w:t>
      </w:r>
    </w:p>
    <w:p w:rsidR="004C47C6" w:rsidRPr="004C47C6" w:rsidRDefault="004C47C6" w:rsidP="004C47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853D6" w:rsidRPr="00085342" w:rsidRDefault="001853D6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70FB6">
        <w:rPr>
          <w:color w:val="000000"/>
          <w:sz w:val="28"/>
          <w:szCs w:val="28"/>
        </w:rPr>
        <w:t>Рассмотрим статистику продовольственной безопасности Кемеровской области, в сравнении с другими субъектами и Росс</w:t>
      </w:r>
      <w:r w:rsidR="00E669F8">
        <w:rPr>
          <w:color w:val="000000"/>
          <w:sz w:val="28"/>
          <w:szCs w:val="28"/>
        </w:rPr>
        <w:t>ийской Федерации в целом, с 2014 по 2018</w:t>
      </w:r>
      <w:r w:rsidRPr="00A70FB6">
        <w:rPr>
          <w:color w:val="000000"/>
          <w:sz w:val="28"/>
          <w:szCs w:val="28"/>
        </w:rPr>
        <w:t>г</w:t>
      </w:r>
      <w:r w:rsidR="00E669F8">
        <w:rPr>
          <w:color w:val="000000"/>
          <w:sz w:val="28"/>
          <w:szCs w:val="28"/>
        </w:rPr>
        <w:t>.</w:t>
      </w:r>
      <w:r w:rsidRPr="00A70FB6">
        <w:rPr>
          <w:color w:val="000000"/>
          <w:sz w:val="28"/>
          <w:szCs w:val="28"/>
        </w:rPr>
        <w:t xml:space="preserve"> с помощью методики С. Парамоновой и Л. Пашиной, которая предполагает анализ показателей СХ продукции [6].</w:t>
      </w:r>
    </w:p>
    <w:p w:rsidR="00085342" w:rsidRDefault="00085342" w:rsidP="0008534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Таблица1. – Производство продукции сельского хозяйства млн. руб. </w:t>
      </w:r>
    </w:p>
    <w:tbl>
      <w:tblPr>
        <w:tblStyle w:val="10"/>
        <w:tblW w:w="8407" w:type="dxa"/>
        <w:tblInd w:w="-5" w:type="dxa"/>
        <w:tblLook w:val="04A0" w:firstRow="1" w:lastRow="0" w:firstColumn="1" w:lastColumn="0" w:noHBand="0" w:noVBand="1"/>
      </w:tblPr>
      <w:tblGrid>
        <w:gridCol w:w="1200"/>
        <w:gridCol w:w="1200"/>
        <w:gridCol w:w="1848"/>
        <w:gridCol w:w="1316"/>
        <w:gridCol w:w="1305"/>
        <w:gridCol w:w="1538"/>
      </w:tblGrid>
      <w:tr w:rsidR="00085342" w:rsidRPr="00085342" w:rsidTr="00085342">
        <w:trPr>
          <w:trHeight w:val="825"/>
        </w:trPr>
        <w:tc>
          <w:tcPr>
            <w:tcW w:w="1200" w:type="dxa"/>
            <w:vMerge w:val="restart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РФ</w:t>
            </w:r>
          </w:p>
        </w:tc>
        <w:tc>
          <w:tcPr>
            <w:tcW w:w="1848" w:type="dxa"/>
            <w:vMerge w:val="restart"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4159" w:type="dxa"/>
            <w:gridSpan w:val="3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Кемеровская область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млн. руб.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% к РФ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% к СФО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504366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3339159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428090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37388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8,7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504366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3687075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502653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44360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8,8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504366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4319050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543890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49652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9,1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504366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5164877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628955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56168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8,9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504366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5505755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668368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57377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8,6</w:t>
            </w:r>
          </w:p>
        </w:tc>
      </w:tr>
    </w:tbl>
    <w:p w:rsidR="00085342" w:rsidRDefault="00085342" w:rsidP="00085342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Кемеровская область находится в зоне рискованного земледелия. В данной области находится огромное скопление заводов, шахт, разрезов и химических предприятий, которые каждый день уничтожают земельные запасы области. Доля сельского хозяйства (включая охоту и лесное хозяйство) в объеме валового регионального производства составляет 3.9%. Несмотря на это регион производит значительный объем сельской промышленности и занимает место в топ 40 регионов РФ. В таблице 1, указаны данные производству продукции сельского хозяйства в млн. руб. по РФ, СФО и Кемеровской области, а также % производства в Кемеровской области от РФ и СФО, к</w:t>
      </w:r>
      <w:r w:rsidR="00CE790B">
        <w:rPr>
          <w:color w:val="000000"/>
          <w:sz w:val="28"/>
          <w:szCs w:val="28"/>
        </w:rPr>
        <w:t>оторые составляют в 2018</w:t>
      </w:r>
      <w:r w:rsidRPr="00085342">
        <w:rPr>
          <w:color w:val="000000"/>
          <w:sz w:val="28"/>
          <w:szCs w:val="28"/>
        </w:rPr>
        <w:t xml:space="preserve"> году 1 % и 8.6 %.</w:t>
      </w:r>
    </w:p>
    <w:p w:rsidR="00085342" w:rsidRPr="00085342" w:rsidRDefault="00085342" w:rsidP="00085342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34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="00DA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5342">
        <w:rPr>
          <w:rFonts w:ascii="Times New Roman" w:eastAsia="Times New Roman" w:hAnsi="Times New Roman" w:cs="Times New Roman"/>
          <w:color w:val="000000"/>
          <w:sz w:val="28"/>
          <w:szCs w:val="28"/>
        </w:rPr>
        <w:t>2. – Основные показатели сельского хозяйства (в хозяйствах всех категорий)</w:t>
      </w: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718"/>
        <w:gridCol w:w="1200"/>
        <w:gridCol w:w="1200"/>
        <w:gridCol w:w="1398"/>
        <w:gridCol w:w="1134"/>
        <w:gridCol w:w="1108"/>
        <w:gridCol w:w="876"/>
      </w:tblGrid>
      <w:tr w:rsidR="00085342" w:rsidRPr="00085342" w:rsidTr="00085342">
        <w:trPr>
          <w:trHeight w:val="300"/>
        </w:trPr>
        <w:tc>
          <w:tcPr>
            <w:tcW w:w="2718" w:type="dxa"/>
            <w:vMerge w:val="restart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085342" w:rsidRPr="00085342" w:rsidRDefault="008D19E4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085342" w:rsidRPr="00085342" w:rsidRDefault="008D19E4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085342" w:rsidRPr="00085342" w:rsidRDefault="008D19E4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085342" w:rsidRPr="00085342" w:rsidRDefault="008D19E4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085342" w:rsidRPr="00085342" w:rsidRDefault="00DA2149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2018/2015</w:t>
            </w:r>
          </w:p>
        </w:tc>
      </w:tr>
      <w:tr w:rsidR="00085342" w:rsidRPr="00085342" w:rsidTr="00085342">
        <w:trPr>
          <w:trHeight w:val="555"/>
        </w:trPr>
        <w:tc>
          <w:tcPr>
            <w:tcW w:w="0" w:type="auto"/>
            <w:vMerge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Абс. откл.</w:t>
            </w:r>
          </w:p>
        </w:tc>
        <w:tc>
          <w:tcPr>
            <w:tcW w:w="876" w:type="dxa"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085342" w:rsidRPr="00085342" w:rsidTr="00085342">
        <w:trPr>
          <w:trHeight w:val="687"/>
        </w:trPr>
        <w:tc>
          <w:tcPr>
            <w:tcW w:w="2718" w:type="dxa"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Объём сельскохозяйственной продукции в млрд. руб.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49,6</w:t>
            </w:r>
          </w:p>
        </w:tc>
        <w:tc>
          <w:tcPr>
            <w:tcW w:w="1398" w:type="dxa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56,1</w:t>
            </w:r>
          </w:p>
        </w:tc>
        <w:tc>
          <w:tcPr>
            <w:tcW w:w="1134" w:type="dxa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57,4</w:t>
            </w:r>
          </w:p>
        </w:tc>
        <w:tc>
          <w:tcPr>
            <w:tcW w:w="1108" w:type="dxa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6" w:type="dxa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129,3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Зерно, тыс. тонн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912,7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967,6</w:t>
            </w:r>
          </w:p>
        </w:tc>
        <w:tc>
          <w:tcPr>
            <w:tcW w:w="139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1034,1</w:t>
            </w:r>
          </w:p>
        </w:tc>
        <w:tc>
          <w:tcPr>
            <w:tcW w:w="1134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110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876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102,8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Картофель, тыс. тонн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685,9</w:t>
            </w:r>
          </w:p>
        </w:tc>
        <w:tc>
          <w:tcPr>
            <w:tcW w:w="139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703,7</w:t>
            </w:r>
          </w:p>
        </w:tc>
        <w:tc>
          <w:tcPr>
            <w:tcW w:w="1134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704,1</w:t>
            </w:r>
          </w:p>
        </w:tc>
        <w:tc>
          <w:tcPr>
            <w:tcW w:w="110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53,1</w:t>
            </w:r>
          </w:p>
        </w:tc>
        <w:tc>
          <w:tcPr>
            <w:tcW w:w="876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108,1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Овощи, тыс. тонн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222,8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226,3</w:t>
            </w:r>
          </w:p>
        </w:tc>
        <w:tc>
          <w:tcPr>
            <w:tcW w:w="139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232,2</w:t>
            </w:r>
          </w:p>
        </w:tc>
        <w:tc>
          <w:tcPr>
            <w:tcW w:w="1134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240,3</w:t>
            </w:r>
          </w:p>
        </w:tc>
        <w:tc>
          <w:tcPr>
            <w:tcW w:w="110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876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107,8</w:t>
            </w:r>
          </w:p>
        </w:tc>
      </w:tr>
      <w:tr w:rsidR="00085342" w:rsidRPr="00085342" w:rsidTr="00085342">
        <w:trPr>
          <w:trHeight w:val="555"/>
        </w:trPr>
        <w:tc>
          <w:tcPr>
            <w:tcW w:w="2718" w:type="dxa"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Крупный рогатый скот, тыс. голов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188,1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188,8</w:t>
            </w:r>
          </w:p>
        </w:tc>
        <w:tc>
          <w:tcPr>
            <w:tcW w:w="139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192,4</w:t>
            </w:r>
          </w:p>
        </w:tc>
        <w:tc>
          <w:tcPr>
            <w:tcW w:w="1134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194,7</w:t>
            </w:r>
          </w:p>
        </w:tc>
        <w:tc>
          <w:tcPr>
            <w:tcW w:w="110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876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103,5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Свиньи, тыс. голов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428,3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373,7</w:t>
            </w:r>
          </w:p>
        </w:tc>
        <w:tc>
          <w:tcPr>
            <w:tcW w:w="139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410,9</w:t>
            </w:r>
          </w:p>
        </w:tc>
        <w:tc>
          <w:tcPr>
            <w:tcW w:w="1134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110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-21,7</w:t>
            </w:r>
          </w:p>
        </w:tc>
        <w:tc>
          <w:tcPr>
            <w:tcW w:w="876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94,9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Овцы и козы, тыс. голов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79,6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39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90,7</w:t>
            </w:r>
          </w:p>
        </w:tc>
        <w:tc>
          <w:tcPr>
            <w:tcW w:w="1134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10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18,3</w:t>
            </w:r>
          </w:p>
        </w:tc>
        <w:tc>
          <w:tcPr>
            <w:tcW w:w="876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123</w:t>
            </w:r>
          </w:p>
        </w:tc>
      </w:tr>
      <w:tr w:rsidR="00085342" w:rsidRPr="00085342" w:rsidTr="00085342">
        <w:trPr>
          <w:trHeight w:val="555"/>
        </w:trPr>
        <w:tc>
          <w:tcPr>
            <w:tcW w:w="2718" w:type="dxa"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Скот и птица на убой в живом весе, тыс. тонн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126,6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126,3</w:t>
            </w:r>
          </w:p>
        </w:tc>
        <w:tc>
          <w:tcPr>
            <w:tcW w:w="139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135,7</w:t>
            </w:r>
          </w:p>
        </w:tc>
        <w:tc>
          <w:tcPr>
            <w:tcW w:w="110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876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107,2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Молоко, тыс. тонн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368,9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375,9</w:t>
            </w:r>
          </w:p>
        </w:tc>
        <w:tc>
          <w:tcPr>
            <w:tcW w:w="139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380,1</w:t>
            </w:r>
          </w:p>
        </w:tc>
        <w:tc>
          <w:tcPr>
            <w:tcW w:w="1134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382,3</w:t>
            </w:r>
          </w:p>
        </w:tc>
        <w:tc>
          <w:tcPr>
            <w:tcW w:w="110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876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103,6</w:t>
            </w:r>
          </w:p>
        </w:tc>
      </w:tr>
      <w:tr w:rsidR="00085342" w:rsidRPr="00085342" w:rsidTr="00085342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Яйца, млн. штук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952,2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1082,5</w:t>
            </w:r>
          </w:p>
        </w:tc>
        <w:tc>
          <w:tcPr>
            <w:tcW w:w="139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1150,5</w:t>
            </w:r>
          </w:p>
        </w:tc>
        <w:tc>
          <w:tcPr>
            <w:tcW w:w="1134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1156,7</w:t>
            </w:r>
          </w:p>
        </w:tc>
        <w:tc>
          <w:tcPr>
            <w:tcW w:w="1108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204,5</w:t>
            </w:r>
          </w:p>
        </w:tc>
        <w:tc>
          <w:tcPr>
            <w:tcW w:w="876" w:type="dxa"/>
            <w:noWrap/>
            <w:vAlign w:val="center"/>
            <w:hideMark/>
          </w:tcPr>
          <w:p w:rsidR="00085342" w:rsidRPr="00085342" w:rsidRDefault="00085342" w:rsidP="003E490C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121,5</w:t>
            </w:r>
          </w:p>
        </w:tc>
      </w:tr>
      <w:tr w:rsidR="00085342" w:rsidRPr="00085342" w:rsidTr="00085342">
        <w:trPr>
          <w:trHeight w:val="1365"/>
        </w:trPr>
        <w:tc>
          <w:tcPr>
            <w:tcW w:w="2718" w:type="dxa"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Среднегодовая численность занятых в сельском, лесном и охотничьем хозяйств, тыс. чел.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45,7</w:t>
            </w:r>
          </w:p>
        </w:tc>
        <w:tc>
          <w:tcPr>
            <w:tcW w:w="0" w:type="auto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98" w:type="dxa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134" w:type="dxa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1108" w:type="dxa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-1,6</w:t>
            </w:r>
          </w:p>
        </w:tc>
        <w:tc>
          <w:tcPr>
            <w:tcW w:w="876" w:type="dxa"/>
            <w:noWrap/>
            <w:vAlign w:val="center"/>
            <w:hideMark/>
          </w:tcPr>
          <w:p w:rsidR="00085342" w:rsidRPr="00085342" w:rsidRDefault="00085342" w:rsidP="003E49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5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96,5</w:t>
            </w:r>
          </w:p>
        </w:tc>
      </w:tr>
    </w:tbl>
    <w:p w:rsidR="00085342" w:rsidRPr="00085342" w:rsidRDefault="00085342" w:rsidP="00085342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085342">
        <w:rPr>
          <w:color w:val="000000"/>
          <w:sz w:val="28"/>
          <w:szCs w:val="28"/>
        </w:rPr>
        <w:t xml:space="preserve">Таблица 2, демонстрирует основные показатели сельского хозяйства, их состояние на определенный период, а также их абсолютное отклонение и темпы роста в %. Так объем продукции сельского хозяйства(всего) вырос на 13 млрд. руб. или на 29,3 %. Зерна стало больше на 25,3 тыс. тонн или на 2,8%. Картофеля стало больше на 53,1 тыс. тонн или на 8,1%. Овощей стало больше на 17,5 тыс. тонн или на 7,8%. Крупного рогатого скота стало больше на 6,6 тыс. голов или на 3,5%. Количество свиней упало на 21,7 тыс. голов или на 5,1%. Овец и коз стало больше на 18,3 тыс. голов или на 23%. Скота и птицы на убой в живом весе стало больше на 9,1 тыс. голов или на 7,2%. Молока стало больше на 13,4 тыс. тонн или на 3,6%. Яиц стало больше на 204,5 млн. штук или на 21,5%. Среднегодовая численность занятых в сельском, лесном и охотничьем хозяйств снизилась на 1,6 тыс. человек или на 3,5%. Несмотря на то, что большинство показателей растут, существует пара, которая имеет тенденцию к сокращению, </w:t>
      </w:r>
      <w:r w:rsidRPr="00085342">
        <w:rPr>
          <w:color w:val="000000"/>
          <w:sz w:val="28"/>
          <w:szCs w:val="28"/>
        </w:rPr>
        <w:lastRenderedPageBreak/>
        <w:t xml:space="preserve">что расходится с целями и задачами, указанными в Доктрине продовольственной </w:t>
      </w:r>
      <w:r w:rsidR="007E3675">
        <w:rPr>
          <w:noProof/>
        </w:rPr>
        <w:drawing>
          <wp:anchor distT="0" distB="0" distL="114300" distR="114300" simplePos="0" relativeHeight="251661312" behindDoc="0" locked="0" layoutInCell="1" allowOverlap="1" wp14:anchorId="2FE4D9D3" wp14:editId="7985435F">
            <wp:simplePos x="0" y="0"/>
            <wp:positionH relativeFrom="margin">
              <wp:posOffset>-635</wp:posOffset>
            </wp:positionH>
            <wp:positionV relativeFrom="paragraph">
              <wp:posOffset>601331</wp:posOffset>
            </wp:positionV>
            <wp:extent cx="5923280" cy="2178685"/>
            <wp:effectExtent l="0" t="0" r="1270" b="12065"/>
            <wp:wrapTopAndBottom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1B29A22B-8666-6D4A-A9FA-FEFDA04796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342">
        <w:rPr>
          <w:color w:val="000000"/>
          <w:sz w:val="28"/>
          <w:szCs w:val="28"/>
        </w:rPr>
        <w:t>безопасности.</w:t>
      </w:r>
    </w:p>
    <w:p w:rsidR="00085342" w:rsidRPr="00085342" w:rsidRDefault="007E3675" w:rsidP="00476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Рис.1 </w:t>
      </w:r>
      <w:r w:rsidR="00085342" w:rsidRPr="00085342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Состав продукции сельского хозяйства в хозяйствах всех категорий, млрд. руб.</w:t>
      </w:r>
    </w:p>
    <w:p w:rsidR="00085342" w:rsidRDefault="00085342" w:rsidP="00B641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В структуре сельского хозяйства преобладает животноводство (Рис. 1), несмотря на большую зависимость данной отрасли от природно-климатических условий. Представленный рисунок демонстрирует рост животноводства и растеневодством, а также преобладание одного над другим. Кроме того, Р</w:t>
      </w:r>
      <w:r w:rsidR="004D7A19">
        <w:rPr>
          <w:color w:val="000000"/>
          <w:sz w:val="28"/>
          <w:szCs w:val="28"/>
        </w:rPr>
        <w:t>ис. 1 показывает нам, что с 2015 по 2018</w:t>
      </w:r>
      <w:r w:rsidRPr="00085342">
        <w:rPr>
          <w:color w:val="000000"/>
          <w:sz w:val="28"/>
          <w:szCs w:val="28"/>
        </w:rPr>
        <w:t xml:space="preserve"> растеневодство выросло с 22% до 27%, а животноводство с 23% до 29%.</w:t>
      </w:r>
    </w:p>
    <w:p w:rsidR="00726885" w:rsidRDefault="00E669F8" w:rsidP="007268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223.5pt">
            <v:imagedata r:id="rId10" o:title="пглп" cropbottom="-443f" cropright="7769f"/>
          </v:shape>
        </w:pict>
      </w:r>
    </w:p>
    <w:p w:rsidR="00085342" w:rsidRPr="00085342" w:rsidRDefault="00F954ED" w:rsidP="007268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</w:t>
      </w:r>
      <w:r w:rsidR="00085342" w:rsidRPr="00085342">
        <w:rPr>
          <w:color w:val="000000"/>
          <w:sz w:val="28"/>
          <w:szCs w:val="28"/>
        </w:rPr>
        <w:t xml:space="preserve"> – Производство основных видов сельскохозяйственной продукции на душу населения, кг в год</w:t>
      </w:r>
    </w:p>
    <w:p w:rsidR="00085342" w:rsidRDefault="00085342" w:rsidP="004766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lastRenderedPageBreak/>
        <w:t>Представленная диаграмма содержит показатели развития основных видов сельскохозяйственной продукции на душу населения в</w:t>
      </w:r>
      <w:r w:rsidR="00DE6074">
        <w:rPr>
          <w:color w:val="000000"/>
          <w:sz w:val="28"/>
          <w:szCs w:val="28"/>
        </w:rPr>
        <w:t xml:space="preserve"> Кемеровской области и РФ в 2016-2017</w:t>
      </w:r>
      <w:r w:rsidRPr="00085342">
        <w:rPr>
          <w:color w:val="000000"/>
          <w:sz w:val="28"/>
          <w:szCs w:val="28"/>
        </w:rPr>
        <w:t xml:space="preserve"> годах. По всем показателям наблюдается положительный рост. Яиц стало больше в РФ на 2.3 шт. или на 1.1%, в Кемеровской области на 3 шт. или на 1.4%. Молока стало больше в РФ на 3.2 л. или на 2.3%, в Кемеровской области на 1 л. или на 0.7%. Скота и птиц на убой стало меньше в РФ на 4.2 головы или на 5%, в Кемеровской области стало больше на 0.9 или на 2.6%. Овощей стало больше в РФ на 1.9 кг или на 4.3%, в Кемеровской области на 3.3 кг или на 3.9%. Картофеля стало меньше в РФ на 0.7 или на 1,2%, в Кемеровской области стало больше на 0.9 или на 0.3%. Зерна стало больше в РФ на 55.7 кг или на 10.9%, в Кемеровской области стало меньше на 34.4 кг или на 9.1% Данные показатели указывают на то, что стоит обратить внимание на объемы скота, птиц, молока и картофеля, так как падение их % на душу на селения по РФ значительно нарушает состояния продовольственной безопасности. Кемеровской области следует же обратить внимание на объёмы зерна, которые зн</w:t>
      </w:r>
      <w:r w:rsidR="004102B3">
        <w:rPr>
          <w:color w:val="000000"/>
          <w:sz w:val="28"/>
          <w:szCs w:val="28"/>
        </w:rPr>
        <w:t>ачительно упали за период с 2016 по 2017</w:t>
      </w:r>
      <w:r w:rsidR="002C2BAE">
        <w:rPr>
          <w:color w:val="000000"/>
          <w:sz w:val="28"/>
          <w:szCs w:val="28"/>
        </w:rPr>
        <w:t>г</w:t>
      </w:r>
      <w:bookmarkStart w:id="0" w:name="_GoBack"/>
      <w:bookmarkEnd w:id="0"/>
      <w:r w:rsidRPr="00085342">
        <w:rPr>
          <w:color w:val="000000"/>
          <w:sz w:val="28"/>
          <w:szCs w:val="28"/>
        </w:rPr>
        <w:t>.</w:t>
      </w:r>
    </w:p>
    <w:p w:rsidR="002C34C4" w:rsidRPr="00A70FB6" w:rsidRDefault="002C34C4" w:rsidP="002C34C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Pr="00A7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сравнивать все эти показатели в период с 1950г., то можно увидеть насколько сельское хозяйство было развито тогда, и насколько его показатели упали сейчас, особенно это ярко выражено в объёме поголовья скота и птиц в хозяйствах всех категорий (рис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</w:t>
      </w:r>
      <w:r w:rsidRPr="00A7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C34C4" w:rsidRPr="00A70FB6" w:rsidRDefault="002C34C4" w:rsidP="002C34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70F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6260975" wp14:editId="7C457D4E">
            <wp:extent cx="6186792" cy="4153481"/>
            <wp:effectExtent l="0" t="0" r="0" b="0"/>
            <wp:docPr id="4" name="Рисунок 4" descr="MfjfFHQBl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jfFHQBlR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601" r="-1146"/>
                    <a:stretch/>
                  </pic:blipFill>
                  <pic:spPr bwMode="auto">
                    <a:xfrm>
                      <a:off x="0" y="0"/>
                      <a:ext cx="6218883" cy="41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4C4" w:rsidRPr="002C34C4" w:rsidRDefault="002C34C4" w:rsidP="002C34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 w:rsidRPr="00A7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– Показатели сельскохозяйственной продукции с 1950-2016 года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Обобщая вышеизложенную информацию, можно сделать вывод, что даже не смотря на значительный прирост в показателях с 2012 по 2016 год, проблема продовольственной безопасности в Кемеровской области остаётся актуальной и на сегодняшний день, и требует значительных мер по урегулированию данного вопроса.</w:t>
      </w:r>
    </w:p>
    <w:p w:rsidR="00085342" w:rsidRPr="00085342" w:rsidRDefault="00085342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Примерный перечень мероприятий, для стимулирования роста показателей продовольственной безопасности Кемеровской области:</w:t>
      </w:r>
    </w:p>
    <w:p w:rsidR="00085342" w:rsidRPr="00085342" w:rsidRDefault="00085342" w:rsidP="0008534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Наращивание и технологическая модернизация производства;</w:t>
      </w:r>
    </w:p>
    <w:p w:rsidR="00085342" w:rsidRPr="00085342" w:rsidRDefault="00085342" w:rsidP="0008534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Развитие и инновации отраслей сельского хозяйства;</w:t>
      </w:r>
    </w:p>
    <w:p w:rsidR="00085342" w:rsidRPr="00085342" w:rsidRDefault="00085342" w:rsidP="0008534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Увеличение количества торговых путей;</w:t>
      </w:r>
    </w:p>
    <w:p w:rsidR="00085342" w:rsidRPr="00085342" w:rsidRDefault="00085342" w:rsidP="0008534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>Обеспечение и организация научных разработок аграрного рынка;</w:t>
      </w:r>
    </w:p>
    <w:p w:rsidR="00085342" w:rsidRPr="00085342" w:rsidRDefault="00085342" w:rsidP="0008534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Оказание помощи в продовольствии нуждающимся. </w:t>
      </w:r>
    </w:p>
    <w:p w:rsidR="00085342" w:rsidRPr="00085342" w:rsidRDefault="00085A64" w:rsidP="0008534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(Продолжение см. в приложении)</w:t>
      </w:r>
    </w:p>
    <w:p w:rsidR="002C34C4" w:rsidRDefault="002C34C4">
      <w:pPr>
        <w:rPr>
          <w:rFonts w:ascii="Times New Roman" w:hAnsi="Times New Roman" w:cs="Times New Roman"/>
          <w:sz w:val="28"/>
          <w:szCs w:val="28"/>
        </w:rPr>
      </w:pPr>
    </w:p>
    <w:p w:rsidR="009057BD" w:rsidRPr="00A70FB6" w:rsidRDefault="009057BD">
      <w:pPr>
        <w:rPr>
          <w:rFonts w:ascii="Times New Roman" w:hAnsi="Times New Roman" w:cs="Times New Roman"/>
          <w:sz w:val="28"/>
          <w:szCs w:val="28"/>
        </w:rPr>
      </w:pPr>
    </w:p>
    <w:p w:rsidR="00D544D3" w:rsidRDefault="00D544D3" w:rsidP="0072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ЦЕНТР ПРОДОВОЛЬСТВЕННОЙ БЕЗОПАСНОСТИ </w:t>
      </w:r>
    </w:p>
    <w:p w:rsidR="00D544D3" w:rsidRDefault="00D544D3" w:rsidP="0072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</w:p>
    <w:p w:rsidR="00755EBA" w:rsidRPr="00755EBA" w:rsidRDefault="00755EBA" w:rsidP="00755EBA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55EBA">
        <w:rPr>
          <w:rFonts w:eastAsiaTheme="minorEastAsia"/>
          <w:color w:val="000000" w:themeColor="text1"/>
          <w:kern w:val="24"/>
          <w:sz w:val="28"/>
          <w:szCs w:val="28"/>
        </w:rPr>
        <w:t>Основная цель – проведение научных исследований агропродовольственной сферы, взаимодействие субъектов и объектов продовольственного рынка, а также эффективное поддержание продовольственной безопасно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сти региона.</w:t>
      </w:r>
    </w:p>
    <w:p w:rsidR="00755EBA" w:rsidRPr="00755EBA" w:rsidRDefault="00755EBA" w:rsidP="00755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Направления работы центра:</w:t>
      </w:r>
    </w:p>
    <w:p w:rsidR="00755EBA" w:rsidRPr="00755EBA" w:rsidRDefault="00755EBA" w:rsidP="00755EB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Разработка методологии исследования развития агропродовольственной сферы </w:t>
      </w:r>
    </w:p>
    <w:p w:rsidR="00755EBA" w:rsidRPr="00755EBA" w:rsidRDefault="00755EBA" w:rsidP="00755EB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Прогнозно-аналитические исследования процессов развития АПС </w:t>
      </w:r>
    </w:p>
    <w:p w:rsidR="00755EBA" w:rsidRPr="00755EBA" w:rsidRDefault="00755EBA" w:rsidP="00755EB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E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Формирование нормативного, правового и информационного обеспечения продовольственного рынка</w:t>
      </w:r>
    </w:p>
    <w:p w:rsidR="00755EBA" w:rsidRPr="00755EBA" w:rsidRDefault="00755EBA" w:rsidP="00755EB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Мониторинг ввоза и вывоза продуктов питания </w:t>
      </w:r>
    </w:p>
    <w:p w:rsidR="00755EBA" w:rsidRPr="00755EBA" w:rsidRDefault="00755EBA" w:rsidP="00755EB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Развитие инфраструктуры продовольственного рынка и прогнозирование развития его сегментов </w:t>
      </w:r>
    </w:p>
    <w:p w:rsidR="00755EBA" w:rsidRPr="00755EBA" w:rsidRDefault="00755EBA" w:rsidP="00755EB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Контроль за обеспечением населения области качественными продуктами питания</w:t>
      </w:r>
    </w:p>
    <w:p w:rsidR="00755EBA" w:rsidRPr="00755EBA" w:rsidRDefault="00755EBA" w:rsidP="00755EB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Создание благоприятных условий и практическое содействие развитию предпринимательства субъектов рынка</w:t>
      </w:r>
    </w:p>
    <w:p w:rsidR="00755EBA" w:rsidRPr="00755EBA" w:rsidRDefault="00755EBA" w:rsidP="00755EB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Защита внутреннего производителя на основе поддержки местных производителей </w:t>
      </w:r>
    </w:p>
    <w:p w:rsidR="00755EBA" w:rsidRPr="00755EBA" w:rsidRDefault="00755EBA" w:rsidP="00755EBA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B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Международное сотрудничество в агросфере и многое др.</w:t>
      </w:r>
    </w:p>
    <w:p w:rsidR="00ED438A" w:rsidRPr="00BA485B" w:rsidRDefault="00BA485B" w:rsidP="0075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5B">
        <w:rPr>
          <w:rFonts w:ascii="Times New Roman" w:hAnsi="Times New Roman" w:cs="Times New Roman"/>
          <w:sz w:val="28"/>
          <w:szCs w:val="28"/>
        </w:rPr>
        <w:t>Участники центра:</w:t>
      </w:r>
    </w:p>
    <w:p w:rsidR="00BA485B" w:rsidRDefault="00BA485B" w:rsidP="0075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5B">
        <w:rPr>
          <w:rFonts w:ascii="Times New Roman" w:hAnsi="Times New Roman" w:cs="Times New Roman"/>
          <w:sz w:val="28"/>
          <w:szCs w:val="28"/>
        </w:rPr>
        <w:t>1. Министерство сельского хозяйства РФ и другие федеральные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 ведомства </w:t>
      </w:r>
      <w:r w:rsidR="008134EF" w:rsidRPr="008134EF">
        <w:rPr>
          <w:rFonts w:ascii="Times New Roman" w:hAnsi="Times New Roman" w:cs="Times New Roman"/>
          <w:sz w:val="28"/>
          <w:szCs w:val="28"/>
        </w:rPr>
        <w:t>(Департамент сельского хозяйства и перерабатывающей промышленности; Департамент промышленности, торговли и предпринимательства; Управление потребительского рынка и развития предпринимательства; Управление экономического развития);</w:t>
      </w:r>
    </w:p>
    <w:p w:rsidR="00BA485B" w:rsidRDefault="003137AE" w:rsidP="0075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Общественно-политические организации (партии: Единая Россия, ЛДПР, Яблоко, КПРФ, и многие другие)</w:t>
      </w:r>
      <w:r w:rsidR="00BA485B">
        <w:rPr>
          <w:rFonts w:ascii="Times New Roman" w:hAnsi="Times New Roman" w:cs="Times New Roman"/>
          <w:sz w:val="28"/>
          <w:szCs w:val="28"/>
        </w:rPr>
        <w:t>;</w:t>
      </w:r>
    </w:p>
    <w:p w:rsidR="00BA485B" w:rsidRDefault="00BA485B" w:rsidP="0075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Научные общества</w:t>
      </w:r>
      <w:r w:rsidR="00326E63">
        <w:rPr>
          <w:rFonts w:ascii="Times New Roman" w:hAnsi="Times New Roman" w:cs="Times New Roman"/>
          <w:sz w:val="28"/>
          <w:szCs w:val="28"/>
        </w:rPr>
        <w:t xml:space="preserve"> </w:t>
      </w:r>
      <w:r w:rsidR="00326E63" w:rsidRPr="00326E63">
        <w:rPr>
          <w:rFonts w:ascii="Times New Roman" w:hAnsi="Times New Roman" w:cs="Times New Roman"/>
          <w:sz w:val="28"/>
          <w:szCs w:val="28"/>
        </w:rPr>
        <w:t>(ФГБОУВПО «Кемеровский ГСХИ», ФГБОУВПО «КемТИПП», НИИ сельского хозяйства Кемеровской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85B" w:rsidRDefault="00BA485B" w:rsidP="0075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Организации предпринимателей </w:t>
      </w:r>
      <w:r w:rsidR="00326E63">
        <w:rPr>
          <w:rFonts w:ascii="Times New Roman" w:hAnsi="Times New Roman" w:cs="Times New Roman"/>
          <w:sz w:val="28"/>
          <w:szCs w:val="28"/>
        </w:rPr>
        <w:t>(самые крупные предприятия: ООО «Вагоново», Чебулинское ООО, Заречье СХО, Славино ООО, Темп ОАО, Ленинск-Кузнецкий ПЗ)</w:t>
      </w:r>
      <w:r w:rsidR="006E69C6">
        <w:rPr>
          <w:rFonts w:ascii="Times New Roman" w:hAnsi="Times New Roman" w:cs="Times New Roman"/>
          <w:sz w:val="28"/>
          <w:szCs w:val="28"/>
        </w:rPr>
        <w:t>.</w:t>
      </w:r>
    </w:p>
    <w:p w:rsidR="00D765B2" w:rsidRPr="00BA485B" w:rsidRDefault="00D765B2" w:rsidP="0075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765B2" w:rsidRPr="00D765B2" w:rsidRDefault="00D765B2" w:rsidP="00D7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B2">
        <w:rPr>
          <w:rFonts w:ascii="Times New Roman" w:hAnsi="Times New Roman" w:cs="Times New Roman"/>
          <w:sz w:val="28"/>
          <w:szCs w:val="28"/>
        </w:rPr>
        <w:t xml:space="preserve">1) </w:t>
      </w:r>
      <w:r w:rsidRPr="00D765B2">
        <w:rPr>
          <w:rFonts w:ascii="Times New Roman" w:hAnsi="Times New Roman" w:cs="Times New Roman"/>
          <w:bCs/>
          <w:sz w:val="28"/>
          <w:szCs w:val="28"/>
        </w:rPr>
        <w:t>Международные агропромышленные ярмарки и выставки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выступя</w:t>
      </w:r>
      <w:r w:rsidRPr="00D765B2">
        <w:rPr>
          <w:rFonts w:ascii="Times New Roman" w:hAnsi="Times New Roman" w:cs="Times New Roman"/>
          <w:bCs/>
          <w:sz w:val="28"/>
          <w:szCs w:val="28"/>
        </w:rPr>
        <w:t>т платформой для развития малых и средних форм СХ, поможет в реализации государственных инициатив.</w:t>
      </w:r>
      <w:r w:rsidRPr="00D765B2">
        <w:rPr>
          <w:rFonts w:ascii="Times New Roman" w:hAnsi="Times New Roman" w:cs="Times New Roman"/>
          <w:sz w:val="28"/>
          <w:szCs w:val="28"/>
        </w:rPr>
        <w:t xml:space="preserve"> </w:t>
      </w:r>
      <w:r w:rsidRPr="00D765B2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D765B2">
        <w:rPr>
          <w:rFonts w:ascii="Times New Roman" w:hAnsi="Times New Roman" w:cs="Times New Roman"/>
          <w:sz w:val="28"/>
          <w:szCs w:val="28"/>
        </w:rPr>
        <w:t xml:space="preserve"> производители СХ продукции, представители власти и специалисты</w:t>
      </w:r>
      <w:r w:rsidR="00174863">
        <w:rPr>
          <w:rFonts w:ascii="Times New Roman" w:hAnsi="Times New Roman" w:cs="Times New Roman"/>
          <w:sz w:val="28"/>
          <w:szCs w:val="28"/>
        </w:rPr>
        <w:t>;</w:t>
      </w:r>
    </w:p>
    <w:p w:rsidR="00D765B2" w:rsidRPr="00D765B2" w:rsidRDefault="00D765B2" w:rsidP="00D765B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5B2">
        <w:rPr>
          <w:rFonts w:ascii="Times New Roman" w:hAnsi="Times New Roman" w:cs="Times New Roman"/>
          <w:bCs/>
          <w:sz w:val="28"/>
          <w:szCs w:val="28"/>
        </w:rPr>
        <w:t xml:space="preserve">2) Всероссийский форум продовольственной безопасности – экспертная площадка для обсуждения актуальных вопросов обеспечения ПБ РФ, проблематики отечественной продовольственной индустрии.  </w:t>
      </w:r>
    </w:p>
    <w:p w:rsidR="00D765B2" w:rsidRPr="00D765B2" w:rsidRDefault="00D765B2" w:rsidP="00D7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B2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D765B2">
        <w:rPr>
          <w:rFonts w:ascii="Times New Roman" w:hAnsi="Times New Roman" w:cs="Times New Roman"/>
          <w:sz w:val="28"/>
          <w:szCs w:val="28"/>
        </w:rPr>
        <w:t xml:space="preserve"> руководители крупнейших российских компаний продовольственной индустрии, отечественные производители СХ техники и удобрений, представители профессиональной науки и агропромышленных вузов, отраслевые профсоюзы</w:t>
      </w:r>
      <w:r w:rsidR="00174863">
        <w:rPr>
          <w:rFonts w:ascii="Times New Roman" w:hAnsi="Times New Roman" w:cs="Times New Roman"/>
          <w:sz w:val="28"/>
          <w:szCs w:val="28"/>
        </w:rPr>
        <w:t>;</w:t>
      </w:r>
    </w:p>
    <w:p w:rsidR="00D765B2" w:rsidRPr="00D765B2" w:rsidRDefault="00D765B2" w:rsidP="00D7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B2">
        <w:rPr>
          <w:rFonts w:ascii="Times New Roman" w:hAnsi="Times New Roman" w:cs="Times New Roman"/>
          <w:bCs/>
          <w:sz w:val="28"/>
          <w:szCs w:val="28"/>
        </w:rPr>
        <w:t xml:space="preserve">3) Международные конференции по продовольственной безопасности – обсуждение вопросов СХ и продовольственной ситуации для укрепления ПБ региона, а также возможные пути решения возникающих проблем. </w:t>
      </w:r>
    </w:p>
    <w:p w:rsidR="00D765B2" w:rsidRPr="00D765B2" w:rsidRDefault="00D765B2" w:rsidP="00D7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B2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D765B2">
        <w:rPr>
          <w:rFonts w:ascii="Times New Roman" w:hAnsi="Times New Roman" w:cs="Times New Roman"/>
          <w:sz w:val="28"/>
          <w:szCs w:val="28"/>
        </w:rPr>
        <w:t xml:space="preserve"> представители региональной международной организации, научно-образовательных учреждений, органов управления</w:t>
      </w:r>
      <w:r w:rsidR="00174863">
        <w:rPr>
          <w:rFonts w:ascii="Times New Roman" w:hAnsi="Times New Roman" w:cs="Times New Roman"/>
          <w:sz w:val="28"/>
          <w:szCs w:val="28"/>
        </w:rPr>
        <w:t>.</w:t>
      </w:r>
    </w:p>
    <w:p w:rsidR="00D765B2" w:rsidRPr="00D765B2" w:rsidRDefault="00D765B2" w:rsidP="00D76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85B" w:rsidRPr="00755EBA" w:rsidRDefault="00BA485B" w:rsidP="00755E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D3" w:rsidRPr="00755EBA" w:rsidRDefault="00D544D3" w:rsidP="00ED43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D3" w:rsidRDefault="00D544D3" w:rsidP="00ED43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D3" w:rsidRDefault="00D544D3" w:rsidP="0072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D3" w:rsidRDefault="00D544D3" w:rsidP="0072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D3" w:rsidRDefault="00D544D3" w:rsidP="0072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D3" w:rsidRDefault="00D544D3" w:rsidP="00DF7D6D">
      <w:pPr>
        <w:rPr>
          <w:rFonts w:ascii="Times New Roman" w:hAnsi="Times New Roman" w:cs="Times New Roman"/>
          <w:b/>
          <w:sz w:val="28"/>
          <w:szCs w:val="28"/>
        </w:rPr>
      </w:pPr>
    </w:p>
    <w:p w:rsidR="00794597" w:rsidRPr="002C34C4" w:rsidRDefault="002C34C4" w:rsidP="0072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C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94597" w:rsidRPr="009057BD" w:rsidRDefault="00794597" w:rsidP="009057B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5342">
        <w:rPr>
          <w:color w:val="000000"/>
          <w:sz w:val="28"/>
          <w:szCs w:val="28"/>
        </w:rPr>
        <w:t xml:space="preserve">Продовольственная безопасность является одной из главных целей регионов и государства в целом. Как и любое звено, она формирует направление национальной продовольственной безопасности к идеальному образу. Но при этом для её достижения требуется предугадывать частую смену приоритетов общества по данному вопросу. Увеличение количества производимой продукции происходит каждый день, но вместе с ним происходит и прирост населения, что осложняет ситуации во всех уголках мира. Одними из таких мероприятий, по стимулированию роста продовольственной безопасности, предложены выше, их можно применять как в рамках региона, так и в стране в целом. </w:t>
      </w:r>
    </w:p>
    <w:p w:rsidR="00720A19" w:rsidRDefault="004E4810" w:rsidP="00856D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анализа</w:t>
      </w:r>
      <w:r w:rsidRPr="00A7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сделать вывод, что хоть и в Кемеровской области наблюдается улучшение аграрно-промышленной сферы производства, но всё же требуется разрабатывать новые направления и методы усовершенствования СХ, поддерживать качество продукции на должном уровне, так как д</w:t>
      </w:r>
      <w:r w:rsidR="0085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есятки лет назад статистика СХ по</w:t>
      </w:r>
      <w:r w:rsidRPr="00A7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казывает, что многие показатели были выше. Одним из таких мероприятий, по стимулированию роста продовольственной безопасности, можно назвать созд</w:t>
      </w:r>
      <w:r w:rsidR="009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центра продовольственной безопасности</w:t>
      </w:r>
      <w:r w:rsidRPr="00A7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 свою очередь будет являться посредником между государством и частным предпринимательством. Это будет способствовать дальнейшему развитию, увеличению показателей, а также быстрому доведению продукции до потребителей.</w:t>
      </w:r>
    </w:p>
    <w:p w:rsidR="00EF74B8" w:rsidRDefault="00EF74B8" w:rsidP="00C364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4B8" w:rsidRDefault="00EF74B8" w:rsidP="009057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995" w:rsidRDefault="00ED4995" w:rsidP="009057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995" w:rsidRDefault="00ED4995" w:rsidP="009057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995" w:rsidRDefault="00ED4995" w:rsidP="009057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995" w:rsidRDefault="00ED4995" w:rsidP="009057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995" w:rsidRDefault="00ED4995" w:rsidP="009057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995" w:rsidRDefault="00ED4995" w:rsidP="009057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995" w:rsidRPr="009057BD" w:rsidRDefault="00ED4995" w:rsidP="008306A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F9E" w:rsidRPr="00837569" w:rsidRDefault="00837569" w:rsidP="00720A1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6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95F9E" w:rsidRPr="00D95F9E" w:rsidRDefault="00D95F9E" w:rsidP="005861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9E">
        <w:rPr>
          <w:rFonts w:ascii="Times New Roman" w:hAnsi="Times New Roman" w:cs="Times New Roman"/>
          <w:sz w:val="28"/>
          <w:szCs w:val="28"/>
        </w:rPr>
        <w:t>1. Березнев, С.В. Особенности функционирования продовольственного рынка индустриальных регионов / С.В. Березнев, Н.В. Кудреватых // Вестник Алтайского Государственного Аграрного Университета. – 2012. - №.3. - с. 124-135 (дата обращения: 10.11.2018).</w:t>
      </w:r>
    </w:p>
    <w:p w:rsidR="00D95F9E" w:rsidRPr="00D95F9E" w:rsidRDefault="00D95F9E" w:rsidP="005861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9E">
        <w:rPr>
          <w:rFonts w:ascii="Times New Roman" w:hAnsi="Times New Roman" w:cs="Times New Roman"/>
          <w:sz w:val="28"/>
          <w:szCs w:val="28"/>
        </w:rPr>
        <w:t>2. Доктрина продовольственной безопасности Российской Федерации [Электронный ресурс]. – Режим доступа: http://base.garant.ru/12172719/ (дата обращения: 17.11.2018).</w:t>
      </w:r>
    </w:p>
    <w:p w:rsidR="00D95F9E" w:rsidRPr="00D95F9E" w:rsidRDefault="00D95F9E" w:rsidP="005861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9E">
        <w:rPr>
          <w:rFonts w:ascii="Times New Roman" w:hAnsi="Times New Roman" w:cs="Times New Roman"/>
          <w:sz w:val="28"/>
          <w:szCs w:val="28"/>
        </w:rPr>
        <w:t>3. Продовольственная безопасность: понятие, требования, внутренние и внешние угрозы [Электронный ресурс]. – Режим доступа: http://fb.ru/article/61153/prodovolstvennaya-bezopasnost-put-k-schastlivomu-buduschemu (дата обращения: 23.11.2018).</w:t>
      </w:r>
    </w:p>
    <w:p w:rsidR="00D95F9E" w:rsidRPr="00D95F9E" w:rsidRDefault="00D95F9E" w:rsidP="005861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9E">
        <w:rPr>
          <w:rFonts w:ascii="Times New Roman" w:hAnsi="Times New Roman" w:cs="Times New Roman"/>
          <w:sz w:val="28"/>
          <w:szCs w:val="28"/>
        </w:rPr>
        <w:t xml:space="preserve">4. Продовольственная безопасность страны и пути выхода из мирового продовольственного кризиса [Электронный ресурс]. – Режим доступа: </w:t>
      </w:r>
      <w:hyperlink r:id="rId12" w:history="1">
        <w:r w:rsidR="009064EC" w:rsidRPr="00B372AF">
          <w:rPr>
            <w:rStyle w:val="a4"/>
            <w:rFonts w:ascii="Times New Roman" w:hAnsi="Times New Roman" w:cs="Times New Roman"/>
            <w:sz w:val="28"/>
            <w:szCs w:val="28"/>
          </w:rPr>
          <w:t>https://creativeconomy.ru/lib/36862</w:t>
        </w:r>
      </w:hyperlink>
      <w:r w:rsidR="009064EC">
        <w:rPr>
          <w:rFonts w:ascii="Times New Roman" w:hAnsi="Times New Roman" w:cs="Times New Roman"/>
          <w:sz w:val="28"/>
          <w:szCs w:val="28"/>
        </w:rPr>
        <w:t xml:space="preserve"> </w:t>
      </w:r>
      <w:r w:rsidRPr="00D95F9E">
        <w:rPr>
          <w:rFonts w:ascii="Times New Roman" w:hAnsi="Times New Roman" w:cs="Times New Roman"/>
          <w:sz w:val="28"/>
          <w:szCs w:val="28"/>
        </w:rPr>
        <w:t>(дата обращения: 19.11.2018).</w:t>
      </w:r>
    </w:p>
    <w:p w:rsidR="00D95F9E" w:rsidRPr="00D95F9E" w:rsidRDefault="00D95F9E" w:rsidP="005861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9E">
        <w:rPr>
          <w:rFonts w:ascii="Times New Roman" w:hAnsi="Times New Roman" w:cs="Times New Roman"/>
          <w:sz w:val="28"/>
          <w:szCs w:val="28"/>
        </w:rPr>
        <w:t xml:space="preserve">5. Состояние и угрозы продовольственной безопасности Кемеровской области [Электронный ресурс]. – Режим доступа: </w:t>
      </w:r>
      <w:hyperlink r:id="rId13" w:history="1">
        <w:r w:rsidR="009064EC" w:rsidRPr="00B372AF">
          <w:rPr>
            <w:rStyle w:val="a4"/>
            <w:rFonts w:ascii="Times New Roman" w:hAnsi="Times New Roman" w:cs="Times New Roman"/>
            <w:sz w:val="28"/>
            <w:szCs w:val="28"/>
          </w:rPr>
          <w:t>http://www.itkor.ru/mag/monposob/source/monogr_bereznev.pdf</w:t>
        </w:r>
      </w:hyperlink>
      <w:r w:rsidR="009064EC">
        <w:rPr>
          <w:rFonts w:ascii="Times New Roman" w:hAnsi="Times New Roman" w:cs="Times New Roman"/>
          <w:sz w:val="28"/>
          <w:szCs w:val="28"/>
        </w:rPr>
        <w:t xml:space="preserve"> </w:t>
      </w:r>
      <w:r w:rsidRPr="00D95F9E">
        <w:rPr>
          <w:rFonts w:ascii="Times New Roman" w:hAnsi="Times New Roman" w:cs="Times New Roman"/>
          <w:sz w:val="28"/>
          <w:szCs w:val="28"/>
        </w:rPr>
        <w:t>(дата обращения: 29.11.2018).</w:t>
      </w:r>
    </w:p>
    <w:p w:rsidR="00D95F9E" w:rsidRPr="00D95F9E" w:rsidRDefault="00D95F9E" w:rsidP="009057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9E">
        <w:rPr>
          <w:rFonts w:ascii="Times New Roman" w:hAnsi="Times New Roman" w:cs="Times New Roman"/>
          <w:sz w:val="28"/>
          <w:szCs w:val="28"/>
        </w:rPr>
        <w:t xml:space="preserve">6. Федеральная служба государственной статистики [Электронный ресурс]. – Режим доступа: </w:t>
      </w:r>
      <w:hyperlink r:id="rId14" w:history="1">
        <w:r w:rsidR="009064EC" w:rsidRPr="00B372AF">
          <w:rPr>
            <w:rStyle w:val="a4"/>
            <w:rFonts w:ascii="Times New Roman" w:hAnsi="Times New Roman" w:cs="Times New Roman"/>
            <w:sz w:val="28"/>
            <w:szCs w:val="28"/>
          </w:rPr>
          <w:t>http://www.gks.ru/</w:t>
        </w:r>
      </w:hyperlink>
      <w:r w:rsidR="009064EC">
        <w:rPr>
          <w:rFonts w:ascii="Times New Roman" w:hAnsi="Times New Roman" w:cs="Times New Roman"/>
          <w:sz w:val="28"/>
          <w:szCs w:val="28"/>
        </w:rPr>
        <w:t xml:space="preserve"> </w:t>
      </w:r>
      <w:r w:rsidRPr="00D95F9E">
        <w:rPr>
          <w:rFonts w:ascii="Times New Roman" w:hAnsi="Times New Roman" w:cs="Times New Roman"/>
          <w:sz w:val="28"/>
          <w:szCs w:val="28"/>
        </w:rPr>
        <w:t>(дата обращения: 25.11</w:t>
      </w:r>
      <w:r w:rsidR="009057BD">
        <w:rPr>
          <w:rFonts w:ascii="Times New Roman" w:hAnsi="Times New Roman" w:cs="Times New Roman"/>
          <w:sz w:val="28"/>
          <w:szCs w:val="28"/>
        </w:rPr>
        <w:t>.2018).</w:t>
      </w:r>
    </w:p>
    <w:p w:rsidR="00D95F9E" w:rsidRPr="00D95F9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D95F9E" w:rsidRDefault="00D95F9E">
      <w:pPr>
        <w:rPr>
          <w:rFonts w:ascii="Times New Roman" w:hAnsi="Times New Roman" w:cs="Times New Roman"/>
          <w:sz w:val="28"/>
          <w:szCs w:val="28"/>
        </w:rPr>
      </w:pPr>
    </w:p>
    <w:p w:rsidR="00C3644C" w:rsidRDefault="00C3644C">
      <w:pPr>
        <w:rPr>
          <w:rFonts w:ascii="Times New Roman" w:hAnsi="Times New Roman" w:cs="Times New Roman"/>
          <w:sz w:val="28"/>
          <w:szCs w:val="28"/>
        </w:rPr>
      </w:pPr>
    </w:p>
    <w:p w:rsidR="00C3644C" w:rsidRDefault="00C3644C">
      <w:pPr>
        <w:rPr>
          <w:rFonts w:ascii="Times New Roman" w:hAnsi="Times New Roman" w:cs="Times New Roman"/>
          <w:sz w:val="28"/>
          <w:szCs w:val="28"/>
        </w:rPr>
      </w:pPr>
    </w:p>
    <w:p w:rsidR="00C3644C" w:rsidRDefault="00C3644C">
      <w:pPr>
        <w:rPr>
          <w:rFonts w:ascii="Times New Roman" w:hAnsi="Times New Roman" w:cs="Times New Roman"/>
          <w:sz w:val="28"/>
          <w:szCs w:val="28"/>
        </w:rPr>
      </w:pPr>
    </w:p>
    <w:p w:rsidR="00C3644C" w:rsidRDefault="00C3644C">
      <w:pPr>
        <w:rPr>
          <w:rFonts w:ascii="Times New Roman" w:hAnsi="Times New Roman" w:cs="Times New Roman"/>
          <w:sz w:val="28"/>
          <w:szCs w:val="28"/>
        </w:rPr>
      </w:pPr>
    </w:p>
    <w:p w:rsidR="00C3644C" w:rsidRDefault="00C3644C">
      <w:pPr>
        <w:rPr>
          <w:rFonts w:ascii="Times New Roman" w:hAnsi="Times New Roman" w:cs="Times New Roman"/>
          <w:sz w:val="28"/>
          <w:szCs w:val="28"/>
        </w:rPr>
      </w:pPr>
    </w:p>
    <w:p w:rsidR="00C3644C" w:rsidRDefault="00C3644C">
      <w:pPr>
        <w:rPr>
          <w:rFonts w:ascii="Times New Roman" w:hAnsi="Times New Roman" w:cs="Times New Roman"/>
          <w:sz w:val="28"/>
          <w:szCs w:val="28"/>
        </w:rPr>
      </w:pPr>
    </w:p>
    <w:p w:rsidR="00085A64" w:rsidRPr="00085A64" w:rsidRDefault="00085A64" w:rsidP="00406BB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A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85A64" w:rsidRDefault="00085A64" w:rsidP="00085A6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1D9E">
        <w:rPr>
          <w:color w:val="000000"/>
          <w:sz w:val="28"/>
          <w:szCs w:val="28"/>
        </w:rPr>
        <w:t>Примерный перечень мероприятий, для стимулирования роста показателей продовольственной безопасности Кемеровской области указаны в таблице 3.</w:t>
      </w:r>
    </w:p>
    <w:p w:rsidR="00085A64" w:rsidRPr="007D1D9E" w:rsidRDefault="00085A64" w:rsidP="00085A6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 – Мероприятия по ст</w:t>
      </w:r>
      <w:r w:rsidR="00F81216">
        <w:rPr>
          <w:color w:val="000000"/>
          <w:sz w:val="28"/>
          <w:szCs w:val="28"/>
        </w:rPr>
        <w:t>имулированию роста показателей СХ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2432"/>
        <w:gridCol w:w="2433"/>
        <w:gridCol w:w="2433"/>
        <w:gridCol w:w="2433"/>
      </w:tblGrid>
      <w:tr w:rsidR="00085A64" w:rsidRPr="00FD4D14" w:rsidTr="003E490C">
        <w:trPr>
          <w:trHeight w:val="201"/>
        </w:trPr>
        <w:tc>
          <w:tcPr>
            <w:tcW w:w="2432" w:type="dxa"/>
            <w:vAlign w:val="center"/>
          </w:tcPr>
          <w:p w:rsidR="00085A64" w:rsidRPr="00FD4D14" w:rsidRDefault="00085A64" w:rsidP="003E49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Суть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085A64" w:rsidRPr="00FD4D14" w:rsidTr="003E490C">
        <w:trPr>
          <w:trHeight w:val="655"/>
        </w:trPr>
        <w:tc>
          <w:tcPr>
            <w:tcW w:w="2432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Оказание помощи в продовольствии нуждающимся людям.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Предоставление питания нуждающимся и неимущим людям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Государство, общественные организации, нуждающиеся люди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Гос. бюджет, пожертвования населения, благотворительные сборы и другое</w:t>
            </w:r>
          </w:p>
        </w:tc>
      </w:tr>
      <w:tr w:rsidR="00085A64" w:rsidRPr="00FD4D14" w:rsidTr="003E490C">
        <w:trPr>
          <w:trHeight w:val="545"/>
        </w:trPr>
        <w:tc>
          <w:tcPr>
            <w:tcW w:w="2432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Увеличение количества торговых путей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Расширение стран партнеров для импорта и экспорта товаров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Страны мира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Гос. бюджет, вложения частных компаний</w:t>
            </w:r>
          </w:p>
        </w:tc>
      </w:tr>
      <w:tr w:rsidR="00085A64" w:rsidRPr="00FD4D14" w:rsidTr="003E490C">
        <w:trPr>
          <w:trHeight w:val="1024"/>
        </w:trPr>
        <w:tc>
          <w:tcPr>
            <w:tcW w:w="2432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Наращивание и технологическая модернизация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Поиск импульса для развития, применения новых инноваций, устранение проблем в производстве, привлечение новых производителей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Государство, страны партнёры, частные компании и другие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Гос. бюджет, вложения предприятий...</w:t>
            </w:r>
          </w:p>
        </w:tc>
      </w:tr>
      <w:tr w:rsidR="00085A64" w:rsidRPr="00FD4D14" w:rsidTr="003E490C">
        <w:trPr>
          <w:trHeight w:val="824"/>
        </w:trPr>
        <w:tc>
          <w:tcPr>
            <w:tcW w:w="2432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Развитие и инновации отраслей сельского хозяйства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Разработка инноваций в производстве, применение нового оборудования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Государство, ученые, предприятия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Гос. бюджет, вложения предприятий, вклады ученых при разработке инноваций</w:t>
            </w:r>
          </w:p>
        </w:tc>
      </w:tr>
      <w:tr w:rsidR="00085A64" w:rsidRPr="00FD4D14" w:rsidTr="003E490C">
        <w:trPr>
          <w:trHeight w:val="965"/>
        </w:trPr>
        <w:tc>
          <w:tcPr>
            <w:tcW w:w="2432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Обеспечение и организация научных разработок аграрного рынка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Развитие знаний в аграрной сфере, привлечение новых умов идей, усиление инфраструктуры аграрных рынков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Государство, предприятия, научные организации</w:t>
            </w:r>
          </w:p>
        </w:tc>
        <w:tc>
          <w:tcPr>
            <w:tcW w:w="2433" w:type="dxa"/>
            <w:vAlign w:val="center"/>
          </w:tcPr>
          <w:p w:rsidR="00085A64" w:rsidRPr="00FD4D14" w:rsidRDefault="00085A64" w:rsidP="003E490C">
            <w:pPr>
              <w:jc w:val="center"/>
              <w:rPr>
                <w:rFonts w:ascii="Times New Roman" w:hAnsi="Times New Roman" w:cs="Times New Roman"/>
              </w:rPr>
            </w:pPr>
            <w:r w:rsidRPr="00FD4D14">
              <w:rPr>
                <w:rFonts w:ascii="Times New Roman" w:hAnsi="Times New Roman" w:cs="Times New Roman"/>
              </w:rPr>
              <w:t>Гос. бюджет, вложения предприятий, деньги организаций, пожертвования для науки</w:t>
            </w:r>
          </w:p>
        </w:tc>
      </w:tr>
    </w:tbl>
    <w:p w:rsidR="00085A64" w:rsidRPr="007D1D9E" w:rsidRDefault="00085A64" w:rsidP="00085A6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85A64" w:rsidRDefault="00085A64" w:rsidP="00085A64">
      <w:pPr>
        <w:rPr>
          <w:rFonts w:ascii="Times New Roman" w:hAnsi="Times New Roman" w:cs="Times New Roman"/>
          <w:sz w:val="28"/>
          <w:szCs w:val="28"/>
        </w:rPr>
      </w:pPr>
    </w:p>
    <w:p w:rsidR="00085A64" w:rsidRPr="00D95F9E" w:rsidRDefault="00085A64">
      <w:pPr>
        <w:rPr>
          <w:rFonts w:ascii="Times New Roman" w:hAnsi="Times New Roman" w:cs="Times New Roman"/>
          <w:sz w:val="28"/>
          <w:szCs w:val="28"/>
        </w:rPr>
      </w:pPr>
    </w:p>
    <w:sectPr w:rsidR="00085A64" w:rsidRPr="00D95F9E" w:rsidSect="00E30A6E">
      <w:foot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80" w:rsidRDefault="00C15380" w:rsidP="00E30A6E">
      <w:pPr>
        <w:spacing w:after="0" w:line="240" w:lineRule="auto"/>
      </w:pPr>
      <w:r>
        <w:separator/>
      </w:r>
    </w:p>
  </w:endnote>
  <w:endnote w:type="continuationSeparator" w:id="0">
    <w:p w:rsidR="00C15380" w:rsidRDefault="00C15380" w:rsidP="00E3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108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0A6E" w:rsidRPr="00E30A6E" w:rsidRDefault="00E30A6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0A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0A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0A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2BAE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E30A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0A6E" w:rsidRDefault="00E30A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80" w:rsidRDefault="00C15380" w:rsidP="00E30A6E">
      <w:pPr>
        <w:spacing w:after="0" w:line="240" w:lineRule="auto"/>
      </w:pPr>
      <w:r>
        <w:separator/>
      </w:r>
    </w:p>
  </w:footnote>
  <w:footnote w:type="continuationSeparator" w:id="0">
    <w:p w:rsidR="00C15380" w:rsidRDefault="00C15380" w:rsidP="00E3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025D"/>
    <w:multiLevelType w:val="hybridMultilevel"/>
    <w:tmpl w:val="8D3A7F5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FF5A8F"/>
    <w:multiLevelType w:val="hybridMultilevel"/>
    <w:tmpl w:val="DBB2D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6743DE"/>
    <w:multiLevelType w:val="hybridMultilevel"/>
    <w:tmpl w:val="32649692"/>
    <w:lvl w:ilvl="0" w:tplc="7D1C2E8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D2560D"/>
    <w:multiLevelType w:val="hybridMultilevel"/>
    <w:tmpl w:val="D0304E72"/>
    <w:lvl w:ilvl="0" w:tplc="D69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AE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62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C4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8F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E5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AC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6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BA3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F0"/>
    <w:rsid w:val="00002D76"/>
    <w:rsid w:val="00025621"/>
    <w:rsid w:val="000341E4"/>
    <w:rsid w:val="00085342"/>
    <w:rsid w:val="00085A64"/>
    <w:rsid w:val="00086CF0"/>
    <w:rsid w:val="000878DB"/>
    <w:rsid w:val="000C18AD"/>
    <w:rsid w:val="001331D8"/>
    <w:rsid w:val="00174863"/>
    <w:rsid w:val="00181F11"/>
    <w:rsid w:val="001853D6"/>
    <w:rsid w:val="001C6F00"/>
    <w:rsid w:val="00207F31"/>
    <w:rsid w:val="00226956"/>
    <w:rsid w:val="00231CD2"/>
    <w:rsid w:val="00234F5E"/>
    <w:rsid w:val="00252A30"/>
    <w:rsid w:val="00257ED5"/>
    <w:rsid w:val="002A48FA"/>
    <w:rsid w:val="002B2BF7"/>
    <w:rsid w:val="002C2BAE"/>
    <w:rsid w:val="002C34C4"/>
    <w:rsid w:val="003137AE"/>
    <w:rsid w:val="00316971"/>
    <w:rsid w:val="00326E63"/>
    <w:rsid w:val="00365FBE"/>
    <w:rsid w:val="00386EC2"/>
    <w:rsid w:val="003E490C"/>
    <w:rsid w:val="003F4448"/>
    <w:rsid w:val="00406BB7"/>
    <w:rsid w:val="004102B3"/>
    <w:rsid w:val="004269C1"/>
    <w:rsid w:val="00442F34"/>
    <w:rsid w:val="004766AC"/>
    <w:rsid w:val="004C0DD7"/>
    <w:rsid w:val="004C37AC"/>
    <w:rsid w:val="004C47C6"/>
    <w:rsid w:val="004D4D8C"/>
    <w:rsid w:val="004D7A19"/>
    <w:rsid w:val="004E4810"/>
    <w:rsid w:val="00500DAB"/>
    <w:rsid w:val="00504366"/>
    <w:rsid w:val="00534125"/>
    <w:rsid w:val="005366EC"/>
    <w:rsid w:val="005861C6"/>
    <w:rsid w:val="005C258C"/>
    <w:rsid w:val="00634236"/>
    <w:rsid w:val="00641216"/>
    <w:rsid w:val="0068295F"/>
    <w:rsid w:val="006E69C6"/>
    <w:rsid w:val="00720A19"/>
    <w:rsid w:val="00726885"/>
    <w:rsid w:val="00755EBA"/>
    <w:rsid w:val="00794597"/>
    <w:rsid w:val="007A32BC"/>
    <w:rsid w:val="007C567F"/>
    <w:rsid w:val="007D1D9E"/>
    <w:rsid w:val="007E3675"/>
    <w:rsid w:val="007F228A"/>
    <w:rsid w:val="008023E2"/>
    <w:rsid w:val="0081317B"/>
    <w:rsid w:val="008134EF"/>
    <w:rsid w:val="00814FA1"/>
    <w:rsid w:val="008306A2"/>
    <w:rsid w:val="00837569"/>
    <w:rsid w:val="00856DAC"/>
    <w:rsid w:val="008B3A65"/>
    <w:rsid w:val="008C0546"/>
    <w:rsid w:val="008C06F6"/>
    <w:rsid w:val="008D19E4"/>
    <w:rsid w:val="008E6AA4"/>
    <w:rsid w:val="009057BD"/>
    <w:rsid w:val="009064EC"/>
    <w:rsid w:val="009341CB"/>
    <w:rsid w:val="00955A54"/>
    <w:rsid w:val="00966444"/>
    <w:rsid w:val="009A14AF"/>
    <w:rsid w:val="009C0B2E"/>
    <w:rsid w:val="009D0353"/>
    <w:rsid w:val="009D3428"/>
    <w:rsid w:val="00A31CC3"/>
    <w:rsid w:val="00A366DD"/>
    <w:rsid w:val="00A47D20"/>
    <w:rsid w:val="00A70FB6"/>
    <w:rsid w:val="00A853ED"/>
    <w:rsid w:val="00AF7791"/>
    <w:rsid w:val="00B47A7A"/>
    <w:rsid w:val="00B6247E"/>
    <w:rsid w:val="00B64120"/>
    <w:rsid w:val="00BA485B"/>
    <w:rsid w:val="00BA5932"/>
    <w:rsid w:val="00BF1448"/>
    <w:rsid w:val="00C15380"/>
    <w:rsid w:val="00C3644C"/>
    <w:rsid w:val="00C57105"/>
    <w:rsid w:val="00C6461F"/>
    <w:rsid w:val="00C73777"/>
    <w:rsid w:val="00C944F7"/>
    <w:rsid w:val="00C95D83"/>
    <w:rsid w:val="00CA6D47"/>
    <w:rsid w:val="00CB6970"/>
    <w:rsid w:val="00CE790B"/>
    <w:rsid w:val="00D544D3"/>
    <w:rsid w:val="00D550AC"/>
    <w:rsid w:val="00D765B2"/>
    <w:rsid w:val="00D941F2"/>
    <w:rsid w:val="00D95F9E"/>
    <w:rsid w:val="00DA0CBF"/>
    <w:rsid w:val="00DA2149"/>
    <w:rsid w:val="00DE6074"/>
    <w:rsid w:val="00DF7D6D"/>
    <w:rsid w:val="00E30A6E"/>
    <w:rsid w:val="00E669F8"/>
    <w:rsid w:val="00E86FF4"/>
    <w:rsid w:val="00ED035C"/>
    <w:rsid w:val="00ED438A"/>
    <w:rsid w:val="00ED4995"/>
    <w:rsid w:val="00EE5AB7"/>
    <w:rsid w:val="00EF4CB6"/>
    <w:rsid w:val="00EF74B8"/>
    <w:rsid w:val="00F079F7"/>
    <w:rsid w:val="00F81216"/>
    <w:rsid w:val="00F954ED"/>
    <w:rsid w:val="00FC419E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29F5"/>
  <w15:chartTrackingRefBased/>
  <w15:docId w15:val="{D1B8848E-3DCD-4A35-BF05-D3911557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4EC"/>
    <w:rPr>
      <w:color w:val="0563C1" w:themeColor="hyperlink"/>
      <w:u w:val="single"/>
    </w:rPr>
  </w:style>
  <w:style w:type="table" w:customStyle="1" w:styleId="10">
    <w:name w:val="Сетка таблицы светлая1"/>
    <w:basedOn w:val="a1"/>
    <w:uiPriority w:val="40"/>
    <w:rsid w:val="00A70F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5">
    <w:name w:val="Normal (Web)"/>
    <w:basedOn w:val="a"/>
    <w:uiPriority w:val="99"/>
    <w:unhideWhenUsed/>
    <w:rsid w:val="0008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3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A6E"/>
  </w:style>
  <w:style w:type="paragraph" w:styleId="a8">
    <w:name w:val="footer"/>
    <w:basedOn w:val="a"/>
    <w:link w:val="a9"/>
    <w:uiPriority w:val="99"/>
    <w:unhideWhenUsed/>
    <w:rsid w:val="00E3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A6E"/>
  </w:style>
  <w:style w:type="paragraph" w:styleId="aa">
    <w:name w:val="List Paragraph"/>
    <w:basedOn w:val="a"/>
    <w:uiPriority w:val="34"/>
    <w:qFormat/>
    <w:rsid w:val="008E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charipowa@yandex.ru" TargetMode="External"/><Relationship Id="rId13" Type="http://schemas.openxmlformats.org/officeDocument/2006/relationships/hyperlink" Target="http://www.itkor.ru/mag/monposob/source/monogr_berezne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nomy.ru/lib/368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gks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растеневодство 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4"/>
              <c:pt idx="0">
                <c:v>2013</c:v>
              </c:pt>
              <c:pt idx="1">
                <c:v>2014</c:v>
              </c:pt>
              <c:pt idx="2">
                <c:v>2015</c:v>
              </c:pt>
              <c:pt idx="3">
                <c:v>2016</c:v>
              </c:pt>
            </c:numLit>
          </c:cat>
          <c:val>
            <c:numLit>
              <c:formatCode>General</c:formatCode>
              <c:ptCount val="4"/>
              <c:pt idx="0">
                <c:v>21.9</c:v>
              </c:pt>
              <c:pt idx="1">
                <c:v>24.1</c:v>
              </c:pt>
              <c:pt idx="2">
                <c:v>27.1</c:v>
              </c:pt>
              <c:pt idx="3">
                <c:v>28.2</c:v>
              </c:pt>
            </c:numLit>
          </c:val>
          <c:extLst>
            <c:ext xmlns:c16="http://schemas.microsoft.com/office/drawing/2014/chart" uri="{C3380CC4-5D6E-409C-BE32-E72D297353CC}">
              <c16:uniqueId val="{00000000-7815-F34E-8CD5-5CAD79C16487}"/>
            </c:ext>
          </c:extLst>
        </c:ser>
        <c:ser>
          <c:idx val="1"/>
          <c:order val="1"/>
          <c:tx>
            <c:v>животноводство 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4"/>
              <c:pt idx="0">
                <c:v>2013</c:v>
              </c:pt>
              <c:pt idx="1">
                <c:v>2014</c:v>
              </c:pt>
              <c:pt idx="2">
                <c:v>2015</c:v>
              </c:pt>
              <c:pt idx="3">
                <c:v>2016</c:v>
              </c:pt>
            </c:numLit>
          </c:cat>
          <c:val>
            <c:numLit>
              <c:formatCode>General</c:formatCode>
              <c:ptCount val="4"/>
              <c:pt idx="0">
                <c:v>22.4</c:v>
              </c:pt>
              <c:pt idx="1">
                <c:v>25.5</c:v>
              </c:pt>
              <c:pt idx="2">
                <c:v>29</c:v>
              </c:pt>
              <c:pt idx="3">
                <c:v>29.2</c:v>
              </c:pt>
            </c:numLit>
          </c:val>
          <c:extLst>
            <c:ext xmlns:c16="http://schemas.microsoft.com/office/drawing/2014/chart" uri="{C3380CC4-5D6E-409C-BE32-E72D297353CC}">
              <c16:uniqueId val="{00000001-7815-F34E-8CD5-5CAD79C16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772072"/>
        <c:axId val="315768544"/>
      </c:barChart>
      <c:catAx>
        <c:axId val="3157720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2015                                        2016                                    2017                                           2018</a:t>
                </a:r>
                <a:r>
                  <a:rPr lang="ru-RU" baseline="0"/>
                  <a:t>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405329479612647"/>
              <c:y val="0.7372185515574761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315768544"/>
        <c:crosses val="autoZero"/>
        <c:auto val="1"/>
        <c:lblAlgn val="ctr"/>
        <c:lblOffset val="100"/>
        <c:noMultiLvlLbl val="0"/>
      </c:catAx>
      <c:valAx>
        <c:axId val="31576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772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Lst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2907-B327-45BB-9D0C-963BA438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19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Шарипова</dc:creator>
  <cp:keywords/>
  <dc:description/>
  <cp:lastModifiedBy>1</cp:lastModifiedBy>
  <cp:revision>29</cp:revision>
  <dcterms:created xsi:type="dcterms:W3CDTF">2019-04-01T14:08:00Z</dcterms:created>
  <dcterms:modified xsi:type="dcterms:W3CDTF">2020-06-03T19:10:00Z</dcterms:modified>
</cp:coreProperties>
</file>