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5" w:rsidRDefault="00CA0437" w:rsidP="00CA04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НОРМАТИВНО-ПРАВОВОЕ РЕГУЛИРОВАНИЕ СОЦИАЛЬНОЙ СФЕРЫ</w:t>
      </w:r>
    </w:p>
    <w:p w:rsidR="00CA0437" w:rsidRPr="00CA0437" w:rsidRDefault="00CA0437" w:rsidP="00CA04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0437" w:rsidRDefault="00CA0437" w:rsidP="00CA04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Олеговна</w:t>
      </w:r>
    </w:p>
    <w:p w:rsidR="00CA0437" w:rsidRDefault="00CA0437" w:rsidP="00CA0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институт/кафедра государственно-правовых дисциплин, Тихоокеанский государственный университет,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Хабаровск, Россия.</w:t>
      </w:r>
    </w:p>
    <w:p w:rsidR="00CA0437" w:rsidRPr="00CA0437" w:rsidRDefault="00CA0437" w:rsidP="00CA04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437" w:rsidRPr="00CA0437" w:rsidRDefault="00CA0437" w:rsidP="00CA0437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Актуальность</w:t>
      </w:r>
    </w:p>
    <w:p w:rsidR="00CA0437" w:rsidRDefault="00CA0437" w:rsidP="00CA04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Целью представленной статьи является анализ нормативно-правовой базы в довольно обширной и многогранной социальной сфере. Задачей исследования являются : исследования в существующей обстановке в данной области, выявления и так же исследования проблем развития социального законодательства Российской Федерации, неотъемлемой частью которой является законодательство о социальной защите и поддержке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части исследования проблемы совершенствования организационно-правовых основ Российской Федерации, определена объективными факторами. Актуальность исследования заключается в возросшей степени необходимости исследования нормативно-правовой базы социальной сферы граждан. Объект исследования – нормативно-правовая база. Предмет исследовани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отношения граждан в социальной сфере.</w:t>
      </w:r>
    </w:p>
    <w:p w:rsidR="00CA0437" w:rsidRDefault="00CA0437" w:rsidP="00CA04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437" w:rsidRDefault="00CA0437" w:rsidP="00CA04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CA0437">
        <w:rPr>
          <w:rStyle w:val="a3"/>
          <w:rFonts w:ascii="Arial" w:hAnsi="Arial" w:cs="Arial"/>
          <w:b/>
          <w:bCs/>
          <w:i/>
          <w:iCs/>
          <w:color w:val="5F6368"/>
          <w:sz w:val="19"/>
          <w:szCs w:val="19"/>
          <w:shd w:val="clear" w:color="auto" w:fill="FFFFFF"/>
        </w:rPr>
        <w:t xml:space="preserve"> </w:t>
      </w:r>
      <w:r w:rsidRPr="00CA0437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нормативно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A0437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правовой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,с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истема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A0437">
        <w:rPr>
          <w:rStyle w:val="a7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социальной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защиты, социальная сфера, права граждан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социальная защита, социальное обслуживание,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обеспечение.</w:t>
      </w:r>
    </w:p>
    <w:p w:rsidR="00CA0437" w:rsidRPr="00CA0437" w:rsidRDefault="00CA0437" w:rsidP="00CA04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сфера считается важнейшей подсистемой общества, областью общественной деятельности, где реализуется социальная политика государства, направленная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создание условий для повышения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благосостояния граждан, удовлетворение их духовных и материальных, повышение их благосостояния, а так же достойной жизни.</w:t>
      </w:r>
    </w:p>
    <w:p w:rsidR="003D432D" w:rsidRPr="00CA0437" w:rsidRDefault="003D432D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населения является важнейшей составляющей социальной политики. Она направлена на предоставление каждому человеку социальных, юридических гарантий и реальных возможностей для реализации его прав для обеспечения соответствующего, достойного уровня жизни, необходимого для нормального существования и развития личности.</w:t>
      </w:r>
    </w:p>
    <w:p w:rsidR="00A50007" w:rsidRPr="00CA0437" w:rsidRDefault="00A5000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«социальная сфера» не имеет нормативного наполнения. Более широкое </w:t>
      </w:r>
      <w:r w:rsidR="003D432D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получила точка зрения на социальную сферу как сферу услуг.</w:t>
      </w:r>
      <w:r w:rsidR="003D432D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философии социальная сфера рассматривается как сфера производства и воспроизводства человека, где он производит себя, как существо биологическое, духовное, социальное. Понятием «социальная сфера» охватываются основные области жизни человека. 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Туда входит жизнь человека, его работа, труд, социальное обеспечение, наука, культура, спорт, жилищные условия, и, конечно, его семья.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жизнедеятельности, в которых формируется и поддерживается уклад жизни,</w:t>
      </w:r>
      <w:r w:rsidR="003D432D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отвечающий интересам всех и каждого.</w:t>
      </w:r>
      <w:r w:rsidR="003D432D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995" w:rsidRPr="00CA0437" w:rsidRDefault="00126EFB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наиболее полное определение социальной защиты имеет следующий контекст: «социальная защита, ес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ть система социальных отношений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мер и правовых гарантий,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защищающих любого члена общества от социальной,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и физиологической деградации. 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следствии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внезапного и резкого ухудшения условий его благосостояния,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угрозы здоровью,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невозможности реализо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вать свой трудовой и гражданский потенциал»</w:t>
      </w:r>
    </w:p>
    <w:p w:rsidR="00126EFB" w:rsidRPr="00CA0437" w:rsidRDefault="00126EFB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сложную структуру имеет система социальной защиты </w:t>
      </w:r>
      <w:r w:rsidR="00C15EF1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каждый элемент которой своеобразен и специфичен. Эти элементы играют свою особую роль в обеспечении социальной безопасности человека. Основными институтами социальной защиты являются: 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-Социальное страхование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-социальное обеспечение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-социальная помощь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субъектов социальной защиты выст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ают: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-государство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-страховые организации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-общественные организации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-внебюджетные организации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-благотворительные фонды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-работодатели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ъектами социальной защиты выступ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ают: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-наёмные работники 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-пенсионеры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-инвалиды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-бедные семьи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-безработные</w:t>
      </w:r>
    </w:p>
    <w:p w:rsidR="00C15EF1" w:rsidRPr="00CA0437" w:rsidRDefault="00C15EF1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-беременные и др.</w:t>
      </w: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 России прав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ждан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циальную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гарантировано Конституцией Российской Федерации, принятой в 1993 году, и регламентировано законодательством. В с</w:t>
      </w:r>
      <w:proofErr w:type="spellStart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Конституцией РФ,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защита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ходится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вместном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ведении Российской Федерации и её субъектов, поэтому система социальной защиты населения является единой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тивной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пределяющей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цел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стность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зграничение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и предметов ведения между равноправными субъектами.</w:t>
      </w:r>
    </w:p>
    <w:p w:rsidR="00C15EF1" w:rsidRPr="00CA0437" w:rsidRDefault="00C15EF1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РФ закрепляет право граждан на социальное обеспечение по возрасту, в случае болезни, инвалидности, потери кормильца, для воспитания детей (ст. 39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РФ); на защиту материнства и детства (ст. 38 К РФ); на судебную защиту (ст. 46 К РФ); на возмещение государством вреда, причиненного незаконными действиями (или бездействием) органов государственной власти или их должностных лиц (ст. 53 К РФ). Закрепляется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 на охрану здоровья и медицинскую помощь (ст. 41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 Гарантируется общедоступность и бесплатность дошкольного, основного и среднего профессионального образования в государственных или муниципальных образовательных организациях и на предприятиях, а также право на конкурсной основе бесплатно получить высшее образование в государственных образовательных организациях(ст. 43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 Конституция не только провозгласила право граждан на социальную защиту, но и четко определяет пути его реализации.</w:t>
      </w:r>
      <w:r w:rsidR="00CA0437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же, существует довольно обширный перечень нормативно-правовых актов в сфере социальной защиты. Нормативно-правовые акты в сфере защиты и попечительства, нормативно-правовые акты в сфере детского 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отдыха и оздоровления, нормативно-правовые акты в сфере социальной поддержки, нормативно-правовые акты в сфере социального обслуживания населения, нормативно-правовые акты по осуществлению регионального государственного контроля (надзора) в сфере социального обслуживания, Федеральные нормативно-правовые акты, обеспечивающие создание условий доступности объектов и услуг для людей с инвалидностью, Региональные нормативно-правовые акты, обеспечивающие создание условий 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объектов и услуг для людей с инвалидностью, Реализация конвенции о правах людей с инвалидностью, нормативно-правовые акты комиссии по делам несовершеннолетних.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CA0437" w:rsidRPr="00CA0437" w:rsidRDefault="00CA0437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0AF" w:rsidRPr="00CA0437" w:rsidRDefault="003450AF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время, в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современном законодательстве о социальном обслуживании отсутствуют четкие нормативные показатели содержания и объема, качества и безопасности социальных услуг, их гарантий и способов предоставлений, ответственность за их несоблюдение.  В соответствии с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 законодательством оценку и контроль качества оказания государственных услуг осуществляет вышестоящий над исполнителем услуг орган; свою оценку он дает через контроль исполнения разработанных им же инструкций и оценочных показателей. Одн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ако эти показатели не могут дат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ь полный ответ о качестве предоставленной услуги. Ученые вид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 выход из этой ситуации в заключени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оказании социальных услуги,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который будет являться дополнительным средством правовой защиты гражданина.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связи с этим в юридической литературе отмечается недооценка потенциала договора в сфере социального обслуживания в результате игнорирования объективных процессов,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влияющих на изменение общественных отношений в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Неприменение норм Гражданского права к отношениям,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возникающим при осуществлении социального обслуживания</w:t>
      </w:r>
      <w:proofErr w:type="gramStart"/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имеет негативные последствия, так как получатели услуг не имеют средств правовой защиты,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Гражданским кодексом РФ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настоящее время существует лишь возмож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ность обжаловать неправомерные действия (бездействия) соответствующих органов,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342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должностных лиц в вышестоящую инстанцию или суд.</w:t>
      </w:r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действия лиц, оказывающих услуги носят в полнее правомерный </w:t>
      </w:r>
      <w:proofErr w:type="gramStart"/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proofErr w:type="gramEnd"/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уровень качества предоставляемых услуг не соответствует ожиданиям поэтому трудно предположить, что достигается тот полезный эффект, ради которого оказывается услуга. В то же время другими учеными признается необоснованным и неэффективным применение гражданско-правовых конструкций к договорным социально-обеспеченным отношениям. Препятствием к применению в этой сфере норм гражданского права является неопределенностью в разграничении и соотнесении понятий «услуга» и «социальная услуга» В этом случаем мы имеем пограничный с гражданским правом и </w:t>
      </w:r>
      <w:proofErr w:type="gramStart"/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правом социального обеспечения</w:t>
      </w:r>
      <w:proofErr w:type="gramEnd"/>
      <w:r w:rsidR="00CA0437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комплексный частноправовой институт социального обслуживания.</w:t>
      </w:r>
    </w:p>
    <w:p w:rsidR="00CA0437" w:rsidRPr="00CA0437" w:rsidRDefault="00CA0437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6AF" w:rsidRPr="00CA0437" w:rsidRDefault="00D4172E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</w:t>
      </w:r>
      <w:r w:rsidR="001936AF"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то касается Федеральных законов, непременно касающихся социальной сферы, социальной защиты граждан, то не малое их количество нуждается в особом анализе и разборе. В последние годы произошли существенные изменения в правовом регулировании социальной сферы.</w:t>
      </w:r>
    </w:p>
    <w:p w:rsidR="00F37C16" w:rsidRPr="00CA0437" w:rsidRDefault="00CA0437" w:rsidP="00CA0437">
      <w:pPr>
        <w:pStyle w:val="a4"/>
        <w:shd w:val="clear" w:color="auto" w:fill="FFFFFF"/>
        <w:spacing w:before="0" w:beforeAutospacing="0" w:after="408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0437">
        <w:rPr>
          <w:color w:val="000000" w:themeColor="text1"/>
          <w:sz w:val="28"/>
          <w:szCs w:val="28"/>
        </w:rPr>
        <w:t xml:space="preserve">Изучив </w:t>
      </w:r>
      <w:hyperlink r:id="rId8" w:history="1">
        <w:r w:rsidR="00E32548" w:rsidRPr="00CA043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Федеральный закон № 442-ФЗ от 28 декабря 2013 г.</w:t>
        </w:r>
      </w:hyperlink>
      <w:r w:rsidR="00E32548" w:rsidRPr="00CA0437">
        <w:rPr>
          <w:color w:val="000000" w:themeColor="text1"/>
          <w:sz w:val="28"/>
          <w:szCs w:val="28"/>
          <w:shd w:val="clear" w:color="auto" w:fill="FFFFFF"/>
        </w:rPr>
        <w:t> «Об основах социального обслуживания граждан в Российской Федерации»</w:t>
      </w:r>
      <w:r w:rsidRPr="00CA043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A0437">
        <w:rPr>
          <w:color w:val="000000" w:themeColor="text1"/>
          <w:sz w:val="28"/>
          <w:szCs w:val="28"/>
        </w:rPr>
        <w:t>с</w:t>
      </w:r>
      <w:r w:rsidR="00F37C16" w:rsidRPr="00CA0437">
        <w:rPr>
          <w:color w:val="000000" w:themeColor="text1"/>
          <w:sz w:val="28"/>
          <w:szCs w:val="28"/>
        </w:rPr>
        <w:t>читаю</w:t>
      </w:r>
      <w:r w:rsidRPr="00CA0437">
        <w:rPr>
          <w:color w:val="000000" w:themeColor="text1"/>
          <w:sz w:val="28"/>
          <w:szCs w:val="28"/>
        </w:rPr>
        <w:t>,</w:t>
      </w:r>
      <w:r w:rsidR="00F37C16" w:rsidRPr="00CA0437">
        <w:rPr>
          <w:color w:val="000000" w:themeColor="text1"/>
          <w:sz w:val="28"/>
          <w:szCs w:val="28"/>
        </w:rPr>
        <w:t xml:space="preserve"> </w:t>
      </w:r>
      <w:r w:rsidRPr="00CA0437">
        <w:rPr>
          <w:color w:val="000000" w:themeColor="text1"/>
          <w:sz w:val="28"/>
          <w:szCs w:val="28"/>
        </w:rPr>
        <w:t xml:space="preserve">что </w:t>
      </w:r>
      <w:r w:rsidR="00F37C16" w:rsidRPr="00CA0437">
        <w:rPr>
          <w:color w:val="000000" w:themeColor="text1"/>
          <w:sz w:val="28"/>
          <w:szCs w:val="28"/>
        </w:rPr>
        <w:t>главным, о чем трактуется  в данном нормативно-правовом акте это то, что в соответствии с Федеральным законом расширяется перечень поставщиков социальных услуг. Наряду с государственными учреждениями социальные услуги населению оказывают негосударственные поставщики – коммерческие и некоммерческие организации, индивидуальные предприниматели.</w:t>
      </w:r>
    </w:p>
    <w:p w:rsidR="00F37C16" w:rsidRPr="00CA0437" w:rsidRDefault="00F37C16" w:rsidP="00CA0437">
      <w:pPr>
        <w:pStyle w:val="a4"/>
        <w:spacing w:before="0" w:beforeAutospacing="0" w:after="27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>В сфере социального обслуживания населения делается упор на профилактику и индивидуальный подход. Новым элементом в системе социального обслуживания становится «социальное сопровождение», суть которого заключается в оказании содействия гражданам посредством межведомственного взаимодействия в получении различного вида услуг: юридических, медицинских, психологических, педагогических, а также социальной помощи, не относящейся к социальным услугам.</w:t>
      </w:r>
      <w:r w:rsidRPr="00CA0437">
        <w:rPr>
          <w:color w:val="000000" w:themeColor="text1"/>
          <w:sz w:val="28"/>
          <w:szCs w:val="28"/>
        </w:rPr>
        <w:br/>
        <w:t>Определены основани</w:t>
      </w:r>
      <w:r w:rsidR="00CA0437" w:rsidRPr="00CA0437">
        <w:rPr>
          <w:color w:val="000000" w:themeColor="text1"/>
          <w:sz w:val="28"/>
          <w:szCs w:val="28"/>
        </w:rPr>
        <w:t xml:space="preserve">я для признания граждан </w:t>
      </w:r>
      <w:proofErr w:type="gramStart"/>
      <w:r w:rsidR="00CA0437" w:rsidRPr="00CA0437">
        <w:rPr>
          <w:color w:val="000000" w:themeColor="text1"/>
          <w:sz w:val="28"/>
          <w:szCs w:val="28"/>
        </w:rPr>
        <w:t>нуждающим</w:t>
      </w:r>
      <w:r w:rsidRPr="00CA0437">
        <w:rPr>
          <w:color w:val="000000" w:themeColor="text1"/>
          <w:sz w:val="28"/>
          <w:szCs w:val="28"/>
        </w:rPr>
        <w:t>ся</w:t>
      </w:r>
      <w:proofErr w:type="gramEnd"/>
      <w:r w:rsidRPr="00CA0437">
        <w:rPr>
          <w:color w:val="000000" w:themeColor="text1"/>
          <w:sz w:val="28"/>
          <w:szCs w:val="28"/>
        </w:rPr>
        <w:t xml:space="preserve"> в социальном обслуживании. Это наличие обстоятельств, которые ухудшают или могут ухудшить условия жизнедеятельности лица.</w:t>
      </w:r>
      <w:r w:rsidR="00CA0437">
        <w:rPr>
          <w:rStyle w:val="aa"/>
          <w:color w:val="000000" w:themeColor="text1"/>
          <w:sz w:val="28"/>
          <w:szCs w:val="28"/>
        </w:rPr>
        <w:footnoteReference w:id="3"/>
      </w:r>
    </w:p>
    <w:p w:rsidR="00FA4389" w:rsidRPr="00CA0437" w:rsidRDefault="00F37C16" w:rsidP="00CA0437">
      <w:pPr>
        <w:pStyle w:val="a4"/>
        <w:spacing w:before="0" w:beforeAutospacing="0" w:after="27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 xml:space="preserve">Согласно закону плата за оказание социальных услуг, предоставляемых в </w:t>
      </w:r>
      <w:proofErr w:type="spellStart"/>
      <w:r w:rsidRPr="00CA0437">
        <w:rPr>
          <w:color w:val="000000" w:themeColor="text1"/>
          <w:sz w:val="28"/>
          <w:szCs w:val="28"/>
        </w:rPr>
        <w:t>полустационарных</w:t>
      </w:r>
      <w:proofErr w:type="spellEnd"/>
      <w:r w:rsidRPr="00CA0437">
        <w:rPr>
          <w:color w:val="000000" w:themeColor="text1"/>
          <w:sz w:val="28"/>
          <w:szCs w:val="28"/>
        </w:rPr>
        <w:t xml:space="preserve"> условиях и на дому, основывается на адресном подходе к их получателям и зависит от уровня их среднедушевого дохода. Теперь социальные услуги бесплатно будут получать граждане, чей среднедушевой </w:t>
      </w:r>
      <w:r w:rsidRPr="00CA0437">
        <w:rPr>
          <w:color w:val="000000" w:themeColor="text1"/>
          <w:sz w:val="28"/>
          <w:szCs w:val="28"/>
        </w:rPr>
        <w:lastRenderedPageBreak/>
        <w:t>доход не превышает полуторную величину прожиточного минимума. Также законом устанавливается предельный размер платы за социальные услуги.</w:t>
      </w:r>
      <w:r w:rsidR="00FA4389" w:rsidRPr="00CA0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4389" w:rsidRPr="00CA0437">
        <w:rPr>
          <w:color w:val="000000" w:themeColor="text1"/>
          <w:sz w:val="28"/>
          <w:szCs w:val="28"/>
        </w:rPr>
        <w:t>Настоящий Федеральный закон устанавливает:</w:t>
      </w:r>
    </w:p>
    <w:p w:rsidR="00FA4389" w:rsidRPr="00CA0437" w:rsidRDefault="00FA4389" w:rsidP="00CA0437">
      <w:pPr>
        <w:pStyle w:val="a4"/>
        <w:shd w:val="clear" w:color="auto" w:fill="FFFFFF"/>
        <w:spacing w:before="0" w:beforeAutospacing="0" w:after="408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FA4389" w:rsidRPr="00CA0437" w:rsidRDefault="00FA4389" w:rsidP="00CA0437">
      <w:pPr>
        <w:pStyle w:val="a4"/>
        <w:shd w:val="clear" w:color="auto" w:fill="FFFFFF"/>
        <w:spacing w:before="0" w:beforeAutospacing="0" w:after="408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FA4389" w:rsidRPr="00CA0437" w:rsidRDefault="00FA4389" w:rsidP="00CA0437">
      <w:pPr>
        <w:pStyle w:val="a4"/>
        <w:shd w:val="clear" w:color="auto" w:fill="FFFFFF"/>
        <w:spacing w:before="0" w:beforeAutospacing="0" w:after="408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>3) права и обязанности получателей социальных услуг;</w:t>
      </w:r>
    </w:p>
    <w:p w:rsidR="00FA4389" w:rsidRPr="00CA0437" w:rsidRDefault="00FA4389" w:rsidP="00CA0437">
      <w:pPr>
        <w:pStyle w:val="a4"/>
        <w:shd w:val="clear" w:color="auto" w:fill="FFFFFF"/>
        <w:spacing w:before="0" w:beforeAutospacing="0" w:after="408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0437">
        <w:rPr>
          <w:color w:val="000000" w:themeColor="text1"/>
          <w:sz w:val="28"/>
          <w:szCs w:val="28"/>
        </w:rPr>
        <w:t>4) права и обязанности поставщиков социальных услуг.</w:t>
      </w:r>
    </w:p>
    <w:p w:rsidR="00CA0437" w:rsidRPr="00CA0437" w:rsidRDefault="00CA0437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были приняты Федеральные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прожит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чном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минимуме в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 и «О государственной социальной помощи». ФЗ «Об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осн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вах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обязательного социального страхования»; Об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осн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вах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обслуживания граждан в РФ»; – ФЗ «О социальной защите инвалидов в РФ»; – ФЗ «О занят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РФ; – ФЗ «О страх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пенсиях»; – ФЗ «О трудовых пенсиях в Российской Федерации»; – ФЗ «О г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пенси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в граждан в РФ»</w:t>
      </w:r>
    </w:p>
    <w:p w:rsidR="00FA4389" w:rsidRPr="00CA0437" w:rsidRDefault="00FA4389" w:rsidP="00CA0437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данных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обусл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вил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 в силу цел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норм, реализация к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торых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связана с осуществлением социальной защиты населения. В 2003-2005 гг. в законодательной базе граждан в РФ произошли изменения, в результате которых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высилась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адрестность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защиты. Кроме того, в с</w:t>
      </w:r>
      <w:proofErr w:type="spellStart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законом соответствующие полномочия могли быть делегированы на уровень местного самоуправления вместе с финансовыми средствами на их осуществление. Вместе с тем действующая м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дель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обслуживания населения не позволяла в полной мере удовлетворить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услугах. В действующих законах отсутствовал исчерпывающий перечень конкретных 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ваний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признания граждан нуждающимися в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обслуживании. П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нов не соответствовало нормам современного российского закон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совершенствования правового положения государственных (муниципальных), социально ориентированных некоммерческих организаций, общественных объединений,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услуг, размещении государственного (муниципального) заказа и др.  В 2013 году был принят Федеральный закон № 442-ФЗ «Об основах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бслуживания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Федерации». В законе четко прописаны принципы, условия и порядок пред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став и содержание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определены основания для признания граждан, нуждающимся в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обслуживании. Ос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бый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 в законе сделан на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филактику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нуждаемости граждан в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циальном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обслуживании.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дится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с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провождение. Закрепляется принцип осуществления социального обслуживания исходя из индивидуальной нуждаемости в с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цуслугах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Последние могут предоставляться в стационаре,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полустационарных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виях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дому. Предусмотрена разработка индивидуальной программы оказания социальных услуг. С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закону, платность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соцуслуг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в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полустационарных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на дому, базируется на адресном подходе к их получателям и зависит от уровня их среднедушевого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хода. При этом закреплено, что новые условия предоставления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соцуслуг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лжны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ухудшить положение тех, кто имеет право на их получение в настоящее время. Бесплатно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соцуслуги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оказываются следующим категориям. Во всех формах – несовершеннолетним детям, а также пострадавшим от чрезвычайных ситуаций и в</w:t>
      </w:r>
      <w:proofErr w:type="spellStart"/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руженных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межнациональных (межэтнических) конфликт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На дому и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полустационарной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бесплатно могут получать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соцуслуги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чей среднедушевой доход ниже установленной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величины. Размер предельного среднедушевого дохода для предоставления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соцуслуг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 будут 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>пределять</w:t>
      </w:r>
      <w:proofErr w:type="spellEnd"/>
      <w:r w:rsidRPr="00CA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региональные власти (но не менее 1,5 % регионального прожиточного минимума).</w:t>
      </w:r>
    </w:p>
    <w:p w:rsidR="00CA0437" w:rsidRPr="00CA0437" w:rsidRDefault="00CA0437" w:rsidP="00C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437" w:rsidRP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0437">
        <w:rPr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Несмотря на активную позицию государства в вопросах социальной поддержки и социальной защиты граждан, довольно низкая роль у негосударственных институтов и самих граждан. Если оценивать развитие социального государства. В ходе смены социальных приоритетов многие законы и нормативно-правовые акты советского периода уже не могли применяться из-за изменившихся условий и нуждались в обновлении. Начался активный поиск новых форм и способов проведения социальной политики, который продолжается  до сих пор. На этапе реформирования общества в Российской Федерации необходимо обобщение опыта формирования правовой базы реорганизации прежней системы социального законодательства в новую систему, согласованную с мировым опытом защиты социальных прав человека.</w:t>
      </w:r>
    </w:p>
    <w:p w:rsid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CA0437" w:rsidRPr="00CA0437" w:rsidRDefault="00CA0437" w:rsidP="00CA0437">
      <w:pPr>
        <w:pStyle w:val="1"/>
        <w:shd w:val="clear" w:color="auto" w:fill="FFFFFF"/>
        <w:spacing w:before="0" w:beforeAutospacing="0" w:after="144" w:afterAutospacing="0" w:line="360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A4389" w:rsidRPr="00CA0437" w:rsidRDefault="00CA0437" w:rsidP="00CA0437">
      <w:pPr>
        <w:pStyle w:val="1"/>
        <w:shd w:val="clear" w:color="auto" w:fill="FFFFFF" w:themeFill="background1"/>
        <w:spacing w:before="0" w:beforeAutospacing="0" w:after="144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CA0437">
        <w:rPr>
          <w:color w:val="000000" w:themeColor="text1"/>
          <w:sz w:val="28"/>
          <w:szCs w:val="28"/>
          <w:shd w:val="clear" w:color="auto" w:fill="FFFFFF"/>
        </w:rPr>
        <w:t>Список литературы:</w:t>
      </w:r>
    </w:p>
    <w:p w:rsidR="00CA0437" w:rsidRPr="00CA0437" w:rsidRDefault="00CA0437" w:rsidP="00CA0437">
      <w:pPr>
        <w:pStyle w:val="1"/>
        <w:numPr>
          <w:ilvl w:val="0"/>
          <w:numId w:val="3"/>
        </w:numPr>
        <w:shd w:val="clear" w:color="auto" w:fill="FFFFFF" w:themeFill="background1"/>
        <w:spacing w:before="0" w:beforeAutospacing="0" w:after="144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Конституция Российской Федерации. М.: «Юридическая литература», 1993.- 96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A0437" w:rsidRPr="00CA0437" w:rsidRDefault="00CA0437" w:rsidP="00CA0437">
      <w:pPr>
        <w:pStyle w:val="1"/>
        <w:numPr>
          <w:ilvl w:val="0"/>
          <w:numId w:val="3"/>
        </w:numPr>
        <w:shd w:val="clear" w:color="auto" w:fill="FFFFFF" w:themeFill="background1"/>
        <w:spacing w:before="0" w:beforeAutospacing="0" w:after="144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Асланова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С.Х. Современные проблемы социальной политики государства и пути их совершенствования/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С.Х Асланова.- М.: Молодой ученый,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2019.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511-514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A0437" w:rsidRPr="00CA0437" w:rsidRDefault="00CA0437" w:rsidP="00CA0437">
      <w:pPr>
        <w:pStyle w:val="1"/>
        <w:numPr>
          <w:ilvl w:val="0"/>
          <w:numId w:val="3"/>
        </w:numPr>
        <w:shd w:val="clear" w:color="auto" w:fill="FFFFFF" w:themeFill="background1"/>
        <w:spacing w:before="0" w:beforeAutospacing="0" w:after="144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Байкин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И.А. К вопросу о понятиях «социальная справедливость», «социальная защищенность»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/ И.А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</w:rPr>
        <w:t>Байкин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.- М.: Вестник МГТУ 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</w:rPr>
        <w:t>Станкин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A0437">
        <w:rPr>
          <w:b w:val="0"/>
          <w:color w:val="000000" w:themeColor="text1"/>
          <w:sz w:val="28"/>
          <w:szCs w:val="28"/>
          <w:shd w:val="clear" w:color="auto" w:fill="FFFFFF"/>
        </w:rPr>
        <w:t>2018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.-26-42 </w:t>
      </w:r>
      <w:proofErr w:type="gramStart"/>
      <w:r>
        <w:rPr>
          <w:b w:val="0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A4389" w:rsidRPr="00CA0437" w:rsidRDefault="00FA4389" w:rsidP="00CA043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2548" w:rsidRPr="00CA0437" w:rsidRDefault="00CA0437" w:rsidP="00CA0437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</w:t>
      </w:r>
      <w:r w:rsidRPr="00CA0437">
        <w:rPr>
          <w:b w:val="0"/>
          <w:color w:val="000000" w:themeColor="text1"/>
          <w:sz w:val="28"/>
          <w:szCs w:val="28"/>
        </w:rPr>
        <w:t>Вольдман, Ю.</w:t>
      </w:r>
      <w:r>
        <w:rPr>
          <w:b w:val="0"/>
          <w:color w:val="000000" w:themeColor="text1"/>
          <w:sz w:val="28"/>
          <w:szCs w:val="28"/>
        </w:rPr>
        <w:t>Н,</w:t>
      </w:r>
      <w:r w:rsidRPr="00CA0437">
        <w:rPr>
          <w:b w:val="0"/>
          <w:color w:val="000000" w:themeColor="text1"/>
          <w:sz w:val="28"/>
          <w:szCs w:val="28"/>
        </w:rPr>
        <w:t xml:space="preserve"> Трудовой кодекс: его взаимодействие с Кодексом об административных </w:t>
      </w:r>
      <w:r>
        <w:rPr>
          <w:b w:val="0"/>
          <w:color w:val="000000" w:themeColor="text1"/>
          <w:sz w:val="28"/>
          <w:szCs w:val="28"/>
        </w:rPr>
        <w:t>правонарушениях / Ю. Вольдман.- М.:</w:t>
      </w:r>
      <w:r w:rsidRPr="00CA0437">
        <w:rPr>
          <w:b w:val="0"/>
          <w:color w:val="000000" w:themeColor="text1"/>
          <w:sz w:val="28"/>
          <w:szCs w:val="28"/>
        </w:rPr>
        <w:t xml:space="preserve"> Хозяйство и право. - 2017. - № 7.</w:t>
      </w:r>
    </w:p>
    <w:p w:rsidR="00E32548" w:rsidRPr="00CA0437" w:rsidRDefault="00CA0437" w:rsidP="00CA043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proofErr w:type="spell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М.М, Кузнецов В.Н: Социология социальной сферы: Учебное пособие для вузов / М.М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Акулич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.- М.: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Издательство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2007.-217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A0437" w:rsidRPr="00CA0437" w:rsidRDefault="00CA0437" w:rsidP="00CA04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0437" w:rsidRPr="00CA0437" w:rsidRDefault="00CA0437" w:rsidP="00CA04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Лаврентьева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</w:t>
      </w:r>
      <w:proofErr w:type="gramStart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Кузнецов, В. В: Социальная политика и управление в социальной сфере : учебное пособие / И.П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Лаврентьева.-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УлГТУ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A0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2009. – 129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E32548" w:rsidRPr="00CA0437" w:rsidRDefault="00E32548" w:rsidP="001936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F82876" w:rsidRPr="00F82876" w:rsidRDefault="00F82876" w:rsidP="001A7E83"/>
    <w:sectPr w:rsidR="00F82876" w:rsidRPr="00F82876" w:rsidSect="007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7F" w:rsidRDefault="0090177F" w:rsidP="00CA0437">
      <w:pPr>
        <w:spacing w:after="0" w:line="240" w:lineRule="auto"/>
      </w:pPr>
      <w:r>
        <w:separator/>
      </w:r>
    </w:p>
  </w:endnote>
  <w:endnote w:type="continuationSeparator" w:id="0">
    <w:p w:rsidR="0090177F" w:rsidRDefault="0090177F" w:rsidP="00CA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7F" w:rsidRDefault="0090177F" w:rsidP="00CA0437">
      <w:pPr>
        <w:spacing w:after="0" w:line="240" w:lineRule="auto"/>
      </w:pPr>
      <w:r>
        <w:separator/>
      </w:r>
    </w:p>
  </w:footnote>
  <w:footnote w:type="continuationSeparator" w:id="0">
    <w:p w:rsidR="0090177F" w:rsidRDefault="0090177F" w:rsidP="00CA0437">
      <w:pPr>
        <w:spacing w:after="0" w:line="240" w:lineRule="auto"/>
      </w:pPr>
      <w:r>
        <w:continuationSeparator/>
      </w:r>
    </w:p>
  </w:footnote>
  <w:footnote w:id="1">
    <w:p w:rsidR="00CA0437" w:rsidRPr="00CA0437" w:rsidRDefault="00CA0437" w:rsidP="00CA0437">
      <w:pPr>
        <w:pStyle w:val="1"/>
        <w:shd w:val="clear" w:color="auto" w:fill="FFFFFF" w:themeFill="background1"/>
        <w:tabs>
          <w:tab w:val="left" w:pos="0"/>
        </w:tabs>
        <w:spacing w:before="0" w:beforeAutospacing="0" w:after="144" w:afterAutospacing="0" w:line="360" w:lineRule="auto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CA0437">
        <w:rPr>
          <w:rStyle w:val="aa"/>
          <w:sz w:val="24"/>
          <w:szCs w:val="24"/>
        </w:rPr>
        <w:footnoteRef/>
      </w:r>
      <w:r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 xml:space="preserve">Конституция Российской Федерации. М.: «Юридическая литература», 1993.- 96 </w:t>
      </w:r>
      <w:proofErr w:type="gram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2">
    <w:p w:rsidR="00CA0437" w:rsidRPr="00CA0437" w:rsidRDefault="00CA0437" w:rsidP="00CA0437">
      <w:pPr>
        <w:pStyle w:val="1"/>
        <w:shd w:val="clear" w:color="auto" w:fill="FFFFFF" w:themeFill="background1"/>
        <w:tabs>
          <w:tab w:val="left" w:pos="0"/>
        </w:tabs>
        <w:spacing w:before="0" w:beforeAutospacing="0" w:after="144" w:afterAutospacing="0" w:line="360" w:lineRule="auto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CA0437">
        <w:rPr>
          <w:rStyle w:val="aa"/>
          <w:sz w:val="24"/>
          <w:szCs w:val="24"/>
        </w:rPr>
        <w:footnoteRef/>
      </w:r>
      <w:r w:rsidRPr="00CA0437">
        <w:rPr>
          <w:sz w:val="24"/>
          <w:szCs w:val="24"/>
        </w:rPr>
        <w:t xml:space="preserve"> </w:t>
      </w:r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 xml:space="preserve">Асланова, С.Х. Современные проблемы социальной политики государства и пути их совершенствования/ С.Х Асланова.- М.: Молодой ученый, 2019.- 511-514 </w:t>
      </w:r>
      <w:proofErr w:type="gram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CA0437" w:rsidRPr="00CA0437" w:rsidRDefault="00CA0437">
      <w:pPr>
        <w:pStyle w:val="a8"/>
        <w:rPr>
          <w:lang w:val="en-US"/>
        </w:rPr>
      </w:pPr>
    </w:p>
  </w:footnote>
  <w:footnote w:id="3">
    <w:p w:rsidR="00CA0437" w:rsidRPr="00CA0437" w:rsidRDefault="00CA0437" w:rsidP="00CA0437">
      <w:pPr>
        <w:pStyle w:val="1"/>
        <w:shd w:val="clear" w:color="auto" w:fill="FFFFFF" w:themeFill="background1"/>
        <w:spacing w:before="0" w:beforeAutospacing="0" w:after="144" w:afterAutospacing="0" w:line="360" w:lineRule="auto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CA0437">
        <w:rPr>
          <w:rStyle w:val="aa"/>
          <w:sz w:val="24"/>
          <w:szCs w:val="24"/>
        </w:rPr>
        <w:footnoteRef/>
      </w:r>
      <w:r w:rsidRPr="00CA0437">
        <w:rPr>
          <w:sz w:val="24"/>
          <w:szCs w:val="24"/>
        </w:rPr>
        <w:t xml:space="preserve"> </w:t>
      </w:r>
      <w:proofErr w:type="spell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Байкин</w:t>
      </w:r>
      <w:proofErr w:type="spell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 xml:space="preserve">, И.А. К вопросу о понятиях «социальная справедливость», «социальная защищенность» / И.А </w:t>
      </w:r>
      <w:proofErr w:type="spell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Байкин</w:t>
      </w:r>
      <w:proofErr w:type="spell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 xml:space="preserve">.- М.: Вестник МГТУ </w:t>
      </w:r>
      <w:proofErr w:type="spell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Станкин</w:t>
      </w:r>
      <w:proofErr w:type="spell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 xml:space="preserve">, 2018.-26-42 </w:t>
      </w:r>
      <w:proofErr w:type="gramStart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CA0437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CA0437" w:rsidRPr="00CA0437" w:rsidRDefault="00CA0437">
      <w:pPr>
        <w:pStyle w:val="a8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5E3"/>
    <w:multiLevelType w:val="hybridMultilevel"/>
    <w:tmpl w:val="5CB4F988"/>
    <w:lvl w:ilvl="0" w:tplc="06042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F30D0"/>
    <w:multiLevelType w:val="hybridMultilevel"/>
    <w:tmpl w:val="892606B6"/>
    <w:lvl w:ilvl="0" w:tplc="74DA349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23E86"/>
    <w:multiLevelType w:val="hybridMultilevel"/>
    <w:tmpl w:val="CB5E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E83"/>
    <w:rsid w:val="001171AB"/>
    <w:rsid w:val="00126EFB"/>
    <w:rsid w:val="0015097C"/>
    <w:rsid w:val="001936AF"/>
    <w:rsid w:val="001A7E83"/>
    <w:rsid w:val="00207995"/>
    <w:rsid w:val="003450AF"/>
    <w:rsid w:val="00377697"/>
    <w:rsid w:val="003B4C28"/>
    <w:rsid w:val="003C0342"/>
    <w:rsid w:val="003D432D"/>
    <w:rsid w:val="004C7143"/>
    <w:rsid w:val="006E40D2"/>
    <w:rsid w:val="007551BA"/>
    <w:rsid w:val="0090177F"/>
    <w:rsid w:val="00A123F5"/>
    <w:rsid w:val="00A50007"/>
    <w:rsid w:val="00A557D0"/>
    <w:rsid w:val="00A67773"/>
    <w:rsid w:val="00A72C0A"/>
    <w:rsid w:val="00A760CA"/>
    <w:rsid w:val="00A76AF2"/>
    <w:rsid w:val="00B169AA"/>
    <w:rsid w:val="00C15EF1"/>
    <w:rsid w:val="00CA0437"/>
    <w:rsid w:val="00CF71AE"/>
    <w:rsid w:val="00D4172E"/>
    <w:rsid w:val="00D57F33"/>
    <w:rsid w:val="00D827DE"/>
    <w:rsid w:val="00E32548"/>
    <w:rsid w:val="00E96676"/>
    <w:rsid w:val="00EA66D1"/>
    <w:rsid w:val="00F32160"/>
    <w:rsid w:val="00F37C16"/>
    <w:rsid w:val="00F7387C"/>
    <w:rsid w:val="00F82876"/>
    <w:rsid w:val="00FA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A"/>
  </w:style>
  <w:style w:type="paragraph" w:styleId="1">
    <w:name w:val="heading 1"/>
    <w:basedOn w:val="a"/>
    <w:link w:val="10"/>
    <w:uiPriority w:val="9"/>
    <w:qFormat/>
    <w:rsid w:val="00E3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325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32548"/>
  </w:style>
  <w:style w:type="character" w:styleId="a7">
    <w:name w:val="Emphasis"/>
    <w:basedOn w:val="a0"/>
    <w:uiPriority w:val="20"/>
    <w:qFormat/>
    <w:rsid w:val="00CA0437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CA04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04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0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laws/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6739D-0AE4-44F0-91EA-BAEFAAB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10581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2020-05-25T05:57:00Z</dcterms:created>
  <dcterms:modified xsi:type="dcterms:W3CDTF">2020-06-04T05:46:00Z</dcterms:modified>
</cp:coreProperties>
</file>