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Сакская средняя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имени кавалера   Ордена Славы 3-х степеней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И.И. Морозова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Мониторинг состояния самоизливающихся заброшенных скважин пресных вод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в районе г. Саки</w:t>
      </w:r>
    </w:p>
    <w:p>
      <w:pPr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 выполнил: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Данилов Даниил, </w:t>
      </w:r>
    </w:p>
    <w:p>
      <w:pPr>
        <w:tabs>
          <w:tab w:val="left" w:pos="44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обучающийся 7 класса 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Сакская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им. кавалера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Ордена Славы 3-х степеней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И.И. Морозова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6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Научные руководители: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Чабан Светлана Викторовна,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биологии и химии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Сакская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им. кавалера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Ордена Славы 3-х степеней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И.И. Морозова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Ткаченко Светлана Олеговна,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дополнительного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ЦДЮТ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САКИ-2021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8952"/>
        <w:gridCol w:w="902"/>
      </w:tblGrid>
      <w:tr>
        <w:trPr>
          <w:trHeight w:val="8241" w:hRule="auto"/>
          <w:jc w:val="left"/>
        </w:trPr>
        <w:tc>
          <w:tcPr>
            <w:tcW w:w="89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……………………………………………………………………..3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1.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 литературы по теме исследования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Характеристики типов подземных вод………………………………...4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Гидрогеологические условия района исследований………………….7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2.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Методы исследования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                          2.1. Место и сроки проведения исследования ……………………………8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исследуемого участка………………………………………8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 исследования……………………………………………………8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Полевые  исследования………………………………………………...8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Определение минерализации………………………………………….9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Камеральные исследования…………………………………………..10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3.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Результаты исследования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……………………………………………….11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               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Выводы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…………………………………………………………………….15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Список использованной литературы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 интернет-источников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…………………………………………………..16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утверждается во многих СМИ после прекращения подачи Днепровской воды по Северо-Крымскому каналу, Крымский полуостров испытывает острую нехватку пресной воды [1, 2]. Страдает не только сельское хозяйство, прежде всего отрасль орошаемого земледелия, но и водоснабжение населенных пунктов. Для компенсации образовавшегося дефицита воды на Федеральном уровне принято решение о разведке и введение в эксплуатацию новых источников водоснабжения.  Но, несмотря на все приложенные усилия, по истечению 5-ти лет с момента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водной блокады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Крыма вопрос по обеспечению всех сфер хозяйственной деятельности качественной водой полностью не решен [3] и поиск новых источников воды пригодной для питья является актуальным на сегодняшний день.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состояния самоизливающихся, заброшенных скважин пресных вод в районе города Саки.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самоизливающиеся заброшенные скважины.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техническое состояние оголовков скважин и оценка дебита.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Осмотр уже выявленных скважин и поиск новых.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основных параметров скважин: техническое состояние оголовка, замер дебита и определение минерализации.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Актуализация карта-схемы скважин пригодных для эксплуатации.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литературными и фондовыми материалами.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Гипотеза: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Саки имеются заброшенные скважины, которые рационально использовать для питьевого водоснабжения.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1.  ИЗУЧЕНИЕ ЛИТЕРАТУРЫ ПО ТЕМЕ ИССЛЕДОВАНИЯ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"/>
        </w:numPr>
        <w:spacing w:before="0" w:after="0" w:line="276"/>
        <w:ind w:right="0" w:left="1429" w:hanging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Характеристики типов подземных вод</w:t>
      </w:r>
    </w:p>
    <w:p>
      <w:pPr>
        <w:spacing w:before="0" w:after="0" w:line="276"/>
        <w:ind w:right="0" w:left="142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Зная условия залегания подземных вод в земной коре можно определять их типы расходу воды (дебиту). Так, согласно литературным данным, верхняя часть земной коры в зависимости от степени насыщения водой пор горных пород делится на две зоны: верхнюю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зону аэрации и нижнюю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зону насыщения.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Зона аэрации расположена между поверхностью земли и уровнем грунтовых вод. В этой зоне, непосредственно связанной с атмосферой и почвенным покровом, наблюдается просачивание атмосферных осадков из поверхностных вод вглубь, в сторону зоны насыщения. Поры горных пород в зоне аэрации лишь частично заполнены водой, остальная часть их занята воздухом. Зона аэрации играет важную роль в формировании подземных вод. Мощность, т. е. толщина зоны аэрации, колеблется от нуля в заболоченных низинах до нескольких сотен метров в горных районах с сильно расчлененным рельефом.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Верховодки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временные скопления подземных вод в зоне аэрации. Верховодки образуются над локальными водоупорами (или полуводоупорами), которыми могут быть линзы глин и суглинков в песке, прослойки более плотных пород. При инфильтрации вода временно задерживается и образует сводообразные водоносные горизонты. Чаще всего это бывает связано с периодом обильного снеготаяния, периодом дождей. В остальное время вода верховодок испаряется или просачивается (стекает) в нижележащие грунтовые воды.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Грунтовые воды.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Грунтовыми называют постоянные во времени и значительные по площади распространения горизонты подземных вод, залегающие на первом от поверхности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выдержанном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водоупоре. Грунтовые воды имеют свободную поверхность, т. е. сверху они не перекрыты водоупорными слоями. Свободная поверхность грунтовых вод называется зеркалом (в разрезе уровень). Положение зеркала в какой-то мере отвечает рельефу данной местности. Глубина залегания уровня от поверхности различна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1 до 50 м и более. Положение уровня по ряду причин непостоянно. Водоупор, на котором лежит водоносный слой, называют ложем, а расстояние от водоупора до уровня подземных вод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мощностью водоносного слоя (рис. 1).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685" w:dyaOrig="1031">
                <v:rect xmlns:o="urn:schemas-microsoft-com:office:office" xmlns:v="urn:schemas-microsoft-com:vml" id="rectole0000000000" style="width:184.250000pt;height:51.5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Рис. 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Грунтовые воды: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уровень грунтовой воды (УГВ);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мощность грунтовой воды;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ложе (водоупор); 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поверхность земли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Количество, качество и глубина залегания грунтовых вод зависят от геологических условий местности и климатических факторов. Зеркало грунтовых вод в целом в какой-то мере копирует рельеф земной поверхности в пределах их расположения. По степени минерализации воды преимущественно пресные, реже солоноватые и солёные, состав гидрокарбонатно-кальциевый, сульфатный и сульфатно-хлоридный.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Межпластовые подземные воды.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Эти воды располагаются в водоносных горизонтах между водоупорами. Они бывают ненапорными (рис.2) и напорными (артезианскими).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106" w:dyaOrig="1013">
                <v:rect xmlns:o="urn:schemas-microsoft-com:office:office" xmlns:v="urn:schemas-microsoft-com:vml" id="rectole0000000001" style="width:105.300000pt;height:50.6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Рис. 2. - Межпластовая ненапорная вода:1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грунтовая вода;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первый водоупор;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межпластовая вода; 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водоупор; 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поверхность земли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Напорные (артезианские)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воды связаны с залеганием водоносных слоёв в виде синклиналей или моноклиналей (рис. 3, 4). Площадь распространения напорных водоносных горизонтов называют артезианским бассейном.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Отдельные части водоносных слоёв залегают на различных высотных отметках, что и создает напор подземных вод. Напорных подземных горизонтов может быть несколько. Каждый из них имеет область питания там, где водоносные слои выходят на поверхность и имеют высокие отметки. Область питания, как правило, не совпадает с площадью распространения межпластовых вод.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Напорность вод характеризуется пьезометрическим уровнем. Высотное положение уровня связано с характером залегания водоносных слоёв. Он может быть выше поверхности земли или ниже ее. В первом случае, выходя через буровые скважины, вода фонтанирует, во втором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поднимается лишь до пьезометрического уровня.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27" w:dyaOrig="1822">
                <v:rect xmlns:o="urn:schemas-microsoft-com:office:office" xmlns:v="urn:schemas-microsoft-com:vml" id="rectole0000000002" style="width:116.350000pt;height:91.1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Рис. 3. - Артезианская вода при моноклинальном залегании слоев: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водоупоры;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водоносный слой;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область питания водой; 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буровая скважина; 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пьезометрический уровень; 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поверхность земли; 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высота (величина) напора воды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996" w:dyaOrig="1195">
                <v:rect xmlns:o="urn:schemas-microsoft-com:office:office" xmlns:v="urn:schemas-microsoft-com:vml" id="rectole0000000003" style="width:149.800000pt;height:59.7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Рис. 4. - Артезианский бассейн (в условиях синклинального залегания слоёв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пород):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водоупор;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водонапорный слой;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буровые скважины; 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область питания водой; 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пьезометрический уровень; 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поверхность земли; 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высота (величина) напора воды</w:t>
            </w:r>
          </w:p>
        </w:tc>
      </w:tr>
    </w:tbl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Многие артезианские бассейны занимают огромные площади, содержат ряд водоносных горизонтов, являются важным источником питьевой и технической воды, обладают большой водообильностью, вода обычно хорошего качества [4 - 9].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10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Гидрогеологические условия района исследований</w:t>
      </w:r>
    </w:p>
    <w:p>
      <w:pPr>
        <w:spacing w:before="0" w:after="0" w:line="276"/>
        <w:ind w:right="0" w:left="10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Изучаемая территория приурочена к южной части Причерноморского артезианского бассейна.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Движение грунтовых вод происходит в направлении от предгорий и Тарханкутского плато к морскому побережью, т. е. от крыльев Альминской синеклизы к ее центральной наиболее погруженной части. В направлении движения грунтовых вод их зеркало перемещается от более древних отложений среднего миоцена к более молодым, до современных включительно.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Питание грунтовых вод происходит, в основном, за счет инфильтрации атмосферных осадков, и только в долинах рек они также подпитываются за счет поверхностного стока.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Глубина залегания грунтовых вод максимальна на участке Новоселовского приподнятого блока, где достигает 100 м, в юго-западном направлении она уменьшается и имеет минимальное значение (0,5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2,0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м) на морском побережье [10].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2.  МЕТОДЫ  ИССЛЕДОВАНИЯ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и сроки проведения исследования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Районом исследования является прилегающая к г. Саки территория.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исследования конец августа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начала сентября 2020 г.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исследуемого участка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Участки с заброшенными скважинами расположены на морской пересыпи, между морем и Сакским солёным озером, а так же в низовье Чеботарской балки, восточнее города.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Полевой: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обследование территории;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фотографирование и сбор материала;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замер дебита скважин;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проб воды на минерализацию.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Камеральный: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полученных материалов;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сопоставление данных 2019 и 2020 годов;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актуализация карта-схемы неиспользуемых скважин питьевой воды.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Полевые  исследования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Полевые исследования проводились в конце засушливого периода года, когда уровень подземных вод наиболее низок и визуально можно охарактеризовать тип воды по степени их изливу. Учитывая климатические условия района, оптимальное время выполнения работ август-сентябрь  2020 года.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координат оголовков скважин проводилось при помощи мобильных приложений в системе координат WGS 84. 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Замер дебита из изливающихся скважин проводился по типовой методике: в ёмкость заранее известного объёма (в нашем случае 5 литровое ведро) набиралась вода из скважины в течение 1 минуты, затем производился подсчёт объёма  набранной  воды.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Определение минерализация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проб воды на анализы производился в чистые 2-х литровые пластиковые бутылки. Определение минерализации выполнялось в лабораторном комплексе ГУНККПР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Крымская ГГРЭС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штатными лаборантами. 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Камеральные исследования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Камеральные исследования заключались в определении типа подземных вод в обнаруженных скважинах при помощи замеренного дебита и расчётной производительности скважины (интенсивности излива).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Карта-схема выполнена в программах SASPlanet и CorelDRAW.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3.  РЕЗУЛЬТАТЫ  ИССЛЕДОВАНИЯ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проведенного нами в 2019 г. обследования территории вблизи г. Саки, на морской пересыпи обнаружены сразу три, расположенные не далеко друг о друга, заброшенные скважины (рис. 7-8), так же установлено наличие заброшенной скважины на восточном берегу Михайловского водоёма в Чеботарской балке.  На этих скважинах в 2020 г. проводились мониторинговые наблюдения за основными параметрами: техническое состояние оголовка, замер дебита и определение минерализации.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Рис. 7,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Схема расположения заброшенных скважин</w:t>
            </w:r>
          </w:p>
        </w:tc>
      </w:tr>
    </w:tbl>
    <w:p>
      <w:pPr>
        <w:spacing w:before="0" w:after="0" w:line="276"/>
        <w:ind w:right="99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Скважина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затампонирована, замеренный в 2019 г. нами дебит был 6 л/мин, что составляет 8,64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По замерам 2020 г. дебит стал 4 л/мин, или 5,76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/сут, что на 2,88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меньше чем в прошлом году.  Вода используется местными жителями для питья, мойки машин и водопоя КРС.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Скважина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затампонирована, замеренный в 2019 г. нами дебит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л/мин, что составляет 4,32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В 2020 г. определить дебит инструментально не представлялось возможным, т.к. излив скважины, происходил очень тоненькими струйками сразу же из нескольких отверстий в оголовке. Суммирование многократных замеров из разных струек позволило определить расчетный дебит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л/мин или 1,44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что на 2,88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меньше чем в прошлом году. Вода используется для водопоя КРС.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Скважина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затампонирована. На момент обследования скважина в 2019 г. не фонтанировала, однако высокий пьезометрический уровень (уровень воды в обсадной колоне был на метр выше поверхности земли) и мокрая почва, свидетельствуют о том, что ещё сравнительно недавно из скважины поступали значительные объёмы воды . В 2020 г. пьезометрический уровень был 0 м (то есть ниже уровня устья), а следов самоизлива не обнаружено.</w:t>
      </w:r>
    </w:p>
    <w:p>
      <w:pPr>
        <w:spacing w:before="0" w:after="0" w:line="276"/>
        <w:ind w:right="99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Скважина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расположенная на восточном берегу Михайловского водоёма,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затампонирована, замеренный в 2019 г. нами дебит был 25 л/мин, что составляет 36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По замерам 2020 г. дебит стал 14 л/мин, или 20,16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/сут, что на 15,84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меньше чем в прошлом году.  Вода используется местными жителями для питья, мойки машин и водопоя КРС.</w:t>
      </w:r>
    </w:p>
    <w:p>
      <w:pPr>
        <w:spacing w:before="0" w:after="0" w:line="276"/>
        <w:ind w:right="99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всех замеров была составлена сравнительная таблица (таблица 1).</w:t>
      </w:r>
    </w:p>
    <w:p>
      <w:pPr>
        <w:spacing w:before="0" w:after="0" w:line="276"/>
        <w:ind w:right="99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1.</w:t>
      </w:r>
    </w:p>
    <w:p>
      <w:pPr>
        <w:spacing w:before="0" w:after="0" w:line="276"/>
        <w:ind w:right="99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 дебита наблюдаемых скважин</w:t>
      </w:r>
    </w:p>
    <w:tbl>
      <w:tblPr/>
      <w:tblGrid>
        <w:gridCol w:w="1970"/>
        <w:gridCol w:w="1971"/>
        <w:gridCol w:w="1971"/>
        <w:gridCol w:w="1971"/>
        <w:gridCol w:w="1971"/>
      </w:tblGrid>
      <w:tr>
        <w:trPr>
          <w:trHeight w:val="1" w:hRule="atLeast"/>
          <w:jc w:val="left"/>
        </w:trPr>
        <w:tc>
          <w:tcPr>
            <w:tcW w:w="1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Дебит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/сут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8,64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4,32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н.о.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1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5,76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1,44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н.о.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20,16</w:t>
            </w:r>
          </w:p>
        </w:tc>
      </w:tr>
      <w:tr>
        <w:trPr>
          <w:trHeight w:val="1" w:hRule="atLeast"/>
          <w:jc w:val="left"/>
        </w:trPr>
        <w:tc>
          <w:tcPr>
            <w:tcW w:w="1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разница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- 2,88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- 2,88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- 15,84</w:t>
            </w:r>
          </w:p>
        </w:tc>
      </w:tr>
    </w:tbl>
    <w:p>
      <w:pPr>
        <w:spacing w:before="0" w:after="0" w:line="276"/>
        <w:ind w:right="99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Фонтанирование обнаруженных нами скважин говорит о том, что они вскрывают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напорные (артезианские)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горизонты подземных вод, которые используется для питьевого водоснабжения. Разный дебит скважин говорит о разной глубине бурения и позволят сделать вывод, что все скважины вскрывают разные напорные (артезианские) горизонты.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Вода из скважин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2 круглые сутки бесконтрольно выливается на прилегающие территории и приводит к ряду экологических проблем: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подтопление прилегающих территорий;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выпас и водопои КРС;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скопление бытового мусора возле скважин.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Вода из скважины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тальвегу балки стекает в Михайловский водоём, тем самым не оказывая негативного влияния на экосистему. Однако бесплатный источник пресной воды притягивает к себе большое количество местных жителей, после посещения, которыми остается много бытового мусора. Так же вода скважины используется для водопоя КРС.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ликвидации выявленных экологических проблем, указанные скважины необходимо затампонировать.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мониторинге обозначенных скважин в 2020 г. были отобраны пробы воды на определение минерализации. Полученные данные сведены в таблицу 2.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воды по уровню минерализации проводилась согласно действующего стандарта МЕСТ 41-05-263-86.</w:t>
      </w:r>
    </w:p>
    <w:p>
      <w:pPr>
        <w:spacing w:before="0" w:after="0" w:line="276"/>
        <w:ind w:right="99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</w:t>
      </w:r>
    </w:p>
    <w:p>
      <w:pPr>
        <w:spacing w:before="0" w:after="0" w:line="276"/>
        <w:ind w:right="99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Минерализация воды из исследуемых скважин в 2020 г.</w:t>
      </w:r>
    </w:p>
    <w:tbl>
      <w:tblPr/>
      <w:tblGrid>
        <w:gridCol w:w="1242"/>
        <w:gridCol w:w="2276"/>
        <w:gridCol w:w="3678"/>
        <w:gridCol w:w="2658"/>
      </w:tblGrid>
      <w:tr>
        <w:trPr>
          <w:trHeight w:val="1" w:hRule="atLeast"/>
          <w:jc w:val="left"/>
        </w:trPr>
        <w:tc>
          <w:tcPr>
            <w:tcW w:w="12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скв.</w:t>
            </w:r>
          </w:p>
        </w:tc>
        <w:tc>
          <w:tcPr>
            <w:tcW w:w="2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Минерализация, г/дм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6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 вод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подгруппа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группа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0,76</w:t>
            </w:r>
          </w:p>
        </w:tc>
        <w:tc>
          <w:tcPr>
            <w:tcW w:w="3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очень пресные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пресные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1,26</w:t>
            </w:r>
          </w:p>
        </w:tc>
        <w:tc>
          <w:tcPr>
            <w:tcW w:w="3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очень слабосолоноватые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солоноватые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0,68</w:t>
            </w:r>
          </w:p>
        </w:tc>
        <w:tc>
          <w:tcPr>
            <w:tcW w:w="3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очень пресное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пресное</w:t>
            </w:r>
          </w:p>
        </w:tc>
      </w:tr>
    </w:tbl>
    <w:p>
      <w:pPr>
        <w:spacing w:before="0" w:after="0" w:line="276"/>
        <w:ind w:right="9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9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</w:t>
      </w:r>
    </w:p>
    <w:p>
      <w:pPr>
        <w:spacing w:before="0" w:after="0" w:line="276"/>
        <w:ind w:right="99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результатам проведенного мониторинга общий дебит обнаруженных нами скважин в 2019 г. составлял 48,96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/сут, а в 2020 г. уже 27,36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 Следовательно, за  один год общий дебит снизился на 21,6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/сут.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Бесконтрольное круглосуточное поступление воды из скважин приводит к ряду экологических проблем 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истощению водоносных горизонтов.</w:t>
      </w:r>
    </w:p>
    <w:p>
      <w:pPr>
        <w:spacing w:before="0" w:after="0" w:line="276"/>
        <w:ind w:right="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затампонировать, а после провести детальное физико-химическое и санитарно-микробиологическое обследование на предмет возможного использования воды для питьевого или хозяйственного водоснабжения.</w:t>
      </w:r>
    </w:p>
    <w:p>
      <w:pPr>
        <w:spacing w:before="0" w:after="0" w:line="276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ИСПОЛЬЗОВАННОЙ ЛИТЕРАТУРЫ 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ИНТЕРНЕТ-РЕСУРСОВ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новостей Яндекс. Режим доступа: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https://zen.yandex.ru/media/ourcrimea/v-krymu-deficit-presnoi-vody-5c7256c019e41a00b37a5830</w:t>
        </w:r>
      </w:hyperlink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РИА новости. Режим доступа: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https://crimea.ria.ru/vesna2019/20190307/1116193006.html</w:t>
        </w:r>
      </w:hyperlink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ТАСС. Режим доступа: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https://tass.ru/obschestvo/5509837</w:t>
        </w:r>
      </w:hyperlink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Ананьев В.П., Коробкин В.И. Инженерная геология.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Высшая школа, 1973.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Ананьев В.П. Инженерная геология.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Высшая школа, 2017.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Всеволожский В.А. Основы гидрогеологии.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Изд-во МГУ, 1991.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Потапов А.Д., Ревелис И.Л. Инженерно-геологические понятия и термины.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Изд-во МГСУ, 1992.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Сергеев Е.М., Приклонский В.А., Панюков П.И., Белый Л.Д. Общая инженерно-геологическая классификация горных пород и почв.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Труды совещания по инженерно-геологическим свойствам и методам их изучения. Т.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МГУ, 1957.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СНиП 2.01.15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Инженерная защита территорий от опасных геологических процессов. Основные положения проектирования.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М., 1991.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Никипелова О.М. Оценка современного состояния природных лечебных грязей и минеральных вод курорта Саки АР Крым. УкрНИИ МР и К, Одесса, 2003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Крыминформ. Режим доступа: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http://www.c-inform.info/news/id/11823</w:t>
        </w:r>
      </w:hyperlink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1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Mode="External" Target="https://tass.ru/obschestvo/5509837" Id="docRId10" Type="http://schemas.openxmlformats.org/officeDocument/2006/relationships/hyperlink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Mode="External" Target="http://www.c-inform.info/news/id/11823" Id="docRId11" Type="http://schemas.openxmlformats.org/officeDocument/2006/relationships/hyperlink" /><Relationship Target="media/image2.wmf" Id="docRId5" Type="http://schemas.openxmlformats.org/officeDocument/2006/relationships/image" /><Relationship TargetMode="External" Target="https://crimea.ria.ru/vesna2019/20190307/1116193006.html" Id="docRId9" Type="http://schemas.openxmlformats.org/officeDocument/2006/relationships/hyperlink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Mode="External" Target="https://zen.yandex.ru/media/ourcrimea/v-krymu-deficit-presnoi-vody-5c7256c019e41a00b37a5830" Id="docRId8" Type="http://schemas.openxmlformats.org/officeDocument/2006/relationships/hyperlink" /></Relationships>
</file>