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0A30" w14:textId="14B46186" w:rsidR="0010416D" w:rsidRPr="0010416D" w:rsidRDefault="0010416D" w:rsidP="0010416D">
      <w:pPr>
        <w:ind w:firstLine="709"/>
        <w:jc w:val="both"/>
        <w:rPr>
          <w:rFonts w:ascii="Times New Roman" w:hAnsi="Times New Roman" w:cs="Times New Roman"/>
          <w:b/>
          <w:bCs/>
          <w:sz w:val="28"/>
          <w:szCs w:val="28"/>
          <w:lang w:val="ru-RU"/>
        </w:rPr>
      </w:pPr>
      <w:r w:rsidRPr="00F8434D">
        <w:rPr>
          <w:rFonts w:ascii="Times New Roman" w:hAnsi="Times New Roman" w:cs="Times New Roman"/>
          <w:b/>
          <w:bCs/>
          <w:sz w:val="28"/>
          <w:szCs w:val="28"/>
        </w:rPr>
        <w:t>Анализ</w:t>
      </w:r>
      <w:r>
        <w:rPr>
          <w:rFonts w:ascii="Times New Roman" w:hAnsi="Times New Roman" w:cs="Times New Roman"/>
          <w:b/>
          <w:bCs/>
          <w:sz w:val="28"/>
          <w:szCs w:val="28"/>
          <w:lang w:val="ru-RU"/>
        </w:rPr>
        <w:t xml:space="preserve"> </w:t>
      </w:r>
      <w:r w:rsidRPr="00FF3B7A">
        <w:rPr>
          <w:rFonts w:ascii="Times New Roman" w:hAnsi="Times New Roman" w:cs="Times New Roman"/>
          <w:b/>
          <w:bCs/>
          <w:sz w:val="28"/>
          <w:szCs w:val="28"/>
        </w:rPr>
        <w:t>пяти сил Портера</w:t>
      </w:r>
      <w:r>
        <w:rPr>
          <w:rFonts w:ascii="Times New Roman" w:hAnsi="Times New Roman" w:cs="Times New Roman"/>
          <w:b/>
          <w:bCs/>
          <w:sz w:val="28"/>
          <w:szCs w:val="28"/>
          <w:lang w:val="ru-RU"/>
        </w:rPr>
        <w:t xml:space="preserve"> на примете ГОЛХУ «</w:t>
      </w:r>
      <w:proofErr w:type="spellStart"/>
      <w:r>
        <w:rPr>
          <w:rFonts w:ascii="Times New Roman" w:hAnsi="Times New Roman" w:cs="Times New Roman"/>
          <w:b/>
          <w:bCs/>
          <w:sz w:val="28"/>
          <w:szCs w:val="28"/>
          <w:lang w:val="ru-RU"/>
        </w:rPr>
        <w:t>Осиповичский</w:t>
      </w:r>
      <w:proofErr w:type="spellEnd"/>
      <w:r>
        <w:rPr>
          <w:rFonts w:ascii="Times New Roman" w:hAnsi="Times New Roman" w:cs="Times New Roman"/>
          <w:b/>
          <w:bCs/>
          <w:sz w:val="28"/>
          <w:szCs w:val="28"/>
          <w:lang w:val="ru-RU"/>
        </w:rPr>
        <w:t xml:space="preserve"> опытный лесхоз»</w:t>
      </w:r>
    </w:p>
    <w:p w14:paraId="4B60A8EF" w14:textId="77777777" w:rsidR="0010416D" w:rsidRPr="005E40CB" w:rsidRDefault="0010416D" w:rsidP="0010416D">
      <w:pPr>
        <w:ind w:firstLine="709"/>
        <w:jc w:val="both"/>
        <w:rPr>
          <w:rFonts w:ascii="Times New Roman" w:hAnsi="Times New Roman" w:cs="Times New Roman"/>
          <w:b/>
          <w:bCs/>
          <w:sz w:val="28"/>
          <w:szCs w:val="28"/>
        </w:rPr>
      </w:pPr>
    </w:p>
    <w:p w14:paraId="563DACF8" w14:textId="77777777" w:rsidR="0010416D" w:rsidRDefault="0010416D" w:rsidP="0010416D">
      <w:pPr>
        <w:ind w:firstLine="709"/>
        <w:jc w:val="both"/>
        <w:rPr>
          <w:rFonts w:ascii="Times New Roman" w:hAnsi="Times New Roman" w:cs="Times New Roman"/>
          <w:sz w:val="28"/>
        </w:rPr>
      </w:pPr>
      <w:r>
        <w:rPr>
          <w:rFonts w:ascii="Times New Roman" w:hAnsi="Times New Roman" w:cs="Times New Roman"/>
          <w:sz w:val="28"/>
        </w:rPr>
        <w:t xml:space="preserve">После </w:t>
      </w:r>
      <w:r>
        <w:rPr>
          <w:rFonts w:ascii="Times New Roman" w:hAnsi="Times New Roman" w:cs="Times New Roman"/>
          <w:sz w:val="28"/>
          <w:lang w:val="en-US"/>
        </w:rPr>
        <w:t>PEST</w:t>
      </w:r>
      <w:r>
        <w:rPr>
          <w:rFonts w:ascii="Times New Roman" w:hAnsi="Times New Roman" w:cs="Times New Roman"/>
          <w:sz w:val="28"/>
        </w:rPr>
        <w:t>-анализа необходимо провести конкурентный анализ отрасли по Майклу Портеру.</w:t>
      </w:r>
    </w:p>
    <w:p w14:paraId="17217F43" w14:textId="77777777" w:rsidR="0010416D" w:rsidRPr="00EA6379" w:rsidRDefault="0010416D" w:rsidP="0010416D">
      <w:pPr>
        <w:ind w:firstLine="709"/>
        <w:jc w:val="both"/>
        <w:rPr>
          <w:rFonts w:ascii="Times New Roman" w:hAnsi="Times New Roman" w:cs="Times New Roman"/>
          <w:sz w:val="28"/>
        </w:rPr>
      </w:pPr>
      <w:r w:rsidRPr="00E35A05">
        <w:rPr>
          <w:rFonts w:ascii="Times New Roman" w:hAnsi="Times New Roman" w:cs="Times New Roman"/>
          <w:sz w:val="28"/>
        </w:rPr>
        <w:t>Анализ пяти сил Портера — методика для анализа отраслей и выработки стратегии бизнеса. Чтобы выбрать желаемую конкурентную позицию в бизнесе, прежде всего, нужно начать с оценки отрасли, к которой он принадлежит. Для выполнения этой задачи, мы должны понять фундаментальные факторы, определяющие прибыльность отрасли в долгосрочной перспективе, потому что именно прибыльность является наиболее важным показателям привлекательности отрасли.</w:t>
      </w:r>
    </w:p>
    <w:p w14:paraId="7B1BE6A8" w14:textId="77777777" w:rsidR="0010416D" w:rsidRDefault="0010416D" w:rsidP="0010416D">
      <w:pPr>
        <w:jc w:val="both"/>
        <w:rPr>
          <w:rFonts w:ascii="Times New Roman" w:hAnsi="Times New Roman" w:cs="Times New Roman"/>
          <w:sz w:val="28"/>
          <w:szCs w:val="28"/>
        </w:rPr>
      </w:pPr>
      <w:r>
        <w:rPr>
          <w:rFonts w:ascii="Times New Roman" w:hAnsi="Times New Roman" w:cs="Times New Roman"/>
          <w:sz w:val="28"/>
          <w:szCs w:val="28"/>
        </w:rPr>
        <w:tab/>
        <w:t xml:space="preserve">Имеющиеся конкуренты. </w:t>
      </w:r>
      <w:r w:rsidRPr="00E853D2">
        <w:rPr>
          <w:rFonts w:ascii="Times New Roman" w:hAnsi="Times New Roman" w:cs="Times New Roman"/>
          <w:sz w:val="28"/>
          <w:szCs w:val="28"/>
        </w:rPr>
        <w:t>Новые конкуренты могут быть угрозой, но существует также постоянная угроза существующей конкуренции. В зависимости от вашего положения на рынке и восприятия клиентов может существовать высокий уровень конкуренции между вашими продуктами и продуктами ваших конкурентов.</w:t>
      </w:r>
    </w:p>
    <w:p w14:paraId="786CB982" w14:textId="77777777" w:rsidR="0010416D" w:rsidRDefault="0010416D" w:rsidP="0010416D">
      <w:pPr>
        <w:jc w:val="both"/>
        <w:rPr>
          <w:rFonts w:ascii="Times New Roman" w:hAnsi="Times New Roman" w:cs="Times New Roman"/>
          <w:sz w:val="28"/>
          <w:szCs w:val="28"/>
        </w:rPr>
      </w:pPr>
      <w:r>
        <w:rPr>
          <w:rFonts w:ascii="Times New Roman" w:hAnsi="Times New Roman" w:cs="Times New Roman"/>
          <w:sz w:val="28"/>
          <w:szCs w:val="28"/>
        </w:rPr>
        <w:tab/>
        <w:t xml:space="preserve">Угроза появления новых игроков. </w:t>
      </w:r>
      <w:r w:rsidRPr="00CA48BB">
        <w:rPr>
          <w:rFonts w:ascii="Times New Roman" w:hAnsi="Times New Roman" w:cs="Times New Roman"/>
          <w:sz w:val="28"/>
          <w:szCs w:val="28"/>
        </w:rPr>
        <w:t>Прибыльные рынки, приносящие высокую доходность, будут привлекать новых</w:t>
      </w:r>
      <w:r>
        <w:rPr>
          <w:rFonts w:ascii="Times New Roman" w:hAnsi="Times New Roman" w:cs="Times New Roman"/>
          <w:sz w:val="28"/>
          <w:szCs w:val="28"/>
        </w:rPr>
        <w:t xml:space="preserve"> </w:t>
      </w:r>
      <w:r w:rsidRPr="00CA48BB">
        <w:rPr>
          <w:rFonts w:ascii="Times New Roman" w:hAnsi="Times New Roman" w:cs="Times New Roman"/>
          <w:sz w:val="28"/>
          <w:szCs w:val="28"/>
        </w:rPr>
        <w:t>фирмы. В результате появляется много новых участников, которые в конечном итоге</w:t>
      </w:r>
      <w:r>
        <w:rPr>
          <w:rFonts w:ascii="Times New Roman" w:hAnsi="Times New Roman" w:cs="Times New Roman"/>
          <w:sz w:val="28"/>
          <w:szCs w:val="28"/>
        </w:rPr>
        <w:t xml:space="preserve"> </w:t>
      </w:r>
      <w:r w:rsidRPr="00CA48BB">
        <w:rPr>
          <w:rFonts w:ascii="Times New Roman" w:hAnsi="Times New Roman" w:cs="Times New Roman"/>
          <w:sz w:val="28"/>
          <w:szCs w:val="28"/>
        </w:rPr>
        <w:t>снизит прибыльность всех фирм в отрасли. Если только действующие игроки не заблокируют вход новых фирм</w:t>
      </w:r>
      <w:r>
        <w:rPr>
          <w:rFonts w:ascii="Times New Roman" w:hAnsi="Times New Roman" w:cs="Times New Roman"/>
          <w:sz w:val="28"/>
          <w:szCs w:val="28"/>
        </w:rPr>
        <w:t>.</w:t>
      </w:r>
    </w:p>
    <w:p w14:paraId="7E15A171" w14:textId="77777777" w:rsidR="0010416D" w:rsidRPr="00E853D2" w:rsidRDefault="0010416D" w:rsidP="0010416D">
      <w:pPr>
        <w:jc w:val="both"/>
        <w:rPr>
          <w:rFonts w:ascii="Times New Roman" w:hAnsi="Times New Roman" w:cs="Times New Roman"/>
          <w:sz w:val="28"/>
          <w:szCs w:val="28"/>
        </w:rPr>
      </w:pPr>
      <w:r>
        <w:rPr>
          <w:rFonts w:ascii="Times New Roman" w:hAnsi="Times New Roman" w:cs="Times New Roman"/>
          <w:sz w:val="28"/>
          <w:szCs w:val="28"/>
        </w:rPr>
        <w:tab/>
        <w:t xml:space="preserve">Угроза появления товаров-заменителей. </w:t>
      </w:r>
      <w:r w:rsidRPr="00CA48BB">
        <w:rPr>
          <w:rFonts w:ascii="Times New Roman" w:hAnsi="Times New Roman" w:cs="Times New Roman"/>
          <w:sz w:val="28"/>
          <w:szCs w:val="28"/>
        </w:rPr>
        <w:t xml:space="preserve">Существование продуктов за пределами общих границ продуктов увеличивает склонность клиентов переключаться на альтернативы. </w:t>
      </w:r>
    </w:p>
    <w:p w14:paraId="3A59653B" w14:textId="128D62E0" w:rsidR="0010416D" w:rsidRDefault="0010416D" w:rsidP="0010416D">
      <w:pPr>
        <w:jc w:val="both"/>
        <w:rPr>
          <w:rFonts w:ascii="Times New Roman" w:hAnsi="Times New Roman" w:cs="Times New Roman"/>
          <w:sz w:val="28"/>
          <w:szCs w:val="28"/>
        </w:rPr>
      </w:pPr>
      <w:r>
        <w:rPr>
          <w:rFonts w:ascii="Times New Roman" w:hAnsi="Times New Roman" w:cs="Times New Roman"/>
          <w:sz w:val="28"/>
          <w:szCs w:val="28"/>
        </w:rPr>
        <w:tab/>
        <w:t xml:space="preserve">Власть поставщиков. Сила поставщиков на рынке является рынком ресурсов для предприятий. </w:t>
      </w:r>
      <w:r w:rsidRPr="00CA48BB">
        <w:rPr>
          <w:rFonts w:ascii="Times New Roman" w:hAnsi="Times New Roman" w:cs="Times New Roman"/>
          <w:sz w:val="28"/>
          <w:szCs w:val="28"/>
        </w:rPr>
        <w:t>Поставщики могут отказаться работать с</w:t>
      </w:r>
      <w:r>
        <w:rPr>
          <w:rFonts w:ascii="Times New Roman" w:hAnsi="Times New Roman" w:cs="Times New Roman"/>
          <w:sz w:val="28"/>
          <w:szCs w:val="28"/>
        </w:rPr>
        <w:t xml:space="preserve"> предприятием</w:t>
      </w:r>
      <w:r w:rsidRPr="00CA48BB">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CA48BB">
        <w:rPr>
          <w:rFonts w:ascii="Times New Roman" w:hAnsi="Times New Roman" w:cs="Times New Roman"/>
          <w:sz w:val="28"/>
          <w:szCs w:val="28"/>
        </w:rPr>
        <w:t>взимать чрезмерно высокие цены на ресурсы.</w:t>
      </w:r>
    </w:p>
    <w:p w14:paraId="792F6F0D" w14:textId="77777777" w:rsidR="0010416D" w:rsidRPr="00EA6379" w:rsidRDefault="0010416D" w:rsidP="0010416D">
      <w:pPr>
        <w:jc w:val="both"/>
        <w:rPr>
          <w:rFonts w:ascii="Times New Roman" w:hAnsi="Times New Roman" w:cs="Times New Roman"/>
          <w:sz w:val="28"/>
          <w:szCs w:val="28"/>
        </w:rPr>
      </w:pPr>
      <w:r>
        <w:rPr>
          <w:rFonts w:ascii="Times New Roman" w:hAnsi="Times New Roman" w:cs="Times New Roman"/>
          <w:sz w:val="28"/>
          <w:szCs w:val="28"/>
        </w:rPr>
        <w:tab/>
        <w:t xml:space="preserve">Власть потребителей. </w:t>
      </w:r>
      <w:r w:rsidRPr="00CA48BB">
        <w:rPr>
          <w:rFonts w:ascii="Times New Roman" w:hAnsi="Times New Roman" w:cs="Times New Roman"/>
          <w:sz w:val="28"/>
          <w:szCs w:val="28"/>
        </w:rPr>
        <w:t xml:space="preserve">Сила </w:t>
      </w:r>
      <w:r>
        <w:rPr>
          <w:rFonts w:ascii="Times New Roman" w:hAnsi="Times New Roman" w:cs="Times New Roman"/>
          <w:sz w:val="28"/>
          <w:szCs w:val="28"/>
        </w:rPr>
        <w:t xml:space="preserve">потребителей </w:t>
      </w:r>
      <w:r w:rsidRPr="00CA48BB">
        <w:rPr>
          <w:rFonts w:ascii="Times New Roman" w:hAnsi="Times New Roman" w:cs="Times New Roman"/>
          <w:sz w:val="28"/>
          <w:szCs w:val="28"/>
        </w:rPr>
        <w:t>также описывается как</w:t>
      </w:r>
      <w:r>
        <w:rPr>
          <w:rFonts w:ascii="Times New Roman" w:hAnsi="Times New Roman" w:cs="Times New Roman"/>
          <w:sz w:val="28"/>
          <w:szCs w:val="28"/>
        </w:rPr>
        <w:t xml:space="preserve"> </w:t>
      </w:r>
      <w:r w:rsidRPr="00CA48BB">
        <w:rPr>
          <w:rFonts w:ascii="Times New Roman" w:hAnsi="Times New Roman" w:cs="Times New Roman"/>
          <w:sz w:val="28"/>
          <w:szCs w:val="28"/>
        </w:rPr>
        <w:t>рынок продукции: способность клиентов поставить</w:t>
      </w:r>
      <w:r>
        <w:rPr>
          <w:rFonts w:ascii="Times New Roman" w:hAnsi="Times New Roman" w:cs="Times New Roman"/>
          <w:sz w:val="28"/>
          <w:szCs w:val="28"/>
        </w:rPr>
        <w:t xml:space="preserve"> предприятие под</w:t>
      </w:r>
      <w:r w:rsidRPr="00CA48BB">
        <w:rPr>
          <w:rFonts w:ascii="Times New Roman" w:hAnsi="Times New Roman" w:cs="Times New Roman"/>
          <w:sz w:val="28"/>
          <w:szCs w:val="28"/>
        </w:rPr>
        <w:t xml:space="preserve"> давлением, что </w:t>
      </w:r>
      <w:r>
        <w:rPr>
          <w:rFonts w:ascii="Times New Roman" w:hAnsi="Times New Roman" w:cs="Times New Roman"/>
          <w:sz w:val="28"/>
          <w:szCs w:val="28"/>
        </w:rPr>
        <w:t>может привести к изменению цен на продукцию</w:t>
      </w:r>
      <w:r w:rsidRPr="00CA48BB">
        <w:rPr>
          <w:rFonts w:ascii="Times New Roman" w:hAnsi="Times New Roman" w:cs="Times New Roman"/>
          <w:sz w:val="28"/>
          <w:szCs w:val="28"/>
        </w:rPr>
        <w:t xml:space="preserve">. </w:t>
      </w:r>
      <w:r>
        <w:rPr>
          <w:rFonts w:ascii="Times New Roman" w:hAnsi="Times New Roman" w:cs="Times New Roman"/>
          <w:sz w:val="28"/>
          <w:szCs w:val="28"/>
        </w:rPr>
        <w:t xml:space="preserve">Предприятия </w:t>
      </w:r>
      <w:r w:rsidRPr="00CA48BB">
        <w:rPr>
          <w:rFonts w:ascii="Times New Roman" w:hAnsi="Times New Roman" w:cs="Times New Roman"/>
          <w:sz w:val="28"/>
          <w:szCs w:val="28"/>
        </w:rPr>
        <w:t xml:space="preserve">могут принимать </w:t>
      </w:r>
      <w:r>
        <w:rPr>
          <w:rFonts w:ascii="Times New Roman" w:hAnsi="Times New Roman" w:cs="Times New Roman"/>
          <w:sz w:val="28"/>
          <w:szCs w:val="28"/>
        </w:rPr>
        <w:t>к уменьшению власти потребителя,</w:t>
      </w:r>
      <w:r w:rsidRPr="00CA48BB">
        <w:rPr>
          <w:rFonts w:ascii="Times New Roman" w:hAnsi="Times New Roman" w:cs="Times New Roman"/>
          <w:sz w:val="28"/>
          <w:szCs w:val="28"/>
        </w:rPr>
        <w:t xml:space="preserve"> например, реализация программы лояльности.</w:t>
      </w:r>
      <w:r>
        <w:rPr>
          <w:rFonts w:ascii="Times New Roman" w:hAnsi="Times New Roman" w:cs="Times New Roman"/>
          <w:sz w:val="28"/>
          <w:szCs w:val="28"/>
        </w:rPr>
        <w:t xml:space="preserve"> </w:t>
      </w:r>
    </w:p>
    <w:p w14:paraId="2BC43EF5" w14:textId="77777777" w:rsidR="0010416D" w:rsidRDefault="0010416D" w:rsidP="0010416D">
      <w:pPr>
        <w:ind w:firstLine="709"/>
        <w:jc w:val="both"/>
        <w:rPr>
          <w:rFonts w:ascii="Times New Roman" w:hAnsi="Times New Roman" w:cs="Times New Roman"/>
          <w:sz w:val="28"/>
        </w:rPr>
      </w:pPr>
      <w:r>
        <w:rPr>
          <w:rFonts w:ascii="Times New Roman" w:hAnsi="Times New Roman" w:cs="Times New Roman"/>
          <w:sz w:val="28"/>
        </w:rPr>
        <w:t xml:space="preserve">Анализ </w:t>
      </w:r>
      <w:r>
        <w:rPr>
          <w:rFonts w:ascii="Times New Roman" w:eastAsia="Times New Roman" w:hAnsi="Times New Roman" w:cs="Times New Roman"/>
          <w:sz w:val="28"/>
          <w:szCs w:val="28"/>
          <w:lang w:val="ru-RU" w:eastAsia="ru-RU"/>
        </w:rPr>
        <w:t>ГОЛХУ «</w:t>
      </w:r>
      <w:proofErr w:type="spellStart"/>
      <w:r>
        <w:rPr>
          <w:rFonts w:ascii="Times New Roman" w:eastAsia="Times New Roman" w:hAnsi="Times New Roman" w:cs="Times New Roman"/>
          <w:sz w:val="28"/>
          <w:szCs w:val="28"/>
          <w:lang w:val="ru-RU" w:eastAsia="ru-RU"/>
        </w:rPr>
        <w:t>Осиповичский</w:t>
      </w:r>
      <w:proofErr w:type="spellEnd"/>
      <w:r>
        <w:rPr>
          <w:rFonts w:ascii="Times New Roman" w:eastAsia="Times New Roman" w:hAnsi="Times New Roman" w:cs="Times New Roman"/>
          <w:sz w:val="28"/>
          <w:szCs w:val="28"/>
          <w:lang w:val="ru-RU" w:eastAsia="ru-RU"/>
        </w:rPr>
        <w:t xml:space="preserve"> опытный лесхоз» </w:t>
      </w:r>
      <w:r>
        <w:rPr>
          <w:rFonts w:ascii="Times New Roman" w:hAnsi="Times New Roman" w:cs="Times New Roman"/>
          <w:sz w:val="28"/>
        </w:rPr>
        <w:t>по пяти силам Портера представлен в таблице 2.</w:t>
      </w:r>
      <w:r>
        <w:rPr>
          <w:rFonts w:ascii="Times New Roman" w:hAnsi="Times New Roman" w:cs="Times New Roman"/>
          <w:sz w:val="28"/>
          <w:lang w:val="ru-RU"/>
        </w:rPr>
        <w:t>2</w:t>
      </w:r>
      <w:r>
        <w:rPr>
          <w:rFonts w:ascii="Times New Roman" w:hAnsi="Times New Roman" w:cs="Times New Roman"/>
          <w:sz w:val="28"/>
        </w:rPr>
        <w:t>.</w:t>
      </w:r>
    </w:p>
    <w:p w14:paraId="22B012F3" w14:textId="77777777" w:rsidR="0010416D" w:rsidRPr="00F36D40" w:rsidRDefault="0010416D" w:rsidP="0010416D">
      <w:pPr>
        <w:spacing w:before="240"/>
        <w:rPr>
          <w:rFonts w:ascii="Times New Roman" w:eastAsiaTheme="majorEastAsia" w:hAnsi="Times New Roman" w:cs="Times New Roman"/>
          <w:sz w:val="28"/>
          <w:szCs w:val="28"/>
          <w:lang w:val="ru-RU" w:eastAsia="ru-RU"/>
        </w:rPr>
      </w:pPr>
      <w:r>
        <w:rPr>
          <w:rFonts w:ascii="Times New Roman" w:eastAsia="Times New Roman" w:hAnsi="Times New Roman" w:cs="Times New Roman"/>
          <w:sz w:val="28"/>
          <w:szCs w:val="28"/>
          <w:lang w:eastAsia="ru-RU"/>
        </w:rPr>
        <w:t>Таблица 2.</w:t>
      </w:r>
      <w:r>
        <w:rPr>
          <w:rFonts w:ascii="Times New Roman" w:eastAsia="Times New Roman" w:hAnsi="Times New Roman" w:cs="Times New Roman"/>
          <w:sz w:val="28"/>
          <w:szCs w:val="28"/>
          <w:lang w:val="ru-RU" w:eastAsia="ru-RU"/>
        </w:rPr>
        <w:t>2</w:t>
      </w:r>
      <w:r w:rsidRPr="007258F5">
        <w:rPr>
          <w:rFonts w:ascii="Times New Roman" w:eastAsia="Times New Roman" w:hAnsi="Times New Roman" w:cs="Times New Roman"/>
          <w:sz w:val="28"/>
          <w:szCs w:val="28"/>
          <w:lang w:eastAsia="ru-RU"/>
        </w:rPr>
        <w:t xml:space="preserve"> – 5 сил Портера </w:t>
      </w:r>
      <w:r>
        <w:rPr>
          <w:rFonts w:ascii="Times New Roman" w:eastAsia="Times New Roman" w:hAnsi="Times New Roman" w:cs="Times New Roman"/>
          <w:sz w:val="28"/>
          <w:szCs w:val="28"/>
          <w:lang w:val="ru-RU" w:eastAsia="ru-RU"/>
        </w:rPr>
        <w:t>для ГОЛХУ «</w:t>
      </w:r>
      <w:proofErr w:type="spellStart"/>
      <w:r>
        <w:rPr>
          <w:rFonts w:ascii="Times New Roman" w:eastAsia="Times New Roman" w:hAnsi="Times New Roman" w:cs="Times New Roman"/>
          <w:sz w:val="28"/>
          <w:szCs w:val="28"/>
          <w:lang w:val="ru-RU" w:eastAsia="ru-RU"/>
        </w:rPr>
        <w:t>Осиповичский</w:t>
      </w:r>
      <w:proofErr w:type="spellEnd"/>
      <w:r>
        <w:rPr>
          <w:rFonts w:ascii="Times New Roman" w:eastAsia="Times New Roman" w:hAnsi="Times New Roman" w:cs="Times New Roman"/>
          <w:sz w:val="28"/>
          <w:szCs w:val="28"/>
          <w:lang w:val="ru-RU" w:eastAsia="ru-RU"/>
        </w:rPr>
        <w:t xml:space="preserve"> опытный лесхоз» </w:t>
      </w:r>
    </w:p>
    <w:tbl>
      <w:tblPr>
        <w:tblStyle w:val="a3"/>
        <w:tblW w:w="0" w:type="auto"/>
        <w:tblLook w:val="04A0" w:firstRow="1" w:lastRow="0" w:firstColumn="1" w:lastColumn="0" w:noHBand="0" w:noVBand="1"/>
      </w:tblPr>
      <w:tblGrid>
        <w:gridCol w:w="7204"/>
        <w:gridCol w:w="1812"/>
      </w:tblGrid>
      <w:tr w:rsidR="0010416D" w:rsidRPr="00110516" w14:paraId="5DFE2346" w14:textId="77777777" w:rsidTr="00022905">
        <w:tc>
          <w:tcPr>
            <w:tcW w:w="8169" w:type="dxa"/>
          </w:tcPr>
          <w:p w14:paraId="57D3B4DD"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Наименование детерминант</w:t>
            </w:r>
          </w:p>
        </w:tc>
        <w:tc>
          <w:tcPr>
            <w:tcW w:w="1969" w:type="dxa"/>
          </w:tcPr>
          <w:p w14:paraId="6FCE7227"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 xml:space="preserve">Оценка </w:t>
            </w:r>
          </w:p>
        </w:tc>
      </w:tr>
      <w:tr w:rsidR="0010416D" w:rsidRPr="00110516" w14:paraId="1F95BB76" w14:textId="77777777" w:rsidTr="00022905">
        <w:tc>
          <w:tcPr>
            <w:tcW w:w="8169" w:type="dxa"/>
          </w:tcPr>
          <w:p w14:paraId="799C1DDA" w14:textId="77777777" w:rsidR="0010416D" w:rsidRPr="00110516" w:rsidRDefault="0010416D" w:rsidP="00022905">
            <w:pPr>
              <w:jc w:val="center"/>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Рыночная власть поставщиков</w:t>
            </w:r>
          </w:p>
        </w:tc>
        <w:tc>
          <w:tcPr>
            <w:tcW w:w="1969" w:type="dxa"/>
          </w:tcPr>
          <w:p w14:paraId="753223D6" w14:textId="77777777" w:rsidR="0010416D" w:rsidRPr="00110516" w:rsidRDefault="0010416D" w:rsidP="00022905">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5</w:t>
            </w:r>
          </w:p>
        </w:tc>
      </w:tr>
      <w:tr w:rsidR="0010416D" w:rsidRPr="00110516" w14:paraId="0D2B3DB9" w14:textId="77777777" w:rsidTr="00022905">
        <w:tc>
          <w:tcPr>
            <w:tcW w:w="8169" w:type="dxa"/>
          </w:tcPr>
          <w:p w14:paraId="4E4554F0"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Количество поставщиков</w:t>
            </w:r>
          </w:p>
        </w:tc>
        <w:tc>
          <w:tcPr>
            <w:tcW w:w="1969" w:type="dxa"/>
          </w:tcPr>
          <w:p w14:paraId="54D8686F"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2</w:t>
            </w:r>
          </w:p>
        </w:tc>
      </w:tr>
      <w:tr w:rsidR="0010416D" w:rsidRPr="00110516" w14:paraId="70416EFB" w14:textId="77777777" w:rsidTr="00022905">
        <w:tc>
          <w:tcPr>
            <w:tcW w:w="8169" w:type="dxa"/>
          </w:tcPr>
          <w:p w14:paraId="4EEB9C0D"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Издержки переключения</w:t>
            </w:r>
          </w:p>
        </w:tc>
        <w:tc>
          <w:tcPr>
            <w:tcW w:w="1969" w:type="dxa"/>
          </w:tcPr>
          <w:p w14:paraId="3FCE8141"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1</w:t>
            </w:r>
          </w:p>
        </w:tc>
      </w:tr>
      <w:tr w:rsidR="0010416D" w:rsidRPr="00110516" w14:paraId="254B22F0" w14:textId="77777777" w:rsidTr="00022905">
        <w:tc>
          <w:tcPr>
            <w:tcW w:w="8169" w:type="dxa"/>
            <w:tcBorders>
              <w:bottom w:val="single" w:sz="4" w:space="0" w:color="auto"/>
            </w:tcBorders>
          </w:tcPr>
          <w:p w14:paraId="194B8142" w14:textId="77777777" w:rsidR="0010416D" w:rsidRPr="00110516" w:rsidRDefault="0010416D" w:rsidP="00022905">
            <w:pPr>
              <w:jc w:val="both"/>
              <w:rPr>
                <w:rFonts w:ascii="Times New Roman" w:eastAsiaTheme="majorEastAsia" w:hAnsi="Times New Roman" w:cs="Times New Roman"/>
                <w:sz w:val="28"/>
                <w:szCs w:val="28"/>
              </w:rPr>
            </w:pPr>
            <w:r w:rsidRPr="001F5284">
              <w:rPr>
                <w:rFonts w:ascii="Times New Roman" w:eastAsiaTheme="majorEastAsia" w:hAnsi="Times New Roman" w:cs="Times New Roman"/>
                <w:sz w:val="28"/>
                <w:szCs w:val="28"/>
              </w:rPr>
              <w:t>Приоритетность направления для поставщика</w:t>
            </w:r>
          </w:p>
        </w:tc>
        <w:tc>
          <w:tcPr>
            <w:tcW w:w="1969" w:type="dxa"/>
            <w:tcBorders>
              <w:bottom w:val="single" w:sz="4" w:space="0" w:color="auto"/>
            </w:tcBorders>
          </w:tcPr>
          <w:p w14:paraId="00AA6E03"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1</w:t>
            </w:r>
          </w:p>
        </w:tc>
      </w:tr>
      <w:tr w:rsidR="0010416D" w:rsidRPr="00110516" w14:paraId="3088EFC8" w14:textId="77777777" w:rsidTr="00022905">
        <w:tc>
          <w:tcPr>
            <w:tcW w:w="8169" w:type="dxa"/>
            <w:tcBorders>
              <w:top w:val="single" w:sz="4" w:space="0" w:color="auto"/>
              <w:left w:val="nil"/>
              <w:bottom w:val="nil"/>
              <w:right w:val="nil"/>
            </w:tcBorders>
          </w:tcPr>
          <w:p w14:paraId="4E880D5B" w14:textId="77777777" w:rsidR="0010416D" w:rsidRPr="00110516" w:rsidRDefault="0010416D" w:rsidP="00022905">
            <w:pPr>
              <w:jc w:val="center"/>
              <w:rPr>
                <w:rFonts w:ascii="Times New Roman" w:eastAsiaTheme="majorEastAsia" w:hAnsi="Times New Roman" w:cs="Times New Roman"/>
                <w:sz w:val="28"/>
                <w:szCs w:val="28"/>
              </w:rPr>
            </w:pPr>
          </w:p>
        </w:tc>
        <w:tc>
          <w:tcPr>
            <w:tcW w:w="1969" w:type="dxa"/>
            <w:tcBorders>
              <w:top w:val="single" w:sz="4" w:space="0" w:color="auto"/>
              <w:left w:val="nil"/>
              <w:bottom w:val="nil"/>
              <w:right w:val="nil"/>
            </w:tcBorders>
          </w:tcPr>
          <w:p w14:paraId="54753BEE" w14:textId="77777777" w:rsidR="0010416D" w:rsidRPr="00110516" w:rsidRDefault="0010416D" w:rsidP="00022905">
            <w:pPr>
              <w:jc w:val="center"/>
              <w:rPr>
                <w:rFonts w:ascii="Times New Roman" w:eastAsiaTheme="majorEastAsia" w:hAnsi="Times New Roman" w:cs="Times New Roman"/>
                <w:sz w:val="28"/>
                <w:szCs w:val="28"/>
              </w:rPr>
            </w:pPr>
          </w:p>
        </w:tc>
      </w:tr>
      <w:tr w:rsidR="0010416D" w:rsidRPr="00110516" w14:paraId="50626A93" w14:textId="77777777" w:rsidTr="00022905">
        <w:tc>
          <w:tcPr>
            <w:tcW w:w="8169" w:type="dxa"/>
            <w:tcBorders>
              <w:top w:val="nil"/>
              <w:left w:val="nil"/>
              <w:bottom w:val="single" w:sz="4" w:space="0" w:color="auto"/>
              <w:right w:val="nil"/>
            </w:tcBorders>
          </w:tcPr>
          <w:p w14:paraId="106388BA"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Продолжение таблицы 2.2</w:t>
            </w:r>
          </w:p>
        </w:tc>
        <w:tc>
          <w:tcPr>
            <w:tcW w:w="1969" w:type="dxa"/>
            <w:tcBorders>
              <w:top w:val="nil"/>
              <w:left w:val="nil"/>
              <w:bottom w:val="single" w:sz="4" w:space="0" w:color="auto"/>
              <w:right w:val="nil"/>
            </w:tcBorders>
          </w:tcPr>
          <w:p w14:paraId="5580FC78" w14:textId="77777777" w:rsidR="0010416D" w:rsidRPr="00110516" w:rsidRDefault="0010416D" w:rsidP="00022905">
            <w:pPr>
              <w:jc w:val="center"/>
              <w:rPr>
                <w:rFonts w:ascii="Times New Roman" w:eastAsiaTheme="majorEastAsia" w:hAnsi="Times New Roman" w:cs="Times New Roman"/>
                <w:sz w:val="28"/>
                <w:szCs w:val="28"/>
              </w:rPr>
            </w:pPr>
          </w:p>
        </w:tc>
      </w:tr>
      <w:tr w:rsidR="0010416D" w:rsidRPr="00110516" w14:paraId="59131381" w14:textId="77777777" w:rsidTr="00022905">
        <w:tc>
          <w:tcPr>
            <w:tcW w:w="8169" w:type="dxa"/>
            <w:tcBorders>
              <w:top w:val="single" w:sz="4" w:space="0" w:color="auto"/>
            </w:tcBorders>
          </w:tcPr>
          <w:p w14:paraId="6A9F6137" w14:textId="77777777" w:rsidR="0010416D" w:rsidRPr="00110516" w:rsidRDefault="0010416D" w:rsidP="00022905">
            <w:pPr>
              <w:jc w:val="center"/>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Рыночная власть покупателей</w:t>
            </w:r>
          </w:p>
        </w:tc>
        <w:tc>
          <w:tcPr>
            <w:tcW w:w="1969" w:type="dxa"/>
            <w:tcBorders>
              <w:top w:val="single" w:sz="4" w:space="0" w:color="auto"/>
            </w:tcBorders>
          </w:tcPr>
          <w:p w14:paraId="7F6176AF" w14:textId="77777777" w:rsidR="0010416D" w:rsidRPr="00110516" w:rsidRDefault="0010416D" w:rsidP="00022905">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8</w:t>
            </w:r>
          </w:p>
        </w:tc>
      </w:tr>
      <w:tr w:rsidR="0010416D" w:rsidRPr="00110516" w14:paraId="0BB422B7" w14:textId="77777777" w:rsidTr="00022905">
        <w:tc>
          <w:tcPr>
            <w:tcW w:w="8169" w:type="dxa"/>
          </w:tcPr>
          <w:p w14:paraId="4BE0267C" w14:textId="77777777" w:rsidR="0010416D" w:rsidRPr="00110516" w:rsidRDefault="0010416D" w:rsidP="00022905">
            <w:pPr>
              <w:jc w:val="both"/>
              <w:rPr>
                <w:rFonts w:ascii="Times New Roman" w:eastAsiaTheme="majorEastAsia" w:hAnsi="Times New Roman" w:cs="Times New Roman"/>
                <w:sz w:val="28"/>
                <w:szCs w:val="28"/>
              </w:rPr>
            </w:pPr>
            <w:r w:rsidRPr="00F36D40">
              <w:rPr>
                <w:rFonts w:ascii="Times New Roman" w:eastAsiaTheme="majorEastAsia" w:hAnsi="Times New Roman" w:cs="Times New Roman"/>
                <w:sz w:val="28"/>
                <w:szCs w:val="28"/>
              </w:rPr>
              <w:t>Доля покупателей с большим объемом продаж</w:t>
            </w:r>
          </w:p>
        </w:tc>
        <w:tc>
          <w:tcPr>
            <w:tcW w:w="1969" w:type="dxa"/>
          </w:tcPr>
          <w:p w14:paraId="71314F17"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2</w:t>
            </w:r>
          </w:p>
        </w:tc>
      </w:tr>
      <w:tr w:rsidR="0010416D" w:rsidRPr="00110516" w14:paraId="67D93194" w14:textId="77777777" w:rsidTr="00022905">
        <w:tc>
          <w:tcPr>
            <w:tcW w:w="8169" w:type="dxa"/>
          </w:tcPr>
          <w:p w14:paraId="18A4759D"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Чувствительность к цене</w:t>
            </w:r>
          </w:p>
        </w:tc>
        <w:tc>
          <w:tcPr>
            <w:tcW w:w="1969" w:type="dxa"/>
          </w:tcPr>
          <w:p w14:paraId="7840C52C"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2</w:t>
            </w:r>
          </w:p>
        </w:tc>
      </w:tr>
      <w:tr w:rsidR="0010416D" w:rsidRPr="00110516" w14:paraId="17D20A24" w14:textId="77777777" w:rsidTr="00022905">
        <w:tc>
          <w:tcPr>
            <w:tcW w:w="8169" w:type="dxa"/>
          </w:tcPr>
          <w:p w14:paraId="124FD9B4"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Склонность к переключению на товары субституты</w:t>
            </w:r>
          </w:p>
        </w:tc>
        <w:tc>
          <w:tcPr>
            <w:tcW w:w="1969" w:type="dxa"/>
          </w:tcPr>
          <w:p w14:paraId="1C5F8730"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p>
        </w:tc>
      </w:tr>
      <w:tr w:rsidR="0010416D" w:rsidRPr="00110516" w14:paraId="08E96238" w14:textId="77777777" w:rsidTr="00022905">
        <w:tc>
          <w:tcPr>
            <w:tcW w:w="8169" w:type="dxa"/>
          </w:tcPr>
          <w:p w14:paraId="6FDBC86A"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Неудовлетворённость качеством</w:t>
            </w:r>
          </w:p>
        </w:tc>
        <w:tc>
          <w:tcPr>
            <w:tcW w:w="1969" w:type="dxa"/>
          </w:tcPr>
          <w:p w14:paraId="5DA47355"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1</w:t>
            </w:r>
          </w:p>
        </w:tc>
      </w:tr>
      <w:tr w:rsidR="0010416D" w:rsidRPr="00110516" w14:paraId="787E9C6F" w14:textId="77777777" w:rsidTr="00022905">
        <w:trPr>
          <w:trHeight w:val="236"/>
        </w:trPr>
        <w:tc>
          <w:tcPr>
            <w:tcW w:w="8169" w:type="dxa"/>
          </w:tcPr>
          <w:p w14:paraId="7C69A5C1" w14:textId="77777777" w:rsidR="0010416D" w:rsidRPr="00110516" w:rsidRDefault="0010416D" w:rsidP="00022905">
            <w:pPr>
              <w:jc w:val="center"/>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Власть существующих конкурентов</w:t>
            </w:r>
          </w:p>
        </w:tc>
        <w:tc>
          <w:tcPr>
            <w:tcW w:w="1969" w:type="dxa"/>
          </w:tcPr>
          <w:p w14:paraId="7C08CBC7" w14:textId="77777777" w:rsidR="0010416D" w:rsidRPr="00110516" w:rsidRDefault="0010416D" w:rsidP="00022905">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8</w:t>
            </w:r>
          </w:p>
        </w:tc>
      </w:tr>
      <w:tr w:rsidR="0010416D" w:rsidRPr="00110516" w14:paraId="41CD5272" w14:textId="77777777" w:rsidTr="00022905">
        <w:tc>
          <w:tcPr>
            <w:tcW w:w="8169" w:type="dxa"/>
          </w:tcPr>
          <w:p w14:paraId="2C443401"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 xml:space="preserve">Количество игроков </w:t>
            </w:r>
          </w:p>
        </w:tc>
        <w:tc>
          <w:tcPr>
            <w:tcW w:w="1969" w:type="dxa"/>
          </w:tcPr>
          <w:p w14:paraId="4F8BD092"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p>
        </w:tc>
      </w:tr>
      <w:tr w:rsidR="0010416D" w:rsidRPr="00110516" w14:paraId="123E1EA1" w14:textId="77777777" w:rsidTr="00022905">
        <w:tc>
          <w:tcPr>
            <w:tcW w:w="8169" w:type="dxa"/>
          </w:tcPr>
          <w:p w14:paraId="7CE0BE58" w14:textId="77777777" w:rsidR="0010416D" w:rsidRPr="00110516" w:rsidRDefault="0010416D" w:rsidP="00022905">
            <w:pPr>
              <w:jc w:val="both"/>
              <w:rPr>
                <w:rFonts w:ascii="Times New Roman" w:eastAsiaTheme="majorEastAsia" w:hAnsi="Times New Roman" w:cs="Times New Roman"/>
                <w:sz w:val="28"/>
                <w:szCs w:val="28"/>
              </w:rPr>
            </w:pPr>
            <w:r w:rsidRPr="00F36D40">
              <w:rPr>
                <w:rFonts w:ascii="Times New Roman" w:eastAsiaTheme="majorEastAsia" w:hAnsi="Times New Roman" w:cs="Times New Roman"/>
                <w:sz w:val="28"/>
                <w:szCs w:val="28"/>
              </w:rPr>
              <w:t>Ограничение в повышении цен</w:t>
            </w:r>
          </w:p>
        </w:tc>
        <w:tc>
          <w:tcPr>
            <w:tcW w:w="1969" w:type="dxa"/>
          </w:tcPr>
          <w:p w14:paraId="54F33B7D" w14:textId="77777777" w:rsidR="0010416D" w:rsidRPr="00110516" w:rsidRDefault="0010416D" w:rsidP="00022905">
            <w:pPr>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w:t>
            </w:r>
          </w:p>
        </w:tc>
      </w:tr>
      <w:tr w:rsidR="0010416D" w:rsidRPr="00110516" w14:paraId="2E63984D" w14:textId="77777777" w:rsidTr="00022905">
        <w:tc>
          <w:tcPr>
            <w:tcW w:w="8169" w:type="dxa"/>
          </w:tcPr>
          <w:p w14:paraId="7429AF65"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Уровень дифференциации продукта на рынке</w:t>
            </w:r>
          </w:p>
        </w:tc>
        <w:tc>
          <w:tcPr>
            <w:tcW w:w="1969" w:type="dxa"/>
          </w:tcPr>
          <w:p w14:paraId="7E3ABCA2"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2</w:t>
            </w:r>
          </w:p>
        </w:tc>
      </w:tr>
      <w:tr w:rsidR="0010416D" w:rsidRPr="009013CD" w14:paraId="3AB062F5" w14:textId="77777777" w:rsidTr="00022905">
        <w:tc>
          <w:tcPr>
            <w:tcW w:w="8169" w:type="dxa"/>
          </w:tcPr>
          <w:p w14:paraId="3DD688C8" w14:textId="77777777" w:rsidR="0010416D" w:rsidRPr="009013CD" w:rsidRDefault="0010416D" w:rsidP="00022905">
            <w:pPr>
              <w:jc w:val="center"/>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Угроза появления новых конкурентов</w:t>
            </w:r>
          </w:p>
        </w:tc>
        <w:tc>
          <w:tcPr>
            <w:tcW w:w="1969" w:type="dxa"/>
          </w:tcPr>
          <w:p w14:paraId="6A4A2D15" w14:textId="77777777" w:rsidR="0010416D" w:rsidRPr="009013CD" w:rsidRDefault="0010416D" w:rsidP="00022905">
            <w:pPr>
              <w:jc w:val="center"/>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11</w:t>
            </w:r>
          </w:p>
        </w:tc>
      </w:tr>
      <w:tr w:rsidR="0010416D" w:rsidRPr="009013CD" w14:paraId="19609255" w14:textId="77777777" w:rsidTr="00022905">
        <w:tc>
          <w:tcPr>
            <w:tcW w:w="8169" w:type="dxa"/>
          </w:tcPr>
          <w:p w14:paraId="1BD1332A"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Экономия на масштабе при производстве товара или услуги</w:t>
            </w:r>
          </w:p>
        </w:tc>
        <w:tc>
          <w:tcPr>
            <w:tcW w:w="1969" w:type="dxa"/>
          </w:tcPr>
          <w:p w14:paraId="43A483C9"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1</w:t>
            </w:r>
          </w:p>
        </w:tc>
      </w:tr>
      <w:tr w:rsidR="0010416D" w:rsidRPr="009013CD" w14:paraId="149E4197" w14:textId="77777777" w:rsidTr="00022905">
        <w:tc>
          <w:tcPr>
            <w:tcW w:w="8169" w:type="dxa"/>
          </w:tcPr>
          <w:p w14:paraId="28DA9854"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Дифференциация продукта</w:t>
            </w:r>
          </w:p>
        </w:tc>
        <w:tc>
          <w:tcPr>
            <w:tcW w:w="1969" w:type="dxa"/>
          </w:tcPr>
          <w:p w14:paraId="65129300"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3</w:t>
            </w:r>
          </w:p>
        </w:tc>
      </w:tr>
      <w:tr w:rsidR="0010416D" w:rsidRPr="009013CD" w14:paraId="061C99D5" w14:textId="77777777" w:rsidTr="00022905">
        <w:tc>
          <w:tcPr>
            <w:tcW w:w="8169" w:type="dxa"/>
          </w:tcPr>
          <w:p w14:paraId="1647087D"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Готовность существующих игроков к снижению цен</w:t>
            </w:r>
          </w:p>
        </w:tc>
        <w:tc>
          <w:tcPr>
            <w:tcW w:w="1969" w:type="dxa"/>
          </w:tcPr>
          <w:p w14:paraId="3E1D5397"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3</w:t>
            </w:r>
          </w:p>
        </w:tc>
      </w:tr>
      <w:tr w:rsidR="0010416D" w:rsidRPr="009013CD" w14:paraId="16788ECA" w14:textId="77777777" w:rsidTr="00022905">
        <w:tc>
          <w:tcPr>
            <w:tcW w:w="8169" w:type="dxa"/>
          </w:tcPr>
          <w:p w14:paraId="124628EB"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Политика правительства</w:t>
            </w:r>
          </w:p>
        </w:tc>
        <w:tc>
          <w:tcPr>
            <w:tcW w:w="1969" w:type="dxa"/>
          </w:tcPr>
          <w:p w14:paraId="289C7D1D"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1</w:t>
            </w:r>
          </w:p>
        </w:tc>
      </w:tr>
      <w:tr w:rsidR="0010416D" w:rsidRPr="009013CD" w14:paraId="65F6A269" w14:textId="77777777" w:rsidTr="00022905">
        <w:tc>
          <w:tcPr>
            <w:tcW w:w="8169" w:type="dxa"/>
          </w:tcPr>
          <w:p w14:paraId="2A0A9946"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Темп роста отрасли</w:t>
            </w:r>
          </w:p>
        </w:tc>
        <w:tc>
          <w:tcPr>
            <w:tcW w:w="1969" w:type="dxa"/>
          </w:tcPr>
          <w:p w14:paraId="73A6ED9D" w14:textId="77777777" w:rsidR="0010416D" w:rsidRPr="009013CD" w:rsidRDefault="0010416D" w:rsidP="00022905">
            <w:pPr>
              <w:jc w:val="both"/>
              <w:rPr>
                <w:rFonts w:ascii="Times New Roman" w:eastAsiaTheme="majorEastAsia" w:hAnsi="Times New Roman" w:cs="Times New Roman"/>
                <w:sz w:val="28"/>
                <w:szCs w:val="28"/>
              </w:rPr>
            </w:pPr>
            <w:r w:rsidRPr="009013CD">
              <w:rPr>
                <w:rFonts w:ascii="Times New Roman" w:eastAsiaTheme="majorEastAsia" w:hAnsi="Times New Roman" w:cs="Times New Roman"/>
                <w:sz w:val="28"/>
                <w:szCs w:val="28"/>
              </w:rPr>
              <w:t>3</w:t>
            </w:r>
          </w:p>
        </w:tc>
      </w:tr>
      <w:tr w:rsidR="0010416D" w:rsidRPr="00110516" w14:paraId="4F1A1AAC" w14:textId="77777777" w:rsidTr="00022905">
        <w:tc>
          <w:tcPr>
            <w:tcW w:w="8169" w:type="dxa"/>
          </w:tcPr>
          <w:p w14:paraId="41C17215" w14:textId="77777777" w:rsidR="0010416D" w:rsidRPr="00110516" w:rsidRDefault="0010416D" w:rsidP="00022905">
            <w:pPr>
              <w:jc w:val="center"/>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Угроза появления товаров-заменителей</w:t>
            </w:r>
          </w:p>
        </w:tc>
        <w:tc>
          <w:tcPr>
            <w:tcW w:w="1969" w:type="dxa"/>
          </w:tcPr>
          <w:p w14:paraId="35426499" w14:textId="77777777" w:rsidR="0010416D" w:rsidRPr="00110516" w:rsidRDefault="0010416D" w:rsidP="00022905">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1</w:t>
            </w:r>
          </w:p>
        </w:tc>
      </w:tr>
      <w:tr w:rsidR="0010416D" w:rsidRPr="00110516" w14:paraId="502502AE" w14:textId="77777777" w:rsidTr="00022905">
        <w:tc>
          <w:tcPr>
            <w:tcW w:w="8169" w:type="dxa"/>
          </w:tcPr>
          <w:p w14:paraId="377E1133" w14:textId="77777777" w:rsidR="0010416D" w:rsidRPr="00110516" w:rsidRDefault="0010416D" w:rsidP="00022905">
            <w:pPr>
              <w:jc w:val="both"/>
              <w:rPr>
                <w:rFonts w:ascii="Times New Roman" w:eastAsiaTheme="majorEastAsia" w:hAnsi="Times New Roman" w:cs="Times New Roman"/>
                <w:sz w:val="28"/>
                <w:szCs w:val="28"/>
              </w:rPr>
            </w:pPr>
            <w:r w:rsidRPr="00511968">
              <w:rPr>
                <w:rFonts w:ascii="Times New Roman" w:eastAsia="Calibri" w:hAnsi="Times New Roman" w:cs="Times New Roman"/>
                <w:sz w:val="28"/>
                <w:szCs w:val="28"/>
              </w:rPr>
              <w:t>Товары-заменители "цена-качество"</w:t>
            </w:r>
          </w:p>
        </w:tc>
        <w:tc>
          <w:tcPr>
            <w:tcW w:w="1969" w:type="dxa"/>
          </w:tcPr>
          <w:p w14:paraId="7A66ADC3" w14:textId="77777777" w:rsidR="0010416D" w:rsidRPr="00110516" w:rsidRDefault="0010416D" w:rsidP="00022905">
            <w:pPr>
              <w:jc w:val="both"/>
              <w:rPr>
                <w:rFonts w:ascii="Times New Roman" w:eastAsiaTheme="majorEastAsia" w:hAnsi="Times New Roman" w:cs="Times New Roman"/>
                <w:sz w:val="28"/>
                <w:szCs w:val="28"/>
              </w:rPr>
            </w:pPr>
            <w:r w:rsidRPr="00110516">
              <w:rPr>
                <w:rFonts w:ascii="Times New Roman" w:eastAsiaTheme="majorEastAsia" w:hAnsi="Times New Roman" w:cs="Times New Roman"/>
                <w:sz w:val="28"/>
                <w:szCs w:val="28"/>
              </w:rPr>
              <w:t>1</w:t>
            </w:r>
          </w:p>
        </w:tc>
      </w:tr>
    </w:tbl>
    <w:p w14:paraId="36E4BC55" w14:textId="77777777" w:rsidR="0010416D" w:rsidRPr="00381E89" w:rsidRDefault="0010416D" w:rsidP="0010416D">
      <w:pPr>
        <w:spacing w:before="24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Подробный анализ 5 сил Портера можно увидеть в Приложении А.  </w:t>
      </w:r>
    </w:p>
    <w:p w14:paraId="0019CAAC" w14:textId="77777777" w:rsidR="0010416D" w:rsidRPr="00FF3B7A" w:rsidRDefault="0010416D" w:rsidP="0010416D">
      <w:pPr>
        <w:ind w:firstLine="709"/>
        <w:jc w:val="both"/>
        <w:rPr>
          <w:rFonts w:ascii="Times New Roman" w:hAnsi="Times New Roman" w:cs="Times New Roman"/>
          <w:sz w:val="28"/>
          <w:szCs w:val="28"/>
        </w:rPr>
      </w:pPr>
      <w:r w:rsidRPr="00FF3B7A">
        <w:rPr>
          <w:rFonts w:ascii="Times New Roman" w:hAnsi="Times New Roman" w:cs="Times New Roman"/>
          <w:sz w:val="28"/>
          <w:szCs w:val="28"/>
        </w:rPr>
        <w:t>Исходя из проведённого анализа можно сделать следующие выводы:</w:t>
      </w:r>
    </w:p>
    <w:p w14:paraId="7880C807" w14:textId="77777777" w:rsidR="0010416D" w:rsidRDefault="0010416D" w:rsidP="0010416D">
      <w:pPr>
        <w:ind w:firstLine="709"/>
        <w:jc w:val="both"/>
        <w:rPr>
          <w:rFonts w:ascii="Times New Roman" w:hAnsi="Times New Roman" w:cs="Times New Roman"/>
          <w:sz w:val="28"/>
          <w:szCs w:val="28"/>
        </w:rPr>
      </w:pPr>
      <w:r w:rsidRPr="00FF3B7A">
        <w:rPr>
          <w:rFonts w:ascii="Times New Roman" w:hAnsi="Times New Roman" w:cs="Times New Roman"/>
          <w:sz w:val="28"/>
          <w:szCs w:val="28"/>
        </w:rPr>
        <w:t xml:space="preserve">1.Угроза нестабильности поставщиков является низкой, так как </w:t>
      </w:r>
      <w:r>
        <w:rPr>
          <w:rFonts w:ascii="Times New Roman" w:hAnsi="Times New Roman" w:cs="Times New Roman"/>
          <w:sz w:val="28"/>
          <w:szCs w:val="28"/>
          <w:lang w:val="ru-RU"/>
        </w:rPr>
        <w:t>ГОЛХУ «</w:t>
      </w:r>
      <w:proofErr w:type="spellStart"/>
      <w:r>
        <w:rPr>
          <w:rFonts w:ascii="Times New Roman" w:hAnsi="Times New Roman" w:cs="Times New Roman"/>
          <w:sz w:val="28"/>
          <w:szCs w:val="28"/>
          <w:lang w:val="ru-RU"/>
        </w:rPr>
        <w:t>Осиповичский</w:t>
      </w:r>
      <w:proofErr w:type="spellEnd"/>
      <w:r>
        <w:rPr>
          <w:rFonts w:ascii="Times New Roman" w:hAnsi="Times New Roman" w:cs="Times New Roman"/>
          <w:sz w:val="28"/>
          <w:szCs w:val="28"/>
          <w:lang w:val="ru-RU"/>
        </w:rPr>
        <w:t xml:space="preserve"> опытный лесхоз» </w:t>
      </w:r>
      <w:r w:rsidRPr="001E7CA9">
        <w:rPr>
          <w:rFonts w:ascii="Times New Roman" w:hAnsi="Times New Roman" w:cs="Times New Roman"/>
          <w:sz w:val="28"/>
          <w:szCs w:val="28"/>
        </w:rPr>
        <w:t xml:space="preserve">сам обеспечивает себя всеми материалами и ресурсами, </w:t>
      </w:r>
      <w:r>
        <w:rPr>
          <w:rFonts w:ascii="Times New Roman" w:hAnsi="Times New Roman" w:cs="Times New Roman"/>
          <w:sz w:val="28"/>
          <w:szCs w:val="28"/>
        </w:rPr>
        <w:t xml:space="preserve">которые </w:t>
      </w:r>
      <w:r w:rsidRPr="001E7CA9">
        <w:rPr>
          <w:rFonts w:ascii="Times New Roman" w:hAnsi="Times New Roman" w:cs="Times New Roman"/>
          <w:sz w:val="28"/>
          <w:szCs w:val="28"/>
        </w:rPr>
        <w:t>необход</w:t>
      </w:r>
      <w:r>
        <w:rPr>
          <w:rFonts w:ascii="Times New Roman" w:hAnsi="Times New Roman" w:cs="Times New Roman"/>
          <w:sz w:val="28"/>
          <w:szCs w:val="28"/>
        </w:rPr>
        <w:t>имы</w:t>
      </w:r>
      <w:r w:rsidRPr="001E7CA9">
        <w:rPr>
          <w:rFonts w:ascii="Times New Roman" w:hAnsi="Times New Roman" w:cs="Times New Roman"/>
          <w:sz w:val="28"/>
          <w:szCs w:val="28"/>
        </w:rPr>
        <w:t xml:space="preserve"> для производства товаров</w:t>
      </w:r>
      <w:r>
        <w:rPr>
          <w:rFonts w:ascii="Times New Roman" w:hAnsi="Times New Roman" w:cs="Times New Roman"/>
          <w:sz w:val="28"/>
          <w:szCs w:val="28"/>
        </w:rPr>
        <w:t xml:space="preserve">, соблюдая все стандарты. </w:t>
      </w:r>
    </w:p>
    <w:p w14:paraId="7F86A070" w14:textId="77777777" w:rsidR="0010416D" w:rsidRPr="00FE4136"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2. Угроза потери текущих клиентов является относительно невысокой.</w:t>
      </w:r>
      <w:r w:rsidRPr="00FE4136">
        <w:t xml:space="preserve"> </w:t>
      </w:r>
      <w:r w:rsidRPr="00FE4136">
        <w:rPr>
          <w:rFonts w:ascii="Times New Roman" w:hAnsi="Times New Roman" w:cs="Times New Roman"/>
          <w:sz w:val="28"/>
          <w:szCs w:val="28"/>
        </w:rPr>
        <w:t xml:space="preserve">Приоритетным направлением реализации деловой древесины в заготовленном виде для </w:t>
      </w:r>
      <w:r>
        <w:rPr>
          <w:rFonts w:ascii="Times New Roman" w:hAnsi="Times New Roman" w:cs="Times New Roman"/>
          <w:sz w:val="28"/>
          <w:szCs w:val="28"/>
        </w:rPr>
        <w:t>ГОЛХУ</w:t>
      </w:r>
      <w:r w:rsidRPr="00FE4136">
        <w:rPr>
          <w:rFonts w:ascii="Times New Roman" w:hAnsi="Times New Roman" w:cs="Times New Roman"/>
          <w:sz w:val="28"/>
          <w:szCs w:val="28"/>
        </w:rPr>
        <w:t xml:space="preserve"> «Осиповичский опытный лесхоз» является реализация ее через ОАО «Белорусская универсальная товарная биржа» как самим лесхозом, так и по договорам с УП «Беллесэкспорт». Основные потребители внутреннего рынка – Светлогорский ЦКК (балансы сосновые), «Завод газетной бумаги» г. Шклов (балансы еловые), предприятия «Беллесбумпрома» (древесина мягколиственных пород), предприятия, организации и население (дрова).</w:t>
      </w:r>
    </w:p>
    <w:p w14:paraId="6AC5E5E4" w14:textId="77777777" w:rsidR="0010416D"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Основными странами, с которыми предприятие будет взаимодействовать в 2021 году на внешнем рынке, являются: Литва, Польша, Румыния.</w:t>
      </w:r>
    </w:p>
    <w:p w14:paraId="451149BF" w14:textId="77777777" w:rsidR="0010416D"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3. Угроза внутриотраслевой конкуренции</w:t>
      </w:r>
      <w:r w:rsidRPr="00FE4136">
        <w:rPr>
          <w:rFonts w:ascii="Times New Roman" w:hAnsi="Times New Roman" w:cs="Times New Roman"/>
          <w:sz w:val="28"/>
          <w:szCs w:val="28"/>
          <w:lang w:val="ru-RU"/>
        </w:rPr>
        <w:t xml:space="preserve"> находится на среднем уровне</w:t>
      </w:r>
      <w:r w:rsidRPr="00FE4136">
        <w:rPr>
          <w:rFonts w:ascii="Times New Roman" w:hAnsi="Times New Roman" w:cs="Times New Roman"/>
          <w:sz w:val="28"/>
          <w:szCs w:val="28"/>
        </w:rPr>
        <w:t>.</w:t>
      </w:r>
    </w:p>
    <w:p w14:paraId="43471035" w14:textId="77777777" w:rsidR="0010416D" w:rsidRPr="00BA64DE" w:rsidRDefault="0010416D" w:rsidP="0010416D">
      <w:pPr>
        <w:ind w:firstLine="709"/>
        <w:jc w:val="both"/>
        <w:rPr>
          <w:rFonts w:ascii="Times New Roman" w:hAnsi="Times New Roman" w:cs="Times New Roman"/>
          <w:sz w:val="28"/>
          <w:szCs w:val="28"/>
          <w:lang w:val="ru-RU"/>
        </w:rPr>
      </w:pPr>
      <w:r w:rsidRPr="00FE4136">
        <w:rPr>
          <w:rFonts w:ascii="Times New Roman" w:hAnsi="Times New Roman" w:cs="Times New Roman"/>
          <w:sz w:val="28"/>
          <w:szCs w:val="28"/>
        </w:rPr>
        <w:t>В Республике Беларусь 97 лесхозов, которые производят одинаковую продукцию и выполняют схожие функции</w:t>
      </w:r>
      <w:r>
        <w:rPr>
          <w:rFonts w:ascii="Times New Roman" w:hAnsi="Times New Roman" w:cs="Times New Roman"/>
          <w:sz w:val="28"/>
          <w:szCs w:val="28"/>
        </w:rPr>
        <w:t xml:space="preserve">. </w:t>
      </w:r>
    </w:p>
    <w:p w14:paraId="1845A9B5" w14:textId="77777777" w:rsidR="0010416D" w:rsidRPr="00FE4136"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lastRenderedPageBreak/>
        <w:t>Конкурентное преимущество при реализации продукции будет обусловлено следующими факторами:</w:t>
      </w:r>
    </w:p>
    <w:p w14:paraId="438C402C" w14:textId="77777777" w:rsidR="0010416D" w:rsidRPr="00FE4136" w:rsidRDefault="0010416D" w:rsidP="0010416D">
      <w:pPr>
        <w:ind w:firstLine="709"/>
        <w:jc w:val="both"/>
        <w:rPr>
          <w:rFonts w:ascii="Times New Roman" w:hAnsi="Times New Roman" w:cs="Times New Roman"/>
          <w:sz w:val="28"/>
          <w:szCs w:val="28"/>
          <w:lang w:val="ru-RU"/>
        </w:rPr>
      </w:pPr>
      <w:r w:rsidRPr="00FE4136">
        <w:rPr>
          <w:rFonts w:ascii="Times New Roman" w:hAnsi="Times New Roman" w:cs="Times New Roman"/>
          <w:sz w:val="28"/>
          <w:szCs w:val="28"/>
        </w:rPr>
        <w:t>-реализация пиломатериалов, отсортированных согласно ГОСТам</w:t>
      </w:r>
      <w:r>
        <w:rPr>
          <w:rFonts w:ascii="Times New Roman" w:hAnsi="Times New Roman" w:cs="Times New Roman"/>
          <w:sz w:val="28"/>
          <w:szCs w:val="28"/>
          <w:lang w:val="ru-RU"/>
        </w:rPr>
        <w:t>;</w:t>
      </w:r>
    </w:p>
    <w:p w14:paraId="7686B365" w14:textId="77777777" w:rsidR="0010416D" w:rsidRPr="00FE4136" w:rsidRDefault="0010416D" w:rsidP="0010416D">
      <w:pPr>
        <w:ind w:firstLine="709"/>
        <w:jc w:val="both"/>
        <w:rPr>
          <w:rFonts w:ascii="Times New Roman" w:hAnsi="Times New Roman" w:cs="Times New Roman"/>
          <w:sz w:val="28"/>
          <w:szCs w:val="28"/>
          <w:lang w:val="ru-RU"/>
        </w:rPr>
      </w:pPr>
      <w:r w:rsidRPr="00FE4136">
        <w:rPr>
          <w:rFonts w:ascii="Times New Roman" w:hAnsi="Times New Roman" w:cs="Times New Roman"/>
          <w:sz w:val="28"/>
          <w:szCs w:val="28"/>
        </w:rPr>
        <w:t>-увеличение сортности отгруженной продукции</w:t>
      </w:r>
      <w:r>
        <w:rPr>
          <w:rFonts w:ascii="Times New Roman" w:hAnsi="Times New Roman" w:cs="Times New Roman"/>
          <w:sz w:val="28"/>
          <w:szCs w:val="28"/>
          <w:lang w:val="ru-RU"/>
        </w:rPr>
        <w:t>;</w:t>
      </w:r>
    </w:p>
    <w:p w14:paraId="289D1A9C" w14:textId="77777777" w:rsidR="0010416D" w:rsidRPr="00FE4136" w:rsidRDefault="0010416D" w:rsidP="0010416D">
      <w:pPr>
        <w:ind w:firstLine="709"/>
        <w:jc w:val="both"/>
        <w:rPr>
          <w:rFonts w:ascii="Times New Roman" w:hAnsi="Times New Roman" w:cs="Times New Roman"/>
          <w:sz w:val="28"/>
          <w:szCs w:val="28"/>
          <w:lang w:val="ru-RU"/>
        </w:rPr>
      </w:pPr>
      <w:r w:rsidRPr="00FE4136">
        <w:rPr>
          <w:rFonts w:ascii="Times New Roman" w:hAnsi="Times New Roman" w:cs="Times New Roman"/>
          <w:sz w:val="28"/>
          <w:szCs w:val="28"/>
        </w:rPr>
        <w:t>-сортировка лесоматериалов круглых по диаметрам</w:t>
      </w:r>
      <w:r>
        <w:rPr>
          <w:rFonts w:ascii="Times New Roman" w:hAnsi="Times New Roman" w:cs="Times New Roman"/>
          <w:sz w:val="28"/>
          <w:szCs w:val="28"/>
          <w:lang w:val="ru-RU"/>
        </w:rPr>
        <w:t>;</w:t>
      </w:r>
    </w:p>
    <w:p w14:paraId="2E12A252" w14:textId="77777777" w:rsidR="0010416D" w:rsidRPr="00FE4136" w:rsidRDefault="0010416D" w:rsidP="0010416D">
      <w:pPr>
        <w:ind w:firstLine="709"/>
        <w:jc w:val="both"/>
        <w:rPr>
          <w:rFonts w:ascii="Times New Roman" w:hAnsi="Times New Roman" w:cs="Times New Roman"/>
          <w:sz w:val="28"/>
          <w:szCs w:val="28"/>
          <w:lang w:val="ru-RU"/>
        </w:rPr>
      </w:pPr>
      <w:r w:rsidRPr="00FE4136">
        <w:rPr>
          <w:rFonts w:ascii="Times New Roman" w:hAnsi="Times New Roman" w:cs="Times New Roman"/>
          <w:sz w:val="28"/>
          <w:szCs w:val="28"/>
        </w:rPr>
        <w:t>-предложение по реализации лесоматериалов на различных условиях франкировки</w:t>
      </w:r>
      <w:r>
        <w:rPr>
          <w:rFonts w:ascii="Times New Roman" w:hAnsi="Times New Roman" w:cs="Times New Roman"/>
          <w:sz w:val="28"/>
          <w:szCs w:val="28"/>
          <w:lang w:val="ru-RU"/>
        </w:rPr>
        <w:t>;</w:t>
      </w:r>
    </w:p>
    <w:p w14:paraId="1BEA00DA" w14:textId="77777777" w:rsidR="0010416D"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-рациональная распиловка древесины и увеличение выхода лесоматериалов сорта А.</w:t>
      </w:r>
      <w:r w:rsidRPr="00FF3B7A">
        <w:rPr>
          <w:rFonts w:ascii="Times New Roman" w:hAnsi="Times New Roman" w:cs="Times New Roman"/>
          <w:sz w:val="28"/>
          <w:szCs w:val="28"/>
        </w:rPr>
        <w:t xml:space="preserve"> </w:t>
      </w:r>
    </w:p>
    <w:p w14:paraId="7B2F7599" w14:textId="77777777" w:rsidR="0010416D" w:rsidRPr="00FF3B7A" w:rsidRDefault="0010416D" w:rsidP="0010416D">
      <w:pPr>
        <w:ind w:firstLine="709"/>
        <w:jc w:val="both"/>
        <w:rPr>
          <w:rFonts w:ascii="Times New Roman" w:hAnsi="Times New Roman" w:cs="Times New Roman"/>
          <w:sz w:val="28"/>
          <w:szCs w:val="28"/>
        </w:rPr>
      </w:pPr>
      <w:r w:rsidRPr="00FF3B7A">
        <w:rPr>
          <w:rFonts w:ascii="Times New Roman" w:hAnsi="Times New Roman" w:cs="Times New Roman"/>
          <w:sz w:val="28"/>
          <w:szCs w:val="28"/>
        </w:rPr>
        <w:t>4. Угроза появления новых игроков</w:t>
      </w:r>
      <w:r>
        <w:rPr>
          <w:rFonts w:ascii="Times New Roman" w:hAnsi="Times New Roman" w:cs="Times New Roman"/>
          <w:sz w:val="28"/>
          <w:szCs w:val="28"/>
          <w:lang w:val="ru-RU"/>
        </w:rPr>
        <w:t xml:space="preserve"> очень мала</w:t>
      </w:r>
      <w:r w:rsidRPr="00FF3B7A">
        <w:rPr>
          <w:rFonts w:ascii="Times New Roman" w:hAnsi="Times New Roman" w:cs="Times New Roman"/>
          <w:sz w:val="28"/>
          <w:szCs w:val="28"/>
        </w:rPr>
        <w:t xml:space="preserve">. </w:t>
      </w:r>
    </w:p>
    <w:p w14:paraId="66BF5695" w14:textId="77777777" w:rsidR="0010416D" w:rsidRPr="00FE4136"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 xml:space="preserve">Первый барьер, который существует перед фирмами, желающими выйти на рынок лесопродукции – это «экономия за счет масштабов деятельности». Крупные компании обладают преимуществами, поскольку издержки на производство единицы продукции снижаются по мере роста абсолютного объема производства. Следовательно, новый конкурент должен потратить много денег, чтобы развернуть свою деятельность в крупных масштабах. </w:t>
      </w:r>
    </w:p>
    <w:p w14:paraId="55697076" w14:textId="77777777" w:rsidR="0010416D" w:rsidRPr="00FE4136"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 xml:space="preserve">Второе препятствие </w:t>
      </w:r>
      <w:r>
        <w:rPr>
          <w:rFonts w:ascii="Times New Roman" w:hAnsi="Times New Roman" w:cs="Times New Roman"/>
          <w:sz w:val="28"/>
          <w:szCs w:val="28"/>
          <w:lang w:val="ru-RU"/>
        </w:rPr>
        <w:t>–</w:t>
      </w:r>
      <w:r w:rsidRPr="00FE4136">
        <w:rPr>
          <w:rFonts w:ascii="Times New Roman" w:hAnsi="Times New Roman" w:cs="Times New Roman"/>
          <w:sz w:val="28"/>
          <w:szCs w:val="28"/>
        </w:rPr>
        <w:t xml:space="preserve"> потребность в капиталовложениях. Строительство лесной базы, запуск производства требуют больших финансовых вложений, которые не все фирмы могут себе позволить. </w:t>
      </w:r>
    </w:p>
    <w:p w14:paraId="490C5301" w14:textId="77777777" w:rsidR="0010416D" w:rsidRPr="00FF3B7A"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 xml:space="preserve">Третий барьер, осложняющий вход на рынок новых производителей </w:t>
      </w:r>
      <w:r>
        <w:rPr>
          <w:rFonts w:ascii="Times New Roman" w:hAnsi="Times New Roman" w:cs="Times New Roman"/>
          <w:sz w:val="28"/>
          <w:szCs w:val="28"/>
          <w:lang w:val="ru-RU"/>
        </w:rPr>
        <w:t>–</w:t>
      </w:r>
      <w:r w:rsidRPr="00FE4136">
        <w:rPr>
          <w:rFonts w:ascii="Times New Roman" w:hAnsi="Times New Roman" w:cs="Times New Roman"/>
          <w:sz w:val="28"/>
          <w:szCs w:val="28"/>
        </w:rPr>
        <w:t xml:space="preserve"> правительственная политика. Правительство может затруднить или закрыть доступ в отрасль посредством введения лицензий на те или иные виды деятельности, ограничений на доступ к сырью и многими другими способами.</w:t>
      </w:r>
    </w:p>
    <w:p w14:paraId="78D93C07" w14:textId="77777777" w:rsidR="0010416D" w:rsidRDefault="0010416D" w:rsidP="0010416D">
      <w:pPr>
        <w:ind w:firstLine="709"/>
        <w:jc w:val="both"/>
        <w:rPr>
          <w:rFonts w:ascii="Times New Roman" w:hAnsi="Times New Roman" w:cs="Times New Roman"/>
          <w:sz w:val="28"/>
          <w:szCs w:val="28"/>
        </w:rPr>
      </w:pPr>
      <w:r w:rsidRPr="00FE4136">
        <w:rPr>
          <w:rFonts w:ascii="Times New Roman" w:hAnsi="Times New Roman" w:cs="Times New Roman"/>
          <w:sz w:val="28"/>
          <w:szCs w:val="28"/>
        </w:rPr>
        <w:t>5. Что касается заменителей, то на рынке лесопродукци сложно придумать альтернативу</w:t>
      </w:r>
      <w:r>
        <w:rPr>
          <w:rFonts w:ascii="Times New Roman" w:hAnsi="Times New Roman" w:cs="Times New Roman"/>
          <w:sz w:val="28"/>
          <w:szCs w:val="28"/>
          <w:lang w:val="ru-RU"/>
        </w:rPr>
        <w:t>,</w:t>
      </w:r>
      <w:r w:rsidRPr="00FE4136">
        <w:rPr>
          <w:rFonts w:ascii="Times New Roman" w:hAnsi="Times New Roman" w:cs="Times New Roman"/>
          <w:sz w:val="28"/>
          <w:szCs w:val="28"/>
        </w:rPr>
        <w:t>точнее вообще невозможно.</w:t>
      </w:r>
    </w:p>
    <w:p w14:paraId="40E0E39C" w14:textId="77777777" w:rsidR="0010416D" w:rsidRDefault="0010416D" w:rsidP="0010416D">
      <w:pPr>
        <w:ind w:firstLine="709"/>
        <w:jc w:val="both"/>
        <w:rPr>
          <w:rFonts w:ascii="Times New Roman" w:hAnsi="Times New Roman" w:cs="Times New Roman"/>
          <w:sz w:val="28"/>
          <w:szCs w:val="28"/>
        </w:rPr>
      </w:pPr>
    </w:p>
    <w:p w14:paraId="3A2DB6C7" w14:textId="77777777" w:rsidR="0010416D" w:rsidRDefault="0010416D"/>
    <w:sectPr w:rsidR="00104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D"/>
    <w:rsid w:val="0010416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ecimalSymbol w:val=","/>
  <w:listSeparator w:val=";"/>
  <w14:docId w14:val="0539F917"/>
  <w15:chartTrackingRefBased/>
  <w15:docId w15:val="{803BC6F4-A697-F14E-BB0F-023B5562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B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416D"/>
    <w:rPr>
      <w:rFonts w:eastAsiaTheme="minorEastAsia"/>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olgalasotskaya2@gmail.com</dc:creator>
  <cp:keywords/>
  <dc:description/>
  <cp:lastModifiedBy>olgalasotskaya2@gmail.com</cp:lastModifiedBy>
  <cp:revision>1</cp:revision>
  <dcterms:created xsi:type="dcterms:W3CDTF">2021-12-16T18:02:00Z</dcterms:created>
  <dcterms:modified xsi:type="dcterms:W3CDTF">2021-12-16T18:04:00Z</dcterms:modified>
</cp:coreProperties>
</file>