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8657" w14:textId="73EBB006" w:rsidR="005C517F" w:rsidRDefault="005C517F" w:rsidP="005C517F">
      <w:pPr>
        <w:tabs>
          <w:tab w:val="left" w:pos="3956"/>
        </w:tabs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434D">
        <w:rPr>
          <w:rFonts w:ascii="Times New Roman" w:hAnsi="Times New Roman" w:cs="Times New Roman"/>
          <w:b/>
          <w:bCs/>
          <w:sz w:val="28"/>
          <w:szCs w:val="28"/>
        </w:rPr>
        <w:t xml:space="preserve">Анализ внешней среды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ГЛХУ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Осиповичский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опытный лесхоз»</w:t>
      </w:r>
    </w:p>
    <w:p w14:paraId="793E8F7E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Каждое предприятие ведет свою деятельность в определенной среде, которая в свою очередь оказывает влияние на положение, успех и деятельность организации.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Особое значение для организации имеет внешняя среда, поскольку именно ф</w:t>
      </w:r>
      <w:r w:rsidRPr="00D13562">
        <w:rPr>
          <w:rFonts w:ascii="Times New Roman" w:hAnsi="Times New Roman" w:cs="Times New Roman"/>
          <w:bCs/>
          <w:sz w:val="28"/>
          <w:szCs w:val="28"/>
        </w:rPr>
        <w:t>акторы внешней среды являются неконтролируемыми со стороны предприятия и его служб.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013D772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Внешняя среда представляет собой</w:t>
      </w:r>
      <w:r w:rsidRPr="00D13562">
        <w:rPr>
          <w:rFonts w:ascii="Times New Roman" w:hAnsi="Times New Roman" w:cs="Times New Roman"/>
          <w:bCs/>
          <w:sz w:val="28"/>
          <w:szCs w:val="28"/>
        </w:rPr>
        <w:t xml:space="preserve"> все условия и факторы, которые возникают независимо от деятельности предприятия и оказывают существенное воздействие на него.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13562">
        <w:rPr>
          <w:rFonts w:ascii="Times New Roman" w:hAnsi="Times New Roman" w:cs="Times New Roman"/>
          <w:bCs/>
          <w:sz w:val="28"/>
          <w:szCs w:val="28"/>
        </w:rPr>
        <w:t>К ней относятся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 объекты, факторы и явления</w:t>
      </w:r>
      <w:r w:rsidRPr="00D13562">
        <w:rPr>
          <w:rFonts w:ascii="Times New Roman" w:hAnsi="Times New Roman" w:cs="Times New Roman"/>
          <w:bCs/>
          <w:sz w:val="28"/>
          <w:szCs w:val="28"/>
        </w:rPr>
        <w:t>,которые находятся за пределами предприятия, которые оказывают непосредственное влияние на его деятельность. В микросреду фирмы включаются взаимоотношения фирмы с поставщиками, посредниками, клиентами</w:t>
      </w:r>
      <w:r>
        <w:rPr>
          <w:rFonts w:ascii="Times New Roman" w:hAnsi="Times New Roman" w:cs="Times New Roman"/>
          <w:bCs/>
          <w:sz w:val="28"/>
          <w:szCs w:val="28"/>
        </w:rPr>
        <w:t>, контактной аудиторией</w:t>
      </w:r>
      <w:r w:rsidRPr="00D13562">
        <w:rPr>
          <w:rFonts w:ascii="Times New Roman" w:hAnsi="Times New Roman" w:cs="Times New Roman"/>
          <w:bCs/>
          <w:sz w:val="28"/>
          <w:szCs w:val="28"/>
        </w:rPr>
        <w:t xml:space="preserve"> и конкурентами. Макросреда фирмы представлена более общими для большинства фирм факторами преимущественно социального плана. К ним относятся факторы демографического, экономического, природного, политического, технического и культурного характера.</w:t>
      </w:r>
    </w:p>
    <w:p w14:paraId="443D2839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346">
        <w:rPr>
          <w:rFonts w:ascii="Times New Roman" w:hAnsi="Times New Roman" w:cs="Times New Roman"/>
          <w:bCs/>
          <w:sz w:val="28"/>
          <w:szCs w:val="28"/>
        </w:rPr>
        <w:t>Для анализа внешней маркетинговой среды чаще всего используются базовые матричные методы стратегического анализа, так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как PEST-анализ, </w:t>
      </w:r>
      <w:r w:rsidRPr="00263211">
        <w:rPr>
          <w:rFonts w:ascii="Times New Roman" w:hAnsi="Times New Roman" w:cs="Times New Roman"/>
          <w:bCs/>
          <w:sz w:val="28"/>
          <w:szCs w:val="28"/>
        </w:rPr>
        <w:t xml:space="preserve">анализ пяти конкурентных сил М. Портера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SWOT-анализ. </w:t>
      </w:r>
    </w:p>
    <w:p w14:paraId="793CFDA0" w14:textId="77777777" w:rsidR="005C517F" w:rsidRPr="00EC113E" w:rsidRDefault="005C517F" w:rsidP="005C517F">
      <w:pPr>
        <w:tabs>
          <w:tab w:val="left" w:pos="3956"/>
        </w:tabs>
        <w:spacing w:after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40B">
        <w:rPr>
          <w:rFonts w:ascii="Times New Roman" w:hAnsi="Times New Roman" w:cs="Times New Roman"/>
          <w:bCs/>
          <w:sz w:val="28"/>
          <w:szCs w:val="28"/>
        </w:rPr>
        <w:t>Для изучения и послед</w:t>
      </w:r>
      <w:r>
        <w:rPr>
          <w:rFonts w:ascii="Times New Roman" w:hAnsi="Times New Roman" w:cs="Times New Roman"/>
          <w:bCs/>
          <w:sz w:val="28"/>
          <w:szCs w:val="28"/>
        </w:rPr>
        <w:t>ующего анализа макровнешней среды</w:t>
      </w:r>
      <w:r w:rsidRPr="0053740B">
        <w:rPr>
          <w:rFonts w:ascii="Times New Roman" w:hAnsi="Times New Roman" w:cs="Times New Roman"/>
          <w:bCs/>
          <w:sz w:val="28"/>
          <w:szCs w:val="28"/>
        </w:rPr>
        <w:t xml:space="preserve"> широко используется методика PEST-анализа, предполагающая необходимость определения базовых факторов политической, экономической, научно-технической и социальной среды, оказывающих определяющее влия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на деятельность предприятия. </w:t>
      </w:r>
    </w:p>
    <w:p w14:paraId="33DAEB0C" w14:textId="71D9BAD9" w:rsidR="005C517F" w:rsidRPr="000478F1" w:rsidRDefault="005C517F" w:rsidP="005C517F">
      <w:pPr>
        <w:tabs>
          <w:tab w:val="left" w:pos="3956"/>
        </w:tabs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14DC">
        <w:rPr>
          <w:rFonts w:ascii="Times New Roman" w:hAnsi="Times New Roman" w:cs="Times New Roman"/>
          <w:bCs/>
          <w:sz w:val="28"/>
          <w:szCs w:val="28"/>
        </w:rPr>
        <w:t xml:space="preserve">Таблица 1 – </w:t>
      </w:r>
      <w:r w:rsidRPr="009414DC">
        <w:rPr>
          <w:rFonts w:ascii="Times New Roman" w:hAnsi="Times New Roman" w:cs="Times New Roman"/>
          <w:bCs/>
          <w:sz w:val="28"/>
          <w:szCs w:val="28"/>
          <w:lang w:val="en-GB"/>
        </w:rPr>
        <w:t>PEST</w:t>
      </w:r>
      <w:r w:rsidRPr="009414DC">
        <w:rPr>
          <w:rFonts w:ascii="Times New Roman" w:hAnsi="Times New Roman" w:cs="Times New Roman"/>
          <w:bCs/>
          <w:sz w:val="28"/>
          <w:szCs w:val="28"/>
        </w:rPr>
        <w:t xml:space="preserve">-анализ внешней среды </w:t>
      </w:r>
      <w:r w:rsidRPr="009414DC">
        <w:rPr>
          <w:rFonts w:ascii="Times New Roman" w:hAnsi="Times New Roman" w:cs="Times New Roman"/>
          <w:bCs/>
          <w:sz w:val="28"/>
          <w:szCs w:val="28"/>
          <w:lang w:val="ru-RU"/>
        </w:rPr>
        <w:t>ГЛХУ «</w:t>
      </w:r>
      <w:proofErr w:type="spellStart"/>
      <w:r w:rsidRPr="009414DC">
        <w:rPr>
          <w:rFonts w:ascii="Times New Roman" w:hAnsi="Times New Roman" w:cs="Times New Roman"/>
          <w:bCs/>
          <w:sz w:val="28"/>
          <w:szCs w:val="28"/>
          <w:lang w:val="ru-RU"/>
        </w:rPr>
        <w:t>Осиповичский</w:t>
      </w:r>
      <w:proofErr w:type="spellEnd"/>
      <w:r w:rsidRPr="009414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опытный лесхоз»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7749"/>
      </w:tblGrid>
      <w:tr w:rsidR="005C517F" w14:paraId="598A650E" w14:textId="77777777" w:rsidTr="00DA1C60">
        <w:tc>
          <w:tcPr>
            <w:tcW w:w="2311" w:type="dxa"/>
          </w:tcPr>
          <w:p w14:paraId="7077F204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Фактор </w:t>
            </w:r>
          </w:p>
        </w:tc>
        <w:tc>
          <w:tcPr>
            <w:tcW w:w="7749" w:type="dxa"/>
          </w:tcPr>
          <w:p w14:paraId="448C684F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5C517F" w14:paraId="6302F116" w14:textId="77777777" w:rsidTr="00DA1C60">
        <w:tc>
          <w:tcPr>
            <w:tcW w:w="2311" w:type="dxa"/>
          </w:tcPr>
          <w:p w14:paraId="2D53B96E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</w:t>
            </w:r>
          </w:p>
        </w:tc>
        <w:tc>
          <w:tcPr>
            <w:tcW w:w="7749" w:type="dxa"/>
          </w:tcPr>
          <w:p w14:paraId="7FFD87A6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Введение санкций против предприятия или лесного комплекса в целом.</w:t>
            </w:r>
          </w:p>
          <w:p w14:paraId="3C49F194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Ввод в эксплуатацию «Северный поток – 2», что снизит 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пеллетов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C5816B" w14:textId="77777777" w:rsidR="005C517F" w:rsidRPr="00F7129E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Изменение экспортных таможенных пошлин. </w:t>
            </w:r>
          </w:p>
        </w:tc>
      </w:tr>
      <w:tr w:rsidR="005C517F" w14:paraId="5A11C90D" w14:textId="77777777" w:rsidTr="000A2929">
        <w:tc>
          <w:tcPr>
            <w:tcW w:w="2311" w:type="dxa"/>
            <w:tcBorders>
              <w:bottom w:val="single" w:sz="4" w:space="0" w:color="000000" w:themeColor="text1"/>
            </w:tcBorders>
          </w:tcPr>
          <w:p w14:paraId="02E7C5B8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7749" w:type="dxa"/>
            <w:tcBorders>
              <w:bottom w:val="single" w:sz="4" w:space="0" w:color="000000" w:themeColor="text1"/>
            </w:tcBorders>
          </w:tcPr>
          <w:p w14:paraId="1098C677" w14:textId="77777777" w:rsidR="005C517F" w:rsidRPr="008D6982" w:rsidRDefault="005C517F" w:rsidP="00DA1C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Рост стоимости топлива.</w:t>
            </w:r>
          </w:p>
          <w:p w14:paraId="50027390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34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положение. 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 располагается на крупном железнодорожном узле, что делает выгоду партнёрам для европейских и российских потребителей. </w:t>
            </w:r>
          </w:p>
          <w:p w14:paraId="09182BDD" w14:textId="77777777" w:rsidR="005C517F" w:rsidRPr="00A341FE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Отключение 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F577ADF" w14:textId="77777777" w:rsidR="005C517F" w:rsidRPr="007434EC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Инфляция в 2021 году составляет 9,8</w:t>
            </w:r>
            <w:r w:rsidRPr="00A341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2020 в 7</w:t>
            </w:r>
            <w:r w:rsidRPr="00A341FE">
              <w:rPr>
                <w:rFonts w:ascii="Times New Roman" w:hAnsi="Times New Roman" w:cs="Times New Roman"/>
                <w:sz w:val="28"/>
                <w:szCs w:val="28"/>
              </w:rPr>
              <w:t xml:space="preserve">,4%. </w:t>
            </w:r>
          </w:p>
        </w:tc>
      </w:tr>
      <w:tr w:rsidR="005C517F" w14:paraId="50E2262E" w14:textId="77777777" w:rsidTr="000A2929">
        <w:tc>
          <w:tcPr>
            <w:tcW w:w="2311" w:type="dxa"/>
            <w:tcBorders>
              <w:bottom w:val="single" w:sz="4" w:space="0" w:color="auto"/>
            </w:tcBorders>
          </w:tcPr>
          <w:p w14:paraId="775AE44A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Социально-культурный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14:paraId="74F4F2A6" w14:textId="77777777" w:rsidR="005C517F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30E0E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Негативные последствия </w:t>
            </w:r>
            <w:r w:rsidRPr="00B30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30E0E">
              <w:rPr>
                <w:rFonts w:ascii="Times New Roman" w:hAnsi="Times New Roman" w:cs="Times New Roman"/>
                <w:sz w:val="28"/>
                <w:szCs w:val="28"/>
              </w:rPr>
              <w:t>-19, что приводит к уменьшению предложения рабочих мест, увеличению смертности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40DCF99" w14:textId="77777777" w:rsidR="005C517F" w:rsidRPr="007434EC" w:rsidRDefault="005C517F" w:rsidP="00DA1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  <w:r w:rsidRPr="000A2929">
              <w:rPr>
                <w:rFonts w:ascii="Times New Roman" w:hAnsi="Times New Roman" w:cs="Times New Roman"/>
                <w:sz w:val="28"/>
                <w:szCs w:val="28"/>
              </w:rPr>
              <w:t>Переориентация людей в многоэтажное строительство.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 xml:space="preserve"> </w:t>
            </w:r>
          </w:p>
        </w:tc>
      </w:tr>
      <w:tr w:rsidR="000A2929" w14:paraId="7454DE5A" w14:textId="77777777" w:rsidTr="000A2929">
        <w:trPr>
          <w:trHeight w:val="428"/>
        </w:trPr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91697" w14:textId="77777777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4740D" w14:textId="77777777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29" w14:paraId="3A1F113D" w14:textId="77777777" w:rsidTr="000A2929">
        <w:trPr>
          <w:trHeight w:val="711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A9372C5" w14:textId="77777777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nil"/>
              <w:left w:val="nil"/>
              <w:bottom w:val="nil"/>
              <w:right w:val="nil"/>
            </w:tcBorders>
          </w:tcPr>
          <w:p w14:paraId="15A6C6A3" w14:textId="77777777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29" w14:paraId="70587A86" w14:textId="77777777" w:rsidTr="000A2929">
        <w:trPr>
          <w:trHeight w:val="428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E03E7" w14:textId="5A31E84C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0A2929" w14:paraId="5A4AD491" w14:textId="77777777" w:rsidTr="000A2929">
        <w:trPr>
          <w:trHeight w:val="1473"/>
        </w:trPr>
        <w:tc>
          <w:tcPr>
            <w:tcW w:w="2311" w:type="dxa"/>
            <w:tcBorders>
              <w:top w:val="single" w:sz="4" w:space="0" w:color="auto"/>
            </w:tcBorders>
          </w:tcPr>
          <w:p w14:paraId="0EDF8775" w14:textId="355791AF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9" w:type="dxa"/>
            <w:tcBorders>
              <w:top w:val="single" w:sz="4" w:space="0" w:color="auto"/>
            </w:tcBorders>
          </w:tcPr>
          <w:p w14:paraId="4269BEB7" w14:textId="77777777" w:rsidR="000A2929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Введение в эксплуатацию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тушении пожаров,</w:t>
            </w:r>
            <w:r w:rsidRPr="000836DC">
              <w:rPr>
                <w:rFonts w:ascii="Open Sans" w:eastAsia="Times New Roman" w:hAnsi="Open Sans" w:cs="Open Sans"/>
                <w:color w:val="181818"/>
                <w:shd w:val="clear" w:color="auto" w:fill="FFFFFF"/>
              </w:rPr>
              <w:t xml:space="preserve"> </w:t>
            </w:r>
            <w:r w:rsidRPr="000836DC">
              <w:rPr>
                <w:rFonts w:ascii="Times New Roman" w:hAnsi="Times New Roman" w:cs="Times New Roman"/>
                <w:sz w:val="28"/>
                <w:szCs w:val="28"/>
              </w:rPr>
              <w:t>для определения площади усыхающих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качестве инструмента для проведения онлайн экскурсий по территории. </w:t>
            </w:r>
          </w:p>
          <w:p w14:paraId="619CE004" w14:textId="6DC65562" w:rsidR="000A2929" w:rsidRPr="008D6982" w:rsidRDefault="000A2929" w:rsidP="000A2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Развитие сети Интернет. Это позволяет активно продвигать побочную продукцию предприятия и привлекать новых потребителей, также упрощает процесс выбора и покупки товаров.</w:t>
            </w:r>
          </w:p>
        </w:tc>
      </w:tr>
    </w:tbl>
    <w:p w14:paraId="03C993B9" w14:textId="77777777" w:rsidR="005C517F" w:rsidRDefault="005C517F" w:rsidP="005C517F">
      <w:pPr>
        <w:tabs>
          <w:tab w:val="left" w:pos="3956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по результатам проведенного анализа внешней среды можно отметить следующее.</w:t>
      </w:r>
    </w:p>
    <w:p w14:paraId="6734D9E6" w14:textId="7787F768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первую очередь важно </w:t>
      </w:r>
      <w:r w:rsidR="000A2929">
        <w:rPr>
          <w:rFonts w:ascii="Times New Roman" w:hAnsi="Times New Roman" w:cs="Times New Roman"/>
          <w:bCs/>
          <w:sz w:val="28"/>
          <w:szCs w:val="28"/>
          <w:lang w:val="ru-RU"/>
        </w:rPr>
        <w:t>отметить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деятельность лесхоза </w:t>
      </w:r>
      <w:r>
        <w:rPr>
          <w:rFonts w:ascii="Times New Roman" w:hAnsi="Times New Roman" w:cs="Times New Roman"/>
          <w:bCs/>
          <w:sz w:val="28"/>
          <w:szCs w:val="28"/>
        </w:rPr>
        <w:t>находится в крайне высокой степени зависимости от экономических и политических факторов, поскольку их состояние и тенденции оказывают сильнейшее влияние на деятельность, настроение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поведение потребителей. </w:t>
      </w:r>
    </w:p>
    <w:p w14:paraId="71984782" w14:textId="685F4C5A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 не менее, перечисленные в </w:t>
      </w:r>
      <w:r w:rsidR="000A2929"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аблице 1 факторы имеют различную степень влияния на деятельность предприятия. Наибольшее воздействие, как уже было отмечено, имеют политические и экономические факторы, а меньшую степень воздействия – ряд социальных и технологических.</w:t>
      </w:r>
    </w:p>
    <w:p w14:paraId="79FC4933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460477">
        <w:rPr>
          <w:rFonts w:ascii="Times New Roman" w:hAnsi="Times New Roman" w:cs="Times New Roman"/>
          <w:bCs/>
          <w:sz w:val="28"/>
          <w:szCs w:val="28"/>
        </w:rPr>
        <w:t xml:space="preserve"> последнее время набирает обороты введение санкций со стороны европейских государств, что напрямую отражается на состоянии экономики страны и ряда предприятий.</w:t>
      </w:r>
    </w:p>
    <w:p w14:paraId="5E9116D9" w14:textId="77777777" w:rsidR="005C517F" w:rsidRPr="00460477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Среди прочих экономических факторов был выделен такой фактор, как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географическое положение лесхоза. Это способствует перевозке больших партий груза по оптимальной цене. </w:t>
      </w:r>
    </w:p>
    <w:p w14:paraId="7F265D44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Среди факторов социальной группы большую степень влияние имеют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переориентация людей в многоэтажное строительство. Это снизит уровень потребления древесины, так как основными материалами для построения многоэтажных домов являются бетонные блоки и кирпич.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D5031E" w14:textId="77777777" w:rsidR="005C517F" w:rsidRDefault="005C517F" w:rsidP="005C517F">
      <w:pPr>
        <w:tabs>
          <w:tab w:val="left" w:pos="39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Технологические факторы оказывают влияние, во-первых, на качество предоставляемых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товаров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во-вторых, на возможность создания уникальных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товаров  и услуг, которые смогут привлечь внимание потребителей к деятельности лесхоза. </w:t>
      </w:r>
    </w:p>
    <w:p w14:paraId="35624866" w14:textId="77777777" w:rsidR="005C517F" w:rsidRPr="005C517F" w:rsidRDefault="005C517F">
      <w:pPr>
        <w:rPr>
          <w:lang w:val="ru-RU"/>
        </w:rPr>
      </w:pPr>
    </w:p>
    <w:sectPr w:rsidR="005C517F" w:rsidRPr="005C517F" w:rsidSect="005C517F">
      <w:pgSz w:w="11906" w:h="16838"/>
      <w:pgMar w:top="1134" w:right="45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7F"/>
    <w:rsid w:val="000A2929"/>
    <w:rsid w:val="005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FCEE5"/>
  <w15:chartTrackingRefBased/>
  <w15:docId w15:val="{4865D663-4E69-2A44-81A7-E1116D7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17F"/>
    <w:rPr>
      <w:rFonts w:eastAsiaTheme="minorEastAsia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olgalasotskaya2@gmail.com</dc:creator>
  <cp:keywords/>
  <dc:description/>
  <cp:lastModifiedBy>olgalasotskaya2@gmail.com</cp:lastModifiedBy>
  <cp:revision>1</cp:revision>
  <dcterms:created xsi:type="dcterms:W3CDTF">2021-11-12T13:47:00Z</dcterms:created>
  <dcterms:modified xsi:type="dcterms:W3CDTF">2021-11-12T14:08:00Z</dcterms:modified>
</cp:coreProperties>
</file>