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0598" w14:textId="77777777" w:rsidR="00A47A63" w:rsidRPr="005E6BE6" w:rsidRDefault="00A47A63" w:rsidP="00F4744A">
      <w:pPr>
        <w:shd w:val="clear" w:color="auto" w:fill="FFFFFF"/>
        <w:spacing w:after="0" w:line="360" w:lineRule="auto"/>
        <w:rPr>
          <w:rFonts w:ascii="Times New Roman" w:hAnsi="Times New Roman"/>
          <w:b/>
          <w:sz w:val="28"/>
          <w:szCs w:val="28"/>
        </w:rPr>
      </w:pPr>
      <w:r w:rsidRPr="005E6BE6">
        <w:rPr>
          <w:rFonts w:ascii="Times New Roman" w:eastAsia="Times New Roman" w:hAnsi="Times New Roman"/>
          <w:b/>
          <w:sz w:val="28"/>
          <w:szCs w:val="28"/>
          <w:bdr w:val="none" w:sz="0" w:space="0" w:color="auto" w:frame="1"/>
          <w:lang w:eastAsia="ru-RU"/>
        </w:rPr>
        <w:t xml:space="preserve">УДК </w:t>
      </w:r>
      <w:r w:rsidRPr="005E6BE6">
        <w:rPr>
          <w:rFonts w:ascii="Times New Roman" w:hAnsi="Times New Roman"/>
          <w:b/>
          <w:sz w:val="28"/>
          <w:szCs w:val="28"/>
        </w:rPr>
        <w:t>316.442</w:t>
      </w:r>
    </w:p>
    <w:p w14:paraId="10FF9809" w14:textId="77777777" w:rsidR="00A47A63" w:rsidRDefault="00A47A63" w:rsidP="00F4744A">
      <w:pPr>
        <w:spacing w:after="0" w:line="360" w:lineRule="auto"/>
        <w:ind w:firstLine="709"/>
        <w:jc w:val="both"/>
        <w:rPr>
          <w:rFonts w:ascii="Times New Roman" w:hAnsi="Times New Roman" w:cs="Times New Roman"/>
          <w:sz w:val="28"/>
          <w:szCs w:val="28"/>
        </w:rPr>
      </w:pPr>
    </w:p>
    <w:p w14:paraId="33E83D84" w14:textId="50D64F8E" w:rsidR="00143594" w:rsidRDefault="00A47A63" w:rsidP="00F4744A">
      <w:pPr>
        <w:spacing w:after="0" w:line="360" w:lineRule="auto"/>
        <w:jc w:val="center"/>
        <w:rPr>
          <w:rFonts w:ascii="Times New Roman" w:hAnsi="Times New Roman" w:cs="Times New Roman"/>
          <w:b/>
          <w:bCs/>
          <w:sz w:val="28"/>
          <w:szCs w:val="28"/>
        </w:rPr>
      </w:pPr>
      <w:r w:rsidRPr="00B9619D">
        <w:rPr>
          <w:rFonts w:ascii="Times New Roman" w:hAnsi="Times New Roman" w:cs="Times New Roman"/>
          <w:b/>
          <w:bCs/>
          <w:sz w:val="28"/>
          <w:szCs w:val="28"/>
        </w:rPr>
        <w:t>ИДЕНТИЧНОСТЬ РОССИЙСКОЙ МОЛОДЕЖИ В КОНТЕКСТЕ ТРАНСФОРМАЦИИ РОССИЙСКОГО ЦИВИЛИЗАЦИОННОГО ПРОСТРАНСТВА</w:t>
      </w:r>
    </w:p>
    <w:p w14:paraId="404C107E" w14:textId="48C23726" w:rsidR="00B9619D" w:rsidRDefault="00B9619D" w:rsidP="00F4744A">
      <w:pPr>
        <w:spacing w:after="0" w:line="360" w:lineRule="auto"/>
        <w:ind w:firstLine="709"/>
        <w:jc w:val="center"/>
        <w:rPr>
          <w:rFonts w:ascii="Times New Roman" w:hAnsi="Times New Roman" w:cs="Times New Roman"/>
          <w:b/>
          <w:bCs/>
          <w:sz w:val="28"/>
          <w:szCs w:val="28"/>
        </w:rPr>
      </w:pPr>
    </w:p>
    <w:p w14:paraId="3B68D2F6" w14:textId="77777777" w:rsidR="00A47A63" w:rsidRPr="00A47A63" w:rsidRDefault="00A47A63" w:rsidP="00F4744A">
      <w:pPr>
        <w:spacing w:after="0" w:line="360" w:lineRule="auto"/>
        <w:jc w:val="center"/>
        <w:rPr>
          <w:rFonts w:ascii="Times New Roman" w:hAnsi="Times New Roman" w:cs="Times New Roman"/>
          <w:i/>
          <w:iCs/>
          <w:sz w:val="28"/>
          <w:szCs w:val="28"/>
        </w:rPr>
      </w:pPr>
      <w:r w:rsidRPr="00A47A63">
        <w:rPr>
          <w:rFonts w:ascii="Times New Roman" w:hAnsi="Times New Roman" w:cs="Times New Roman"/>
          <w:i/>
          <w:iCs/>
          <w:sz w:val="28"/>
          <w:szCs w:val="28"/>
        </w:rPr>
        <w:t>Кибакин Михаил Викторович – профессор Финансового университета при Правительстве Российской Федерации, доктор социологических наук, доцент</w:t>
      </w:r>
    </w:p>
    <w:p w14:paraId="3F7202DB" w14:textId="73BF53E8" w:rsidR="00A47A63" w:rsidRPr="00A47A63" w:rsidRDefault="00A47A63" w:rsidP="00F4744A">
      <w:pPr>
        <w:spacing w:after="0" w:line="360" w:lineRule="auto"/>
        <w:jc w:val="center"/>
        <w:rPr>
          <w:rFonts w:ascii="Times New Roman" w:hAnsi="Times New Roman" w:cs="Times New Roman"/>
          <w:i/>
          <w:iCs/>
          <w:sz w:val="28"/>
          <w:szCs w:val="28"/>
        </w:rPr>
      </w:pPr>
      <w:r w:rsidRPr="00A47A63">
        <w:rPr>
          <w:rStyle w:val="a3"/>
          <w:rFonts w:ascii="Times New Roman" w:hAnsi="Times New Roman" w:cs="Times New Roman"/>
          <w:sz w:val="28"/>
          <w:szCs w:val="28"/>
        </w:rPr>
        <w:t xml:space="preserve">Козырев Николай Александрович – социолог-исследователь АНО «Центр развития научно-образовательных инициатив для инвалидов </w:t>
      </w:r>
      <w:r w:rsidR="005E6BE6">
        <w:rPr>
          <w:rStyle w:val="a3"/>
          <w:rFonts w:ascii="Times New Roman" w:hAnsi="Times New Roman" w:cs="Times New Roman"/>
          <w:sz w:val="28"/>
          <w:szCs w:val="28"/>
        </w:rPr>
        <w:t>«</w:t>
      </w:r>
      <w:r w:rsidRPr="00A47A63">
        <w:rPr>
          <w:rStyle w:val="a3"/>
          <w:rFonts w:ascii="Times New Roman" w:hAnsi="Times New Roman" w:cs="Times New Roman"/>
          <w:sz w:val="28"/>
          <w:szCs w:val="28"/>
        </w:rPr>
        <w:t>Столица успеха»</w:t>
      </w:r>
    </w:p>
    <w:p w14:paraId="5DCA77F5" w14:textId="77777777" w:rsidR="00A47A63" w:rsidRDefault="00A47A63" w:rsidP="00F4744A">
      <w:pPr>
        <w:spacing w:after="0" w:line="360" w:lineRule="auto"/>
        <w:ind w:firstLine="709"/>
        <w:jc w:val="center"/>
        <w:rPr>
          <w:rFonts w:ascii="Times New Roman" w:hAnsi="Times New Roman" w:cs="Times New Roman"/>
          <w:b/>
          <w:bCs/>
          <w:sz w:val="28"/>
          <w:szCs w:val="28"/>
        </w:rPr>
      </w:pPr>
    </w:p>
    <w:p w14:paraId="6F48F08D" w14:textId="6B2E085F" w:rsidR="002F7A5B" w:rsidRDefault="00772B79" w:rsidP="00F4744A">
      <w:pPr>
        <w:spacing w:after="0" w:line="360" w:lineRule="auto"/>
        <w:ind w:firstLine="709"/>
        <w:jc w:val="both"/>
        <w:rPr>
          <w:rFonts w:ascii="Times New Roman" w:hAnsi="Times New Roman" w:cs="Times New Roman"/>
          <w:sz w:val="28"/>
          <w:szCs w:val="28"/>
        </w:rPr>
      </w:pPr>
      <w:r w:rsidRPr="006A1ED1">
        <w:rPr>
          <w:rFonts w:ascii="Times New Roman" w:hAnsi="Times New Roman" w:cs="Times New Roman"/>
          <w:sz w:val="28"/>
          <w:szCs w:val="28"/>
        </w:rPr>
        <w:t>Социальное развитие России, как субъекта глобального процесса становления новых институциональных форм национальных государств и их союзов во многом детерминируется реализаци</w:t>
      </w:r>
      <w:r w:rsidR="002F7A5B">
        <w:rPr>
          <w:rFonts w:ascii="Times New Roman" w:hAnsi="Times New Roman" w:cs="Times New Roman"/>
          <w:sz w:val="28"/>
          <w:szCs w:val="28"/>
        </w:rPr>
        <w:t>ей</w:t>
      </w:r>
      <w:r w:rsidRPr="006A1ED1">
        <w:rPr>
          <w:rFonts w:ascii="Times New Roman" w:hAnsi="Times New Roman" w:cs="Times New Roman"/>
          <w:sz w:val="28"/>
          <w:szCs w:val="28"/>
        </w:rPr>
        <w:t xml:space="preserve"> российского цивилизационного проекта</w:t>
      </w:r>
      <w:r w:rsidR="002F7A5B">
        <w:rPr>
          <w:rFonts w:ascii="Times New Roman" w:hAnsi="Times New Roman" w:cs="Times New Roman"/>
          <w:sz w:val="28"/>
          <w:szCs w:val="28"/>
        </w:rPr>
        <w:t>, формированием соответствующего многомерное пространство социальных процессов, социальных отношений, социальных практик, социальных позиций и социальных полей, функционально связанных между собой</w:t>
      </w:r>
      <w:r w:rsidR="00763D98">
        <w:rPr>
          <w:rFonts w:ascii="Times New Roman" w:hAnsi="Times New Roman" w:cs="Times New Roman"/>
          <w:sz w:val="28"/>
          <w:szCs w:val="28"/>
        </w:rPr>
        <w:t xml:space="preserve">  </w:t>
      </w:r>
      <w:r w:rsidR="00763D98" w:rsidRPr="00763D98">
        <w:rPr>
          <w:rFonts w:ascii="Times New Roman" w:hAnsi="Times New Roman" w:cs="Times New Roman"/>
          <w:sz w:val="28"/>
          <w:szCs w:val="28"/>
        </w:rPr>
        <w:t>[3</w:t>
      </w:r>
      <w:r w:rsidR="00763D98">
        <w:rPr>
          <w:rFonts w:ascii="Times New Roman" w:hAnsi="Times New Roman" w:cs="Times New Roman"/>
          <w:sz w:val="28"/>
          <w:szCs w:val="28"/>
        </w:rPr>
        <w:t>; 10</w:t>
      </w:r>
      <w:r w:rsidR="00763D98" w:rsidRPr="00763D98">
        <w:rPr>
          <w:rFonts w:ascii="Times New Roman" w:hAnsi="Times New Roman" w:cs="Times New Roman"/>
          <w:sz w:val="28"/>
          <w:szCs w:val="28"/>
        </w:rPr>
        <w:t>]</w:t>
      </w:r>
      <w:r w:rsidR="008A5F44">
        <w:rPr>
          <w:rFonts w:ascii="Times New Roman" w:hAnsi="Times New Roman" w:cs="Times New Roman"/>
          <w:sz w:val="28"/>
          <w:szCs w:val="28"/>
        </w:rPr>
        <w:t xml:space="preserve">, и которое поддерживается </w:t>
      </w:r>
      <w:r w:rsidR="002067DB">
        <w:rPr>
          <w:rFonts w:ascii="Times New Roman" w:hAnsi="Times New Roman" w:cs="Times New Roman"/>
          <w:sz w:val="28"/>
          <w:szCs w:val="28"/>
        </w:rPr>
        <w:t>современной российской государственности</w:t>
      </w:r>
      <w:r w:rsidR="008A5F44">
        <w:rPr>
          <w:rFonts w:ascii="Times New Roman" w:hAnsi="Times New Roman" w:cs="Times New Roman"/>
          <w:sz w:val="28"/>
          <w:szCs w:val="28"/>
        </w:rPr>
        <w:t>, институтами программно-целево</w:t>
      </w:r>
      <w:r w:rsidR="002067DB">
        <w:rPr>
          <w:rFonts w:ascii="Times New Roman" w:hAnsi="Times New Roman" w:cs="Times New Roman"/>
          <w:sz w:val="28"/>
          <w:szCs w:val="28"/>
        </w:rPr>
        <w:t>го управления</w:t>
      </w:r>
      <w:r w:rsidR="00763D98" w:rsidRPr="00763D98">
        <w:rPr>
          <w:rFonts w:ascii="Times New Roman" w:hAnsi="Times New Roman" w:cs="Times New Roman"/>
          <w:sz w:val="28"/>
          <w:szCs w:val="28"/>
        </w:rPr>
        <w:t xml:space="preserve"> [</w:t>
      </w:r>
      <w:r w:rsidR="00763D98">
        <w:rPr>
          <w:rFonts w:ascii="Times New Roman" w:hAnsi="Times New Roman" w:cs="Times New Roman"/>
          <w:sz w:val="28"/>
          <w:szCs w:val="28"/>
        </w:rPr>
        <w:t>8</w:t>
      </w:r>
      <w:r w:rsidR="00763D98" w:rsidRPr="00763D98">
        <w:rPr>
          <w:rFonts w:ascii="Times New Roman" w:hAnsi="Times New Roman" w:cs="Times New Roman"/>
          <w:sz w:val="28"/>
          <w:szCs w:val="28"/>
        </w:rPr>
        <w:t>]</w:t>
      </w:r>
      <w:r w:rsidR="002F7A5B">
        <w:rPr>
          <w:rFonts w:ascii="Times New Roman" w:hAnsi="Times New Roman" w:cs="Times New Roman"/>
          <w:sz w:val="28"/>
          <w:szCs w:val="28"/>
        </w:rPr>
        <w:t xml:space="preserve">. </w:t>
      </w:r>
    </w:p>
    <w:p w14:paraId="6F6FE252" w14:textId="275217DA" w:rsidR="00D4165F" w:rsidRDefault="00D4165F"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587CD1">
        <w:rPr>
          <w:rFonts w:ascii="Times New Roman" w:hAnsi="Times New Roman" w:cs="Times New Roman"/>
          <w:sz w:val="28"/>
          <w:szCs w:val="28"/>
        </w:rPr>
        <w:t xml:space="preserve">социологическая наука должна насытить субъекты государственного и стратегического социального управления теоретико-методологическим и практическим материалом на основе научной рефлексии сущности, содержания, механизмов, детерминации и перспектив трансформации российского цивилизационного пространства. В силу длительности этого процесса, его долгосрочного характера важно проводить его осмысление с учетом социальных характеристик молодежи, как носителей ценностей российской цивилизации и </w:t>
      </w:r>
      <w:proofErr w:type="spellStart"/>
      <w:r w:rsidR="00587CD1">
        <w:rPr>
          <w:rFonts w:ascii="Times New Roman" w:hAnsi="Times New Roman" w:cs="Times New Roman"/>
          <w:sz w:val="28"/>
          <w:szCs w:val="28"/>
        </w:rPr>
        <w:t>акторов</w:t>
      </w:r>
      <w:proofErr w:type="spellEnd"/>
      <w:r w:rsidR="00587CD1">
        <w:rPr>
          <w:rFonts w:ascii="Times New Roman" w:hAnsi="Times New Roman" w:cs="Times New Roman"/>
          <w:sz w:val="28"/>
          <w:szCs w:val="28"/>
        </w:rPr>
        <w:t xml:space="preserve"> их реализации в различных сферах социума в исторической перспективе.</w:t>
      </w:r>
    </w:p>
    <w:p w14:paraId="1369D2C6" w14:textId="7EBFA108" w:rsidR="0020274B" w:rsidRDefault="0020274B"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Методологической основой для системное описания российского цивилизационного пространства являются научные теории соци</w:t>
      </w:r>
      <w:r w:rsidR="00795013">
        <w:rPr>
          <w:rFonts w:ascii="Times New Roman" w:hAnsi="Times New Roman" w:cs="Times New Roman"/>
          <w:sz w:val="28"/>
          <w:szCs w:val="28"/>
        </w:rPr>
        <w:t>ального</w:t>
      </w:r>
      <w:r>
        <w:rPr>
          <w:rFonts w:ascii="Times New Roman" w:hAnsi="Times New Roman" w:cs="Times New Roman"/>
          <w:sz w:val="28"/>
          <w:szCs w:val="28"/>
        </w:rPr>
        <w:t xml:space="preserve"> пространства</w:t>
      </w:r>
      <w:r w:rsidR="00763D98">
        <w:rPr>
          <w:rFonts w:ascii="Times New Roman" w:hAnsi="Times New Roman" w:cs="Times New Roman"/>
          <w:sz w:val="28"/>
          <w:szCs w:val="28"/>
        </w:rPr>
        <w:t xml:space="preserve"> </w:t>
      </w:r>
      <w:r w:rsidR="00763D98" w:rsidRPr="00763D98">
        <w:rPr>
          <w:rFonts w:ascii="Times New Roman" w:hAnsi="Times New Roman" w:cs="Times New Roman"/>
          <w:sz w:val="28"/>
          <w:szCs w:val="28"/>
        </w:rPr>
        <w:t>[</w:t>
      </w:r>
      <w:r w:rsidR="00A57C8A" w:rsidRPr="00A57C8A">
        <w:rPr>
          <w:rFonts w:ascii="Times New Roman" w:hAnsi="Times New Roman" w:cs="Times New Roman"/>
          <w:sz w:val="28"/>
          <w:szCs w:val="28"/>
        </w:rPr>
        <w:t>7</w:t>
      </w:r>
      <w:r w:rsidR="00763D98" w:rsidRPr="00763D98">
        <w:rPr>
          <w:rFonts w:ascii="Times New Roman" w:hAnsi="Times New Roman" w:cs="Times New Roman"/>
          <w:sz w:val="28"/>
          <w:szCs w:val="28"/>
        </w:rPr>
        <w:t>]</w:t>
      </w:r>
      <w:r>
        <w:rPr>
          <w:rFonts w:ascii="Times New Roman" w:hAnsi="Times New Roman" w:cs="Times New Roman"/>
          <w:sz w:val="28"/>
          <w:szCs w:val="28"/>
        </w:rPr>
        <w:t>, социологии времени</w:t>
      </w:r>
      <w:r w:rsidR="00763D98" w:rsidRPr="00763D98">
        <w:rPr>
          <w:rFonts w:ascii="Times New Roman" w:hAnsi="Times New Roman" w:cs="Times New Roman"/>
          <w:sz w:val="28"/>
          <w:szCs w:val="28"/>
        </w:rPr>
        <w:t xml:space="preserve"> [</w:t>
      </w:r>
      <w:r w:rsidR="00A57C8A" w:rsidRPr="00A57C8A">
        <w:rPr>
          <w:rFonts w:ascii="Times New Roman" w:hAnsi="Times New Roman" w:cs="Times New Roman"/>
          <w:sz w:val="28"/>
          <w:szCs w:val="28"/>
        </w:rPr>
        <w:t>2</w:t>
      </w:r>
      <w:r w:rsidR="00763D98" w:rsidRPr="00763D98">
        <w:rPr>
          <w:rFonts w:ascii="Times New Roman" w:hAnsi="Times New Roman" w:cs="Times New Roman"/>
          <w:sz w:val="28"/>
          <w:szCs w:val="28"/>
        </w:rPr>
        <w:t>]</w:t>
      </w:r>
      <w:r>
        <w:rPr>
          <w:rFonts w:ascii="Times New Roman" w:hAnsi="Times New Roman" w:cs="Times New Roman"/>
          <w:sz w:val="28"/>
          <w:szCs w:val="28"/>
        </w:rPr>
        <w:t>, а также частных концепций «стрел времени»</w:t>
      </w:r>
      <w:r w:rsidR="00763D98" w:rsidRPr="00763D98">
        <w:rPr>
          <w:rFonts w:ascii="Times New Roman" w:hAnsi="Times New Roman" w:cs="Times New Roman"/>
          <w:sz w:val="28"/>
          <w:szCs w:val="28"/>
        </w:rPr>
        <w:t xml:space="preserve"> [</w:t>
      </w:r>
      <w:r w:rsidR="00A57C8A" w:rsidRPr="00A57C8A">
        <w:rPr>
          <w:rFonts w:ascii="Times New Roman" w:hAnsi="Times New Roman" w:cs="Times New Roman"/>
          <w:sz w:val="28"/>
          <w:szCs w:val="28"/>
        </w:rPr>
        <w:t>6</w:t>
      </w:r>
      <w:r w:rsidR="00763D98" w:rsidRPr="00763D98">
        <w:rPr>
          <w:rFonts w:ascii="Times New Roman" w:hAnsi="Times New Roman" w:cs="Times New Roman"/>
          <w:sz w:val="28"/>
          <w:szCs w:val="28"/>
        </w:rPr>
        <w:t>]</w:t>
      </w:r>
      <w:r w:rsidR="00C16156">
        <w:rPr>
          <w:rFonts w:ascii="Times New Roman" w:hAnsi="Times New Roman" w:cs="Times New Roman"/>
          <w:sz w:val="28"/>
          <w:szCs w:val="28"/>
        </w:rPr>
        <w:t>, «поворотов в социологии»</w:t>
      </w:r>
      <w:r w:rsidR="00763D98" w:rsidRPr="00763D98">
        <w:rPr>
          <w:rFonts w:ascii="Times New Roman" w:hAnsi="Times New Roman" w:cs="Times New Roman"/>
          <w:sz w:val="28"/>
          <w:szCs w:val="28"/>
        </w:rPr>
        <w:t xml:space="preserve"> [</w:t>
      </w:r>
      <w:r w:rsidR="00A57C8A">
        <w:rPr>
          <w:rFonts w:ascii="Times New Roman" w:hAnsi="Times New Roman" w:cs="Times New Roman"/>
          <w:sz w:val="28"/>
          <w:szCs w:val="28"/>
        </w:rPr>
        <w:t xml:space="preserve">4; </w:t>
      </w:r>
      <w:r w:rsidR="00A57C8A" w:rsidRPr="00A57C8A">
        <w:rPr>
          <w:rFonts w:ascii="Times New Roman" w:hAnsi="Times New Roman" w:cs="Times New Roman"/>
          <w:sz w:val="28"/>
          <w:szCs w:val="28"/>
        </w:rPr>
        <w:t>5</w:t>
      </w:r>
      <w:r w:rsidR="00763D98" w:rsidRPr="00763D98">
        <w:rPr>
          <w:rFonts w:ascii="Times New Roman" w:hAnsi="Times New Roman" w:cs="Times New Roman"/>
          <w:sz w:val="28"/>
          <w:szCs w:val="28"/>
        </w:rPr>
        <w:t>]</w:t>
      </w:r>
      <w:r w:rsidR="00C16156">
        <w:rPr>
          <w:rFonts w:ascii="Times New Roman" w:hAnsi="Times New Roman" w:cs="Times New Roman"/>
          <w:sz w:val="28"/>
          <w:szCs w:val="28"/>
        </w:rPr>
        <w:t xml:space="preserve"> и других</w:t>
      </w:r>
      <w:r>
        <w:rPr>
          <w:rFonts w:ascii="Times New Roman" w:hAnsi="Times New Roman" w:cs="Times New Roman"/>
          <w:sz w:val="28"/>
          <w:szCs w:val="28"/>
        </w:rPr>
        <w:t xml:space="preserve">. </w:t>
      </w:r>
    </w:p>
    <w:p w14:paraId="07F3634C" w14:textId="177BE50B" w:rsidR="00130EB4" w:rsidRDefault="0020274B"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выявления качественных и количественных аспектов цивилизационной идентичности молодежи, как субъектов социального развития, коллективом социологов Финансового университета при Правительстве Российской Федерации в 2019-2021 годах реализован социологический исследовательский проект </w:t>
      </w:r>
      <w:r w:rsidR="00EA35B5">
        <w:rPr>
          <w:rFonts w:ascii="Times New Roman" w:hAnsi="Times New Roman" w:cs="Times New Roman"/>
          <w:sz w:val="28"/>
          <w:szCs w:val="28"/>
        </w:rPr>
        <w:t xml:space="preserve">«Российская молодежь цифрового общества – 21» (Руководитель – Максимов В.В., научный консультант </w:t>
      </w:r>
      <w:proofErr w:type="spellStart"/>
      <w:r w:rsidR="00EA35B5">
        <w:rPr>
          <w:rFonts w:ascii="Times New Roman" w:hAnsi="Times New Roman" w:cs="Times New Roman"/>
          <w:sz w:val="28"/>
          <w:szCs w:val="28"/>
        </w:rPr>
        <w:t>д.с.н</w:t>
      </w:r>
      <w:proofErr w:type="spellEnd"/>
      <w:r w:rsidR="00EA35B5">
        <w:rPr>
          <w:rFonts w:ascii="Times New Roman" w:hAnsi="Times New Roman" w:cs="Times New Roman"/>
          <w:sz w:val="28"/>
          <w:szCs w:val="28"/>
        </w:rPr>
        <w:t xml:space="preserve">., доцент </w:t>
      </w:r>
      <w:proofErr w:type="spellStart"/>
      <w:r w:rsidR="00EA35B5">
        <w:rPr>
          <w:rFonts w:ascii="Times New Roman" w:hAnsi="Times New Roman" w:cs="Times New Roman"/>
          <w:sz w:val="28"/>
          <w:szCs w:val="28"/>
        </w:rPr>
        <w:t>М.В.Кибакин</w:t>
      </w:r>
      <w:proofErr w:type="spellEnd"/>
      <w:r w:rsidR="00EA35B5">
        <w:rPr>
          <w:rFonts w:ascii="Times New Roman" w:hAnsi="Times New Roman" w:cs="Times New Roman"/>
          <w:sz w:val="28"/>
          <w:szCs w:val="28"/>
        </w:rPr>
        <w:t xml:space="preserve"> М.В.), в котором на основе анкетного, экспертного опроса, результатах фокус-групп и глубинного интервью, вторичного анализа данных ВЦИМ-Спутник, ФОМ-</w:t>
      </w:r>
      <w:proofErr w:type="spellStart"/>
      <w:r w:rsidR="00EA35B5">
        <w:rPr>
          <w:rFonts w:ascii="Times New Roman" w:hAnsi="Times New Roman" w:cs="Times New Roman"/>
          <w:sz w:val="28"/>
          <w:szCs w:val="28"/>
        </w:rPr>
        <w:t>Фомоскоп</w:t>
      </w:r>
      <w:proofErr w:type="spellEnd"/>
      <w:r w:rsidR="00EA35B5">
        <w:rPr>
          <w:rFonts w:ascii="Times New Roman" w:hAnsi="Times New Roman" w:cs="Times New Roman"/>
          <w:sz w:val="28"/>
          <w:szCs w:val="28"/>
        </w:rPr>
        <w:t xml:space="preserve">, ГФК-«Русь», общедоступного архива социологических исследований НИУ ВШЭ описан социальный портрет современного молодого человека, </w:t>
      </w:r>
      <w:r w:rsidR="00130EB4">
        <w:rPr>
          <w:rFonts w:ascii="Times New Roman" w:hAnsi="Times New Roman" w:cs="Times New Roman"/>
          <w:sz w:val="28"/>
          <w:szCs w:val="28"/>
        </w:rPr>
        <w:t>его установки участия в реализации стратегических задач национального развития.</w:t>
      </w:r>
    </w:p>
    <w:p w14:paraId="070E9DCF" w14:textId="275DAF52" w:rsidR="003E3CE3" w:rsidRDefault="003E3CE3"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пространство трансформации российской цивилизации по </w:t>
      </w:r>
      <w:r w:rsidR="0014757F">
        <w:rPr>
          <w:rFonts w:ascii="Times New Roman" w:hAnsi="Times New Roman" w:cs="Times New Roman"/>
          <w:sz w:val="28"/>
          <w:szCs w:val="28"/>
        </w:rPr>
        <w:t xml:space="preserve">описанному в исследовании </w:t>
      </w:r>
      <w:r>
        <w:rPr>
          <w:rFonts w:ascii="Times New Roman" w:hAnsi="Times New Roman" w:cs="Times New Roman"/>
          <w:sz w:val="28"/>
          <w:szCs w:val="28"/>
        </w:rPr>
        <w:t xml:space="preserve">представлению молодежи не является чем-то изолированным, а скорее интегрировано в силу наличия среди молодых людей - россиян, которые тяготеют к различным ценностным моделям цивилизационного уровня, как это отражено на рисунке 1. </w:t>
      </w:r>
    </w:p>
    <w:p w14:paraId="412857A9" w14:textId="43B7D798" w:rsidR="003E3CE3" w:rsidRDefault="003E3CE3" w:rsidP="00F4744A">
      <w:pPr>
        <w:spacing w:after="0" w:line="36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3E3CE3" w:rsidRPr="003E3CE3" w14:paraId="4673BE4B" w14:textId="77777777" w:rsidTr="00F60F3A">
        <w:tc>
          <w:tcPr>
            <w:tcW w:w="9345" w:type="dxa"/>
          </w:tcPr>
          <w:p w14:paraId="7247C594" w14:textId="2E196C7E" w:rsidR="003E3CE3" w:rsidRPr="003E3CE3" w:rsidRDefault="00F60F3A" w:rsidP="00F4744A">
            <w:pPr>
              <w:spacing w:line="360" w:lineRule="auto"/>
              <w:jc w:val="both"/>
              <w:rPr>
                <w:rFonts w:ascii="Times New Roman" w:hAnsi="Times New Roman" w:cs="Times New Roman"/>
                <w:sz w:val="24"/>
                <w:szCs w:val="24"/>
              </w:rPr>
            </w:pPr>
            <w:r>
              <w:rPr>
                <w:noProof/>
              </w:rPr>
              <w:lastRenderedPageBreak/>
              <w:drawing>
                <wp:inline distT="0" distB="0" distL="0" distR="0" wp14:anchorId="2063EC4D" wp14:editId="346D073C">
                  <wp:extent cx="5724525" cy="2981325"/>
                  <wp:effectExtent l="0" t="0" r="9525" b="9525"/>
                  <wp:docPr id="1" name="Диаграмма 1">
                    <a:extLst xmlns:a="http://schemas.openxmlformats.org/drawingml/2006/main">
                      <a:ext uri="{FF2B5EF4-FFF2-40B4-BE49-F238E27FC236}">
                        <a16:creationId xmlns:a16="http://schemas.microsoft.com/office/drawing/2014/main" id="{79CE70DB-4012-4227-86A9-A7AE2EC08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3E3CE3" w:rsidRPr="003E3CE3" w14:paraId="0D469C52" w14:textId="77777777" w:rsidTr="00F60F3A">
        <w:tc>
          <w:tcPr>
            <w:tcW w:w="9345" w:type="dxa"/>
          </w:tcPr>
          <w:p w14:paraId="61582314" w14:textId="0E73429D" w:rsidR="003E3CE3" w:rsidRPr="003E3CE3" w:rsidRDefault="003E3CE3" w:rsidP="00F474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1 – </w:t>
            </w:r>
            <w:r w:rsidRPr="003E3CE3">
              <w:rPr>
                <w:rFonts w:ascii="Times New Roman" w:hAnsi="Times New Roman" w:cs="Times New Roman"/>
                <w:b/>
                <w:bCs/>
                <w:sz w:val="24"/>
                <w:szCs w:val="24"/>
              </w:rPr>
              <w:t xml:space="preserve">социальное отношение молодежи к различным цивилизационным моделям </w:t>
            </w:r>
            <w:r w:rsidRPr="003E3CE3">
              <w:rPr>
                <w:rFonts w:ascii="Times New Roman" w:hAnsi="Times New Roman" w:cs="Times New Roman"/>
                <w:b/>
                <w:bCs/>
                <w:i/>
                <w:iCs/>
                <w:sz w:val="24"/>
                <w:szCs w:val="24"/>
              </w:rPr>
              <w:t>(по материалам собственного исследования)</w:t>
            </w:r>
          </w:p>
        </w:tc>
      </w:tr>
    </w:tbl>
    <w:p w14:paraId="7ED6C86B" w14:textId="76CF4C7C" w:rsidR="003E3CE3" w:rsidRDefault="003E3CE3" w:rsidP="00F4744A">
      <w:pPr>
        <w:spacing w:after="0" w:line="360" w:lineRule="auto"/>
        <w:jc w:val="both"/>
        <w:rPr>
          <w:rFonts w:ascii="Times New Roman" w:hAnsi="Times New Roman" w:cs="Times New Roman"/>
          <w:sz w:val="28"/>
          <w:szCs w:val="28"/>
        </w:rPr>
      </w:pPr>
    </w:p>
    <w:p w14:paraId="5AE9DC6E" w14:textId="60AF4A0A" w:rsidR="0014757F" w:rsidRDefault="0014757F"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w:t>
      </w:r>
      <w:r w:rsidR="00F60F3A">
        <w:rPr>
          <w:rFonts w:ascii="Times New Roman" w:hAnsi="Times New Roman" w:cs="Times New Roman"/>
          <w:sz w:val="28"/>
          <w:szCs w:val="28"/>
        </w:rPr>
        <w:t xml:space="preserve">(нормированное значение от «0» -минимальное значение установок; «1» - максимальное значение установок) </w:t>
      </w:r>
      <w:r>
        <w:rPr>
          <w:rFonts w:ascii="Times New Roman" w:hAnsi="Times New Roman" w:cs="Times New Roman"/>
          <w:sz w:val="28"/>
          <w:szCs w:val="28"/>
        </w:rPr>
        <w:t xml:space="preserve">показывают, что российское цивилизационное пространство при доминировании национальной идентичности молодежи, тяготеет преимущественно к интеграции в европейской и </w:t>
      </w:r>
      <w:proofErr w:type="gramStart"/>
      <w:r>
        <w:rPr>
          <w:rFonts w:ascii="Times New Roman" w:hAnsi="Times New Roman" w:cs="Times New Roman"/>
          <w:sz w:val="28"/>
          <w:szCs w:val="28"/>
        </w:rPr>
        <w:t>северо-американской</w:t>
      </w:r>
      <w:proofErr w:type="gramEnd"/>
      <w:r>
        <w:rPr>
          <w:rFonts w:ascii="Times New Roman" w:hAnsi="Times New Roman" w:cs="Times New Roman"/>
          <w:sz w:val="28"/>
          <w:szCs w:val="28"/>
        </w:rPr>
        <w:t xml:space="preserve"> цивилизационной модели, не отрицая возможности реализации себя части нашей молодежи в китайском и </w:t>
      </w:r>
      <w:r w:rsidR="00EE5512">
        <w:rPr>
          <w:rFonts w:ascii="Times New Roman" w:hAnsi="Times New Roman" w:cs="Times New Roman"/>
          <w:sz w:val="28"/>
          <w:szCs w:val="28"/>
        </w:rPr>
        <w:t>исламской моделях, что положительно.</w:t>
      </w:r>
    </w:p>
    <w:p w14:paraId="09B62DE2" w14:textId="6A29A69E" w:rsidR="003E3CE3" w:rsidRDefault="003E3CE3"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Темпоральные аспекты участия молодежи в российском цивилизационном проекте выявлены ходе исследования с помощью определения установок молодых людей </w:t>
      </w:r>
      <w:r w:rsidR="008F4BA4">
        <w:rPr>
          <w:rFonts w:ascii="Times New Roman" w:hAnsi="Times New Roman" w:cs="Times New Roman"/>
          <w:sz w:val="28"/>
          <w:szCs w:val="28"/>
        </w:rPr>
        <w:t>связать свою судьбу с судьбой российского социума, как цивилизации</w:t>
      </w:r>
      <w:r w:rsidR="00026758">
        <w:rPr>
          <w:rFonts w:ascii="Times New Roman" w:hAnsi="Times New Roman" w:cs="Times New Roman"/>
          <w:sz w:val="28"/>
          <w:szCs w:val="28"/>
        </w:rPr>
        <w:t>, что отражено на рисунке 2.</w:t>
      </w:r>
    </w:p>
    <w:p w14:paraId="1D043978" w14:textId="461D809E" w:rsidR="00026758" w:rsidRDefault="00026758" w:rsidP="00F4744A">
      <w:pPr>
        <w:spacing w:after="0" w:line="36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026758" w:rsidRPr="003E3CE3" w14:paraId="5AD0FB52" w14:textId="77777777" w:rsidTr="000C1C34">
        <w:tc>
          <w:tcPr>
            <w:tcW w:w="9345" w:type="dxa"/>
          </w:tcPr>
          <w:p w14:paraId="6FD50941" w14:textId="03BBD876" w:rsidR="00026758" w:rsidRPr="003E3CE3" w:rsidRDefault="00790DC6" w:rsidP="00F4744A">
            <w:pPr>
              <w:spacing w:line="360" w:lineRule="auto"/>
              <w:jc w:val="both"/>
              <w:rPr>
                <w:rFonts w:ascii="Times New Roman" w:hAnsi="Times New Roman" w:cs="Times New Roman"/>
                <w:sz w:val="24"/>
                <w:szCs w:val="24"/>
              </w:rPr>
            </w:pPr>
            <w:r>
              <w:rPr>
                <w:noProof/>
              </w:rPr>
              <w:lastRenderedPageBreak/>
              <w:drawing>
                <wp:inline distT="0" distB="0" distL="0" distR="0" wp14:anchorId="586BDC4A" wp14:editId="05E37DF5">
                  <wp:extent cx="5772150" cy="2828925"/>
                  <wp:effectExtent l="0" t="0" r="0" b="9525"/>
                  <wp:docPr id="2" name="Диаграмма 2">
                    <a:extLst xmlns:a="http://schemas.openxmlformats.org/drawingml/2006/main">
                      <a:ext uri="{FF2B5EF4-FFF2-40B4-BE49-F238E27FC236}">
                        <a16:creationId xmlns:a16="http://schemas.microsoft.com/office/drawing/2014/main" id="{04947FBD-5D27-481B-A20B-54BABFEFA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26758" w:rsidRPr="003E3CE3" w14:paraId="0E7492C7" w14:textId="77777777" w:rsidTr="000C1C34">
        <w:tc>
          <w:tcPr>
            <w:tcW w:w="9345" w:type="dxa"/>
          </w:tcPr>
          <w:p w14:paraId="1E466A9C" w14:textId="6C6FB45A" w:rsidR="00026758" w:rsidRPr="003E3CE3" w:rsidRDefault="00026758" w:rsidP="00F474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2 – </w:t>
            </w:r>
            <w:r>
              <w:rPr>
                <w:rFonts w:ascii="Times New Roman" w:hAnsi="Times New Roman" w:cs="Times New Roman"/>
                <w:b/>
                <w:bCs/>
                <w:sz w:val="24"/>
                <w:szCs w:val="24"/>
              </w:rPr>
              <w:t xml:space="preserve">установки российской </w:t>
            </w:r>
            <w:r w:rsidRPr="003E3CE3">
              <w:rPr>
                <w:rFonts w:ascii="Times New Roman" w:hAnsi="Times New Roman" w:cs="Times New Roman"/>
                <w:b/>
                <w:bCs/>
                <w:sz w:val="24"/>
                <w:szCs w:val="24"/>
              </w:rPr>
              <w:t xml:space="preserve">молодежи </w:t>
            </w:r>
            <w:r>
              <w:rPr>
                <w:rFonts w:ascii="Times New Roman" w:hAnsi="Times New Roman" w:cs="Times New Roman"/>
                <w:b/>
                <w:bCs/>
                <w:sz w:val="24"/>
                <w:szCs w:val="24"/>
              </w:rPr>
              <w:t>связать свою судьбу с судьбой российской цивилизации</w:t>
            </w:r>
            <w:r w:rsidRPr="003E3CE3">
              <w:rPr>
                <w:rFonts w:ascii="Times New Roman" w:hAnsi="Times New Roman" w:cs="Times New Roman"/>
                <w:b/>
                <w:bCs/>
                <w:sz w:val="24"/>
                <w:szCs w:val="24"/>
              </w:rPr>
              <w:t xml:space="preserve"> </w:t>
            </w:r>
            <w:r w:rsidRPr="003E3CE3">
              <w:rPr>
                <w:rFonts w:ascii="Times New Roman" w:hAnsi="Times New Roman" w:cs="Times New Roman"/>
                <w:b/>
                <w:bCs/>
                <w:i/>
                <w:iCs/>
                <w:sz w:val="24"/>
                <w:szCs w:val="24"/>
              </w:rPr>
              <w:t>(по материалам собственного исследования)</w:t>
            </w:r>
          </w:p>
        </w:tc>
      </w:tr>
    </w:tbl>
    <w:p w14:paraId="7BEA68ED" w14:textId="386C820D" w:rsidR="008F4BA4" w:rsidRDefault="008F4BA4" w:rsidP="00F4744A">
      <w:pPr>
        <w:spacing w:after="0" w:line="360" w:lineRule="auto"/>
        <w:ind w:firstLine="709"/>
        <w:jc w:val="both"/>
        <w:rPr>
          <w:rFonts w:ascii="Times New Roman" w:hAnsi="Times New Roman" w:cs="Times New Roman"/>
          <w:sz w:val="28"/>
          <w:szCs w:val="28"/>
        </w:rPr>
      </w:pPr>
    </w:p>
    <w:p w14:paraId="35C61121" w14:textId="6B1E9A76" w:rsidR="0085612D" w:rsidRDefault="0085612D"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внушают определенный оптимизм в силу наличия в молодежной страте патриотично настроенных людей, которые идентифицируют себя как субъектов участия в реализации целей самоосуществления российской цивилизации. </w:t>
      </w:r>
    </w:p>
    <w:p w14:paraId="101887D2" w14:textId="3120E171" w:rsidR="0085612D" w:rsidRDefault="0085612D"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важно обратить внимание и на критичность доли тех, кто из молодых людей имеет установки реализовать себя в профессиональном плане за рубежом, готовы стать частью молодежной трудовой эмиграции. </w:t>
      </w:r>
    </w:p>
    <w:p w14:paraId="52C9EF78" w14:textId="3AC85805" w:rsidR="007F02FA" w:rsidRDefault="007F02FA"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Интересными являются гендерные аспекты характеристики привлекательности российского цивилизационного проекта для российской молодежи, которые отражены на рисунке 3. </w:t>
      </w:r>
    </w:p>
    <w:p w14:paraId="32E589F0" w14:textId="2AE99906" w:rsidR="007B5DC6" w:rsidRDefault="007B5DC6" w:rsidP="00F4744A">
      <w:pPr>
        <w:spacing w:after="0" w:line="36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7B5DC6" w:rsidRPr="003E3CE3" w14:paraId="29A429D9" w14:textId="77777777" w:rsidTr="00DF1290">
        <w:tc>
          <w:tcPr>
            <w:tcW w:w="9345" w:type="dxa"/>
          </w:tcPr>
          <w:p w14:paraId="48380EFF" w14:textId="0994A9DE" w:rsidR="007B5DC6" w:rsidRPr="003E3CE3" w:rsidRDefault="00DF1290" w:rsidP="00F4744A">
            <w:pPr>
              <w:spacing w:line="360" w:lineRule="auto"/>
              <w:jc w:val="both"/>
              <w:rPr>
                <w:rFonts w:ascii="Times New Roman" w:hAnsi="Times New Roman" w:cs="Times New Roman"/>
                <w:sz w:val="24"/>
                <w:szCs w:val="24"/>
              </w:rPr>
            </w:pPr>
            <w:r>
              <w:rPr>
                <w:noProof/>
              </w:rPr>
              <w:lastRenderedPageBreak/>
              <w:drawing>
                <wp:inline distT="0" distB="0" distL="0" distR="0" wp14:anchorId="274561FF" wp14:editId="68362238">
                  <wp:extent cx="5772150" cy="2914650"/>
                  <wp:effectExtent l="0" t="0" r="0" b="0"/>
                  <wp:docPr id="3" name="Диаграмма 3">
                    <a:extLst xmlns:a="http://schemas.openxmlformats.org/drawingml/2006/main">
                      <a:ext uri="{FF2B5EF4-FFF2-40B4-BE49-F238E27FC236}">
                        <a16:creationId xmlns:a16="http://schemas.microsoft.com/office/drawing/2014/main" id="{2FC76D76-A51B-44C2-A84B-576BE138B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B5DC6" w:rsidRPr="003E3CE3" w14:paraId="318571BE" w14:textId="77777777" w:rsidTr="00DF1290">
        <w:tc>
          <w:tcPr>
            <w:tcW w:w="9345" w:type="dxa"/>
          </w:tcPr>
          <w:p w14:paraId="19E6422D" w14:textId="4C292582" w:rsidR="007B5DC6" w:rsidRPr="003E3CE3" w:rsidRDefault="007B5DC6" w:rsidP="00F474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3 – </w:t>
            </w:r>
            <w:r w:rsidRPr="003E3CE3">
              <w:rPr>
                <w:rFonts w:ascii="Times New Roman" w:hAnsi="Times New Roman" w:cs="Times New Roman"/>
                <w:b/>
                <w:bCs/>
                <w:sz w:val="24"/>
                <w:szCs w:val="24"/>
              </w:rPr>
              <w:t>с</w:t>
            </w:r>
            <w:r>
              <w:rPr>
                <w:rFonts w:ascii="Times New Roman" w:hAnsi="Times New Roman" w:cs="Times New Roman"/>
                <w:b/>
                <w:bCs/>
                <w:sz w:val="24"/>
                <w:szCs w:val="24"/>
              </w:rPr>
              <w:t xml:space="preserve">равнительный анализ гендерных характеристик молодых людей по </w:t>
            </w:r>
            <w:r w:rsidR="00FE34EA">
              <w:rPr>
                <w:rFonts w:ascii="Times New Roman" w:hAnsi="Times New Roman" w:cs="Times New Roman"/>
                <w:b/>
                <w:bCs/>
                <w:sz w:val="24"/>
                <w:szCs w:val="24"/>
              </w:rPr>
              <w:t>само</w:t>
            </w:r>
            <w:r>
              <w:rPr>
                <w:rFonts w:ascii="Times New Roman" w:hAnsi="Times New Roman" w:cs="Times New Roman"/>
                <w:b/>
                <w:bCs/>
                <w:sz w:val="24"/>
                <w:szCs w:val="24"/>
              </w:rPr>
              <w:t>о</w:t>
            </w:r>
            <w:r w:rsidR="00FE34EA">
              <w:rPr>
                <w:rFonts w:ascii="Times New Roman" w:hAnsi="Times New Roman" w:cs="Times New Roman"/>
                <w:b/>
                <w:bCs/>
                <w:sz w:val="24"/>
                <w:szCs w:val="24"/>
              </w:rPr>
              <w:t xml:space="preserve">ценке идентичности с </w:t>
            </w:r>
            <w:r>
              <w:rPr>
                <w:rFonts w:ascii="Times New Roman" w:hAnsi="Times New Roman" w:cs="Times New Roman"/>
                <w:b/>
                <w:bCs/>
                <w:sz w:val="24"/>
                <w:szCs w:val="24"/>
              </w:rPr>
              <w:t>российск</w:t>
            </w:r>
            <w:r w:rsidR="00FE34EA">
              <w:rPr>
                <w:rFonts w:ascii="Times New Roman" w:hAnsi="Times New Roman" w:cs="Times New Roman"/>
                <w:b/>
                <w:bCs/>
                <w:sz w:val="24"/>
                <w:szCs w:val="24"/>
              </w:rPr>
              <w:t>им</w:t>
            </w:r>
            <w:r>
              <w:rPr>
                <w:rFonts w:ascii="Times New Roman" w:hAnsi="Times New Roman" w:cs="Times New Roman"/>
                <w:b/>
                <w:bCs/>
                <w:sz w:val="24"/>
                <w:szCs w:val="24"/>
              </w:rPr>
              <w:t xml:space="preserve"> цивилизационн</w:t>
            </w:r>
            <w:r w:rsidR="00FE34EA">
              <w:rPr>
                <w:rFonts w:ascii="Times New Roman" w:hAnsi="Times New Roman" w:cs="Times New Roman"/>
                <w:b/>
                <w:bCs/>
                <w:sz w:val="24"/>
                <w:szCs w:val="24"/>
              </w:rPr>
              <w:t>ым</w:t>
            </w:r>
            <w:r>
              <w:rPr>
                <w:rFonts w:ascii="Times New Roman" w:hAnsi="Times New Roman" w:cs="Times New Roman"/>
                <w:b/>
                <w:bCs/>
                <w:sz w:val="24"/>
                <w:szCs w:val="24"/>
              </w:rPr>
              <w:t xml:space="preserve"> проект</w:t>
            </w:r>
            <w:r w:rsidR="00FE34EA">
              <w:rPr>
                <w:rFonts w:ascii="Times New Roman" w:hAnsi="Times New Roman" w:cs="Times New Roman"/>
                <w:b/>
                <w:bCs/>
                <w:sz w:val="24"/>
                <w:szCs w:val="24"/>
              </w:rPr>
              <w:t>ом</w:t>
            </w:r>
            <w:r w:rsidRPr="003E3CE3">
              <w:rPr>
                <w:rFonts w:ascii="Times New Roman" w:hAnsi="Times New Roman" w:cs="Times New Roman"/>
                <w:b/>
                <w:bCs/>
                <w:sz w:val="24"/>
                <w:szCs w:val="24"/>
              </w:rPr>
              <w:t xml:space="preserve"> </w:t>
            </w:r>
            <w:r w:rsidRPr="003E3CE3">
              <w:rPr>
                <w:rFonts w:ascii="Times New Roman" w:hAnsi="Times New Roman" w:cs="Times New Roman"/>
                <w:b/>
                <w:bCs/>
                <w:i/>
                <w:iCs/>
                <w:sz w:val="24"/>
                <w:szCs w:val="24"/>
              </w:rPr>
              <w:t>(по материалам собственного исследования)</w:t>
            </w:r>
          </w:p>
        </w:tc>
      </w:tr>
    </w:tbl>
    <w:p w14:paraId="5EA0570A" w14:textId="464D78B0" w:rsidR="007B5DC6" w:rsidRDefault="007B5DC6" w:rsidP="00F4744A">
      <w:pPr>
        <w:spacing w:after="0" w:line="360" w:lineRule="auto"/>
        <w:ind w:firstLine="709"/>
        <w:jc w:val="both"/>
        <w:rPr>
          <w:rFonts w:ascii="Times New Roman" w:hAnsi="Times New Roman" w:cs="Times New Roman"/>
          <w:sz w:val="28"/>
          <w:szCs w:val="28"/>
        </w:rPr>
      </w:pPr>
    </w:p>
    <w:p w14:paraId="251BD500" w14:textId="61ED80EA" w:rsidR="00AA0699" w:rsidRDefault="00AA0699"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ряды распределений по гендерному признаку, различные социальные молодежные группы имеют сходные положительные характеристики идентичности в процессе трансформации российской цивилизации, что говорит о глубине, большом ареале, социальном пространстве проникновения наших традиционных ценностей среди субъектов социальной деятельности российского общества. </w:t>
      </w:r>
    </w:p>
    <w:p w14:paraId="745AE86B" w14:textId="77777777" w:rsidR="00F4744A" w:rsidRPr="00F07D5A" w:rsidRDefault="00F4744A" w:rsidP="00F4744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07D5A">
        <w:rPr>
          <w:rFonts w:ascii="Times New Roman" w:eastAsia="Times New Roman" w:hAnsi="Times New Roman" w:cs="Times New Roman"/>
          <w:sz w:val="28"/>
          <w:szCs w:val="28"/>
        </w:rPr>
        <w:t>В ходе анализа имеющихся научных работ выявлен перечень, содержание и специфика социально-демографических факторов процесса идентификации молодежи, представляющих собой причину, движущие силы этого процесса, определяющие его характер или отдельные черты, и к которым относятся возраст, пол, образование, профессия, местожительства и семейное положение; в рамках социологии управления применительно к исследуемому процессу эти факторы являются источником изменения его характеристик, трансформации либо изменений в условиях развития цифровой экономики.</w:t>
      </w:r>
    </w:p>
    <w:p w14:paraId="5E935233" w14:textId="77777777" w:rsidR="00F4744A" w:rsidRPr="00F07D5A" w:rsidRDefault="00F4744A" w:rsidP="00F4744A">
      <w:pPr>
        <w:pStyle w:val="a9"/>
        <w:autoSpaceDE w:val="0"/>
        <w:autoSpaceDN w:val="0"/>
        <w:adjustRightInd w:val="0"/>
        <w:spacing w:line="360" w:lineRule="auto"/>
        <w:ind w:left="0" w:firstLine="709"/>
        <w:jc w:val="both"/>
        <w:rPr>
          <w:rFonts w:ascii="Times New Roman" w:eastAsia="Times New Roman" w:hAnsi="Times New Roman" w:cs="Times New Roman"/>
          <w:sz w:val="28"/>
          <w:szCs w:val="28"/>
        </w:rPr>
      </w:pPr>
      <w:r w:rsidRPr="00F07D5A">
        <w:rPr>
          <w:rFonts w:ascii="Times New Roman" w:eastAsia="Times New Roman" w:hAnsi="Times New Roman" w:cs="Times New Roman"/>
          <w:sz w:val="28"/>
          <w:szCs w:val="28"/>
        </w:rPr>
        <w:t xml:space="preserve">К </w:t>
      </w:r>
      <w:r w:rsidRPr="00F07D5A">
        <w:rPr>
          <w:rFonts w:ascii="Times New Roman" w:eastAsia="Times New Roman" w:hAnsi="Times New Roman" w:cs="Times New Roman"/>
          <w:i/>
          <w:sz w:val="28"/>
          <w:szCs w:val="28"/>
        </w:rPr>
        <w:t>социальным факторам</w:t>
      </w:r>
      <w:r w:rsidRPr="00F07D5A">
        <w:rPr>
          <w:rFonts w:ascii="Times New Roman" w:eastAsia="Times New Roman" w:hAnsi="Times New Roman" w:cs="Times New Roman"/>
          <w:sz w:val="28"/>
          <w:szCs w:val="28"/>
        </w:rPr>
        <w:t xml:space="preserve"> относятся: а) аксиологические, гносеологические и онтологические характеристики цифровой реальности (техно и </w:t>
      </w:r>
      <w:proofErr w:type="spellStart"/>
      <w:r w:rsidRPr="00F07D5A">
        <w:rPr>
          <w:rFonts w:ascii="Times New Roman" w:eastAsia="Times New Roman" w:hAnsi="Times New Roman" w:cs="Times New Roman"/>
          <w:sz w:val="28"/>
          <w:szCs w:val="28"/>
        </w:rPr>
        <w:t>цифроцентризм</w:t>
      </w:r>
      <w:proofErr w:type="spellEnd"/>
      <w:r w:rsidRPr="00F07D5A">
        <w:rPr>
          <w:rFonts w:ascii="Times New Roman" w:eastAsia="Times New Roman" w:hAnsi="Times New Roman" w:cs="Times New Roman"/>
          <w:sz w:val="28"/>
          <w:szCs w:val="28"/>
        </w:rPr>
        <w:t xml:space="preserve">); б) функционирование социальных институтов </w:t>
      </w:r>
      <w:r w:rsidRPr="00F07D5A">
        <w:rPr>
          <w:rFonts w:ascii="Times New Roman" w:eastAsia="Times New Roman" w:hAnsi="Times New Roman" w:cs="Times New Roman"/>
          <w:sz w:val="28"/>
          <w:szCs w:val="28"/>
        </w:rPr>
        <w:lastRenderedPageBreak/>
        <w:t>цифровой реальности и экономики; в) современная структура идентичности молодежи; г) изменяемость и искусственное конструирование идентичности, как детерминанты; д) наличие «больших данных» в виртуальном пространстве и трансформация идентичности молодежи; е) особенности характеристик молодежи в условиях трансформирующихся социальных общностей и групп; ж) цифровой индивидуализм молодежи как бессознательная реакция на вызовы современного общества; з) виртуальная идентичность как форма самосознания в цифровом мире; и) социальное поведение молодежи и «горизонтальное» управление в цифровой экономике.</w:t>
      </w:r>
    </w:p>
    <w:p w14:paraId="54C54CB6" w14:textId="77777777" w:rsidR="00F4744A" w:rsidRPr="00F07D5A" w:rsidRDefault="00F4744A" w:rsidP="00F4744A">
      <w:pPr>
        <w:pStyle w:val="a9"/>
        <w:autoSpaceDE w:val="0"/>
        <w:autoSpaceDN w:val="0"/>
        <w:adjustRightInd w:val="0"/>
        <w:spacing w:line="360" w:lineRule="auto"/>
        <w:ind w:left="0" w:firstLine="709"/>
        <w:jc w:val="both"/>
        <w:rPr>
          <w:rFonts w:ascii="Times New Roman" w:eastAsia="Times New Roman" w:hAnsi="Times New Roman" w:cs="Times New Roman"/>
          <w:sz w:val="28"/>
          <w:szCs w:val="28"/>
        </w:rPr>
      </w:pPr>
      <w:r w:rsidRPr="00F07D5A">
        <w:rPr>
          <w:rFonts w:ascii="Times New Roman" w:eastAsia="Times New Roman" w:hAnsi="Times New Roman" w:cs="Times New Roman"/>
          <w:sz w:val="28"/>
          <w:szCs w:val="28"/>
        </w:rPr>
        <w:t xml:space="preserve">К социальным факторам можно отнести: а) </w:t>
      </w:r>
      <w:r w:rsidRPr="00F07D5A">
        <w:rPr>
          <w:rFonts w:ascii="Times New Roman" w:hAnsi="Times New Roman" w:cs="Times New Roman"/>
          <w:sz w:val="28"/>
          <w:szCs w:val="28"/>
          <w:shd w:val="clear" w:color="auto" w:fill="FFFFFF"/>
        </w:rPr>
        <w:t>распределительная политика; б) социальная структура общества; в) культура потребления и др.</w:t>
      </w:r>
    </w:p>
    <w:p w14:paraId="301CC852" w14:textId="77777777" w:rsidR="00F4744A" w:rsidRPr="00F07D5A" w:rsidRDefault="00F4744A" w:rsidP="00F4744A">
      <w:pPr>
        <w:pStyle w:val="a9"/>
        <w:autoSpaceDE w:val="0"/>
        <w:autoSpaceDN w:val="0"/>
        <w:adjustRightInd w:val="0"/>
        <w:spacing w:line="360" w:lineRule="auto"/>
        <w:ind w:left="0" w:firstLine="709"/>
        <w:jc w:val="both"/>
        <w:rPr>
          <w:rFonts w:ascii="Times New Roman" w:eastAsia="Times New Roman" w:hAnsi="Times New Roman" w:cs="Times New Roman"/>
          <w:sz w:val="28"/>
          <w:szCs w:val="28"/>
        </w:rPr>
      </w:pPr>
      <w:r w:rsidRPr="00F07D5A">
        <w:rPr>
          <w:rFonts w:ascii="Times New Roman" w:eastAsia="Times New Roman" w:hAnsi="Times New Roman" w:cs="Times New Roman"/>
          <w:sz w:val="28"/>
          <w:szCs w:val="28"/>
        </w:rPr>
        <w:t xml:space="preserve">Важное значение для детерминации процесса идентификации молодежи имеют демографические факторы, к которым относятся: а) </w:t>
      </w:r>
      <w:r w:rsidRPr="00F07D5A">
        <w:rPr>
          <w:rFonts w:ascii="Times New Roman" w:hAnsi="Times New Roman" w:cs="Times New Roman"/>
          <w:sz w:val="28"/>
          <w:szCs w:val="28"/>
          <w:shd w:val="clear" w:color="auto" w:fill="FFFFFF"/>
        </w:rPr>
        <w:t xml:space="preserve">численность этой социальной группы и ее состав, численность и состав молодежных семей, соотношение между городскими и сельскими молодыми жителями, процессы миграции населения; </w:t>
      </w:r>
      <w:r w:rsidRPr="00F07D5A">
        <w:rPr>
          <w:rFonts w:ascii="Times New Roman" w:eastAsia="Times New Roman" w:hAnsi="Times New Roman" w:cs="Times New Roman"/>
          <w:sz w:val="28"/>
          <w:szCs w:val="28"/>
        </w:rPr>
        <w:t xml:space="preserve">процесс миграции молодежи в условиях становления цифровой экономики. </w:t>
      </w:r>
    </w:p>
    <w:p w14:paraId="5B3DC256" w14:textId="77777777" w:rsidR="00F4744A" w:rsidRPr="00F07D5A" w:rsidRDefault="00F4744A" w:rsidP="00F4744A">
      <w:pPr>
        <w:pStyle w:val="a9"/>
        <w:autoSpaceDE w:val="0"/>
        <w:autoSpaceDN w:val="0"/>
        <w:adjustRightInd w:val="0"/>
        <w:spacing w:line="360" w:lineRule="auto"/>
        <w:ind w:left="0" w:firstLine="709"/>
        <w:jc w:val="both"/>
        <w:rPr>
          <w:rFonts w:ascii="Times New Roman" w:eastAsia="Times New Roman" w:hAnsi="Times New Roman" w:cs="Times New Roman"/>
          <w:sz w:val="28"/>
          <w:szCs w:val="28"/>
        </w:rPr>
      </w:pPr>
      <w:proofErr w:type="spellStart"/>
      <w:r w:rsidRPr="00F07D5A">
        <w:rPr>
          <w:rFonts w:ascii="Times New Roman" w:eastAsia="Times New Roman" w:hAnsi="Times New Roman" w:cs="Times New Roman"/>
          <w:sz w:val="28"/>
          <w:szCs w:val="28"/>
        </w:rPr>
        <w:t>Детерминационная</w:t>
      </w:r>
      <w:proofErr w:type="spellEnd"/>
      <w:r w:rsidRPr="00F07D5A">
        <w:rPr>
          <w:rFonts w:ascii="Times New Roman" w:eastAsia="Times New Roman" w:hAnsi="Times New Roman" w:cs="Times New Roman"/>
          <w:sz w:val="28"/>
          <w:szCs w:val="28"/>
        </w:rPr>
        <w:t xml:space="preserve"> социально-демографическая модель процесса идентификации молодежи опирается на структуру факторов, влияющих на него, в которых по своему содержанию и специфике действия выделяются группа социальных (статус, принадлежность к социальной группе, образование и др.) и группа демографических факторов (возраст, семейного положение, мобильность и др.)</w:t>
      </w:r>
    </w:p>
    <w:p w14:paraId="6B554132" w14:textId="77777777" w:rsidR="00F4744A" w:rsidRPr="00F07D5A" w:rsidRDefault="00F4744A" w:rsidP="00F4744A">
      <w:pPr>
        <w:spacing w:after="0" w:line="360" w:lineRule="auto"/>
        <w:ind w:firstLine="709"/>
        <w:jc w:val="both"/>
        <w:rPr>
          <w:rFonts w:ascii="Times New Roman" w:hAnsi="Times New Roman" w:cs="Times New Roman"/>
          <w:sz w:val="28"/>
          <w:szCs w:val="28"/>
        </w:rPr>
      </w:pPr>
      <w:r w:rsidRPr="00F07D5A">
        <w:rPr>
          <w:rFonts w:ascii="Times New Roman" w:hAnsi="Times New Roman" w:cs="Times New Roman"/>
          <w:sz w:val="28"/>
          <w:szCs w:val="28"/>
        </w:rPr>
        <w:t xml:space="preserve">Научное познание предполагает наличие и использование релевантных средств выявления особенностей явлений и процессов, применение обоснованных теоретических и экспериментальных методов определения параметров их статистических и динамических аспектов. Свою специфику имеют методы социально-гуманитарных исследований, которые успешно интегрируют в себе </w:t>
      </w:r>
      <w:proofErr w:type="gramStart"/>
      <w:r w:rsidRPr="00F07D5A">
        <w:rPr>
          <w:rFonts w:ascii="Times New Roman" w:hAnsi="Times New Roman" w:cs="Times New Roman"/>
          <w:sz w:val="28"/>
          <w:szCs w:val="28"/>
        </w:rPr>
        <w:t>не только собственно</w:t>
      </w:r>
      <w:proofErr w:type="gramEnd"/>
      <w:r w:rsidRPr="00F07D5A">
        <w:rPr>
          <w:rFonts w:ascii="Times New Roman" w:hAnsi="Times New Roman" w:cs="Times New Roman"/>
          <w:sz w:val="28"/>
          <w:szCs w:val="28"/>
        </w:rPr>
        <w:t xml:space="preserve"> </w:t>
      </w:r>
      <w:proofErr w:type="spellStart"/>
      <w:r w:rsidRPr="00F07D5A">
        <w:rPr>
          <w:rFonts w:ascii="Times New Roman" w:hAnsi="Times New Roman" w:cs="Times New Roman"/>
          <w:sz w:val="28"/>
          <w:szCs w:val="28"/>
        </w:rPr>
        <w:t>человековедческие</w:t>
      </w:r>
      <w:proofErr w:type="spellEnd"/>
      <w:r w:rsidRPr="00F07D5A">
        <w:rPr>
          <w:rFonts w:ascii="Times New Roman" w:hAnsi="Times New Roman" w:cs="Times New Roman"/>
          <w:sz w:val="28"/>
          <w:szCs w:val="28"/>
        </w:rPr>
        <w:t xml:space="preserve">, </w:t>
      </w:r>
      <w:proofErr w:type="spellStart"/>
      <w:r w:rsidRPr="00F07D5A">
        <w:rPr>
          <w:rFonts w:ascii="Times New Roman" w:hAnsi="Times New Roman" w:cs="Times New Roman"/>
          <w:sz w:val="28"/>
          <w:szCs w:val="28"/>
        </w:rPr>
        <w:lastRenderedPageBreak/>
        <w:t>антроценрические</w:t>
      </w:r>
      <w:proofErr w:type="spellEnd"/>
      <w:r w:rsidRPr="00F07D5A">
        <w:rPr>
          <w:rFonts w:ascii="Times New Roman" w:hAnsi="Times New Roman" w:cs="Times New Roman"/>
          <w:sz w:val="28"/>
          <w:szCs w:val="28"/>
        </w:rPr>
        <w:t xml:space="preserve"> модели познания, но и методический арсенал естественных наук. </w:t>
      </w:r>
    </w:p>
    <w:p w14:paraId="40B300D8" w14:textId="77777777" w:rsidR="00F4744A" w:rsidRDefault="00F4744A" w:rsidP="00F4744A">
      <w:pPr>
        <w:spacing w:after="0" w:line="360" w:lineRule="auto"/>
        <w:ind w:firstLine="709"/>
        <w:jc w:val="both"/>
        <w:rPr>
          <w:rFonts w:ascii="Times New Roman" w:eastAsia="Times New Roman" w:hAnsi="Times New Roman" w:cs="Times New Roman"/>
          <w:sz w:val="28"/>
          <w:szCs w:val="28"/>
          <w:lang w:eastAsia="ru-RU"/>
        </w:rPr>
      </w:pPr>
      <w:r w:rsidRPr="00F07D5A">
        <w:rPr>
          <w:rFonts w:ascii="Times New Roman" w:eastAsia="Times New Roman" w:hAnsi="Times New Roman" w:cs="Times New Roman"/>
          <w:sz w:val="28"/>
          <w:szCs w:val="28"/>
          <w:lang w:eastAsia="ru-RU"/>
        </w:rPr>
        <w:t>Весьма важными для обеспечения достоверности социально-гуманитарного знания, обеспечения реализации им своей познавательной, культурно-мировоззренческой, образовательной и практической функции является разработки методических основ глубокого изучения цивилизационных процессов, которые связаны с фундаментальным пониманием человеческого бытия, смысла, роли и места человеческого социума в природе. В отечественной научной мысли сделаны существенные научные заделы в обосновании концепций цивилизации, разработке методик и исследовательских технологий, изучения цивилизационной динамики и другие. В условиях нестабильности военно-политической международной обстановки и угрозы войн ряд ученых обратились в своих исследованиях к проблемам цивилизационной безопасности, а в документах стратегического планирования нашей страны закреплена важность поддержания традиционных цивилизационных ценностей.</w:t>
      </w:r>
    </w:p>
    <w:p w14:paraId="2E3424AE" w14:textId="77777777" w:rsidR="00F4744A" w:rsidRPr="00F07D5A" w:rsidRDefault="00F4744A" w:rsidP="00F4744A">
      <w:pPr>
        <w:spacing w:after="0" w:line="360" w:lineRule="auto"/>
        <w:ind w:firstLine="709"/>
        <w:jc w:val="both"/>
        <w:rPr>
          <w:rFonts w:ascii="Times New Roman" w:eastAsia="Times New Roman" w:hAnsi="Times New Roman" w:cs="Times New Roman"/>
          <w:sz w:val="28"/>
          <w:szCs w:val="28"/>
          <w:lang w:eastAsia="ru-RU"/>
        </w:rPr>
      </w:pPr>
      <w:r w:rsidRPr="00F07D5A">
        <w:rPr>
          <w:rFonts w:ascii="Times New Roman" w:hAnsi="Times New Roman" w:cs="Times New Roman"/>
          <w:sz w:val="28"/>
          <w:szCs w:val="28"/>
        </w:rPr>
        <w:t>В настоящее возрастает детерминация процесса уточнения методических основ исследования проблем цифрового общества, виртуального социального пространства со стороны все более широкого внедрения цифровых технологий во все сферы жизни. Закономерным в этой связи выглядят обсуждение учеными и практиками возможностей использования цифровых платформ, сервисов информационно-коммуникационной сети «Интернет» в качестве современных исследовательских технологий глобальных цивилизационных процессов, трансформации локальных цивилизаций, существенных изменений ценностно-нормативных систем и отдельных сообществ.</w:t>
      </w:r>
    </w:p>
    <w:p w14:paraId="6F7780A6" w14:textId="72621C53" w:rsidR="00AA0699" w:rsidRDefault="0098438A" w:rsidP="00F47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Характеризуя социально-управленческие аспекты идентификации российской молодежи в контексте трансформации российского цивилизационного пространства </w:t>
      </w:r>
      <w:r w:rsidR="008A5DF1">
        <w:rPr>
          <w:rFonts w:ascii="Times New Roman" w:hAnsi="Times New Roman" w:cs="Times New Roman"/>
          <w:sz w:val="28"/>
          <w:szCs w:val="28"/>
        </w:rPr>
        <w:t xml:space="preserve">как в современных условиях, так и на перспективу, </w:t>
      </w:r>
      <w:r>
        <w:rPr>
          <w:rFonts w:ascii="Times New Roman" w:hAnsi="Times New Roman" w:cs="Times New Roman"/>
          <w:sz w:val="28"/>
          <w:szCs w:val="28"/>
        </w:rPr>
        <w:t>важно обратить внимание на следующие вопросы</w:t>
      </w:r>
      <w:r w:rsidR="008A5DF1">
        <w:rPr>
          <w:rFonts w:ascii="Times New Roman" w:hAnsi="Times New Roman" w:cs="Times New Roman"/>
          <w:sz w:val="28"/>
          <w:szCs w:val="28"/>
        </w:rPr>
        <w:t>:</w:t>
      </w:r>
    </w:p>
    <w:p w14:paraId="30115752" w14:textId="2D34479F" w:rsidR="0098438A" w:rsidRDefault="008A5DF1" w:rsidP="00F4744A">
      <w:pPr>
        <w:spacing w:after="0" w:line="360" w:lineRule="auto"/>
        <w:ind w:firstLine="709"/>
        <w:jc w:val="both"/>
        <w:rPr>
          <w:rFonts w:ascii="Times New Roman" w:hAnsi="Times New Roman" w:cs="Times New Roman"/>
          <w:sz w:val="28"/>
          <w:szCs w:val="28"/>
        </w:rPr>
      </w:pPr>
      <w:r w:rsidRPr="008A5DF1">
        <w:rPr>
          <w:rFonts w:ascii="Times New Roman" w:hAnsi="Times New Roman" w:cs="Times New Roman"/>
          <w:i/>
          <w:iCs/>
          <w:sz w:val="28"/>
          <w:szCs w:val="28"/>
        </w:rPr>
        <w:lastRenderedPageBreak/>
        <w:t>в</w:t>
      </w:r>
      <w:r w:rsidR="0098438A" w:rsidRPr="008A5DF1">
        <w:rPr>
          <w:rFonts w:ascii="Times New Roman" w:hAnsi="Times New Roman" w:cs="Times New Roman"/>
          <w:i/>
          <w:iCs/>
          <w:sz w:val="28"/>
          <w:szCs w:val="28"/>
        </w:rPr>
        <w:t>о-первых</w:t>
      </w:r>
      <w:r w:rsidR="0098438A">
        <w:rPr>
          <w:rFonts w:ascii="Times New Roman" w:hAnsi="Times New Roman" w:cs="Times New Roman"/>
          <w:sz w:val="28"/>
          <w:szCs w:val="28"/>
        </w:rPr>
        <w:t xml:space="preserve">, - необходимость активного влияния на процесс цивилизационной идентификации российской молодежи со стороны </w:t>
      </w:r>
      <w:proofErr w:type="spellStart"/>
      <w:r w:rsidR="0098438A">
        <w:rPr>
          <w:rFonts w:ascii="Times New Roman" w:hAnsi="Times New Roman" w:cs="Times New Roman"/>
          <w:sz w:val="28"/>
          <w:szCs w:val="28"/>
        </w:rPr>
        <w:t>социетальных</w:t>
      </w:r>
      <w:proofErr w:type="spellEnd"/>
      <w:r w:rsidR="0098438A">
        <w:rPr>
          <w:rFonts w:ascii="Times New Roman" w:hAnsi="Times New Roman" w:cs="Times New Roman"/>
          <w:sz w:val="28"/>
          <w:szCs w:val="28"/>
        </w:rPr>
        <w:t xml:space="preserve"> субъектов управления, в том числе </w:t>
      </w:r>
      <w:r w:rsidR="00BF47BC">
        <w:rPr>
          <w:rFonts w:ascii="Times New Roman" w:hAnsi="Times New Roman" w:cs="Times New Roman"/>
          <w:sz w:val="28"/>
          <w:szCs w:val="28"/>
        </w:rPr>
        <w:t xml:space="preserve">поиска оптимальной модели институциональных </w:t>
      </w:r>
      <w:r w:rsidR="00CF6783">
        <w:rPr>
          <w:rFonts w:ascii="Times New Roman" w:hAnsi="Times New Roman" w:cs="Times New Roman"/>
          <w:sz w:val="28"/>
          <w:szCs w:val="28"/>
        </w:rPr>
        <w:t>структур органов власти, которые в настоящее время подвергаются критике</w:t>
      </w:r>
      <w:r w:rsidR="00103060">
        <w:rPr>
          <w:rFonts w:ascii="Times New Roman" w:hAnsi="Times New Roman" w:cs="Times New Roman"/>
          <w:sz w:val="28"/>
          <w:szCs w:val="28"/>
        </w:rPr>
        <w:t xml:space="preserve"> и нуждаются в совершенствовании</w:t>
      </w:r>
      <w:r>
        <w:rPr>
          <w:rFonts w:ascii="Times New Roman" w:hAnsi="Times New Roman" w:cs="Times New Roman"/>
          <w:sz w:val="28"/>
          <w:szCs w:val="28"/>
        </w:rPr>
        <w:t>;</w:t>
      </w:r>
    </w:p>
    <w:p w14:paraId="6B310E44" w14:textId="79A195F2" w:rsidR="008A5DF1" w:rsidRDefault="008A5DF1" w:rsidP="00F4744A">
      <w:pPr>
        <w:spacing w:after="0" w:line="360" w:lineRule="auto"/>
        <w:ind w:firstLine="709"/>
        <w:jc w:val="both"/>
        <w:rPr>
          <w:rFonts w:ascii="Times New Roman" w:hAnsi="Times New Roman" w:cs="Times New Roman"/>
          <w:sz w:val="28"/>
          <w:szCs w:val="28"/>
        </w:rPr>
      </w:pPr>
      <w:r w:rsidRPr="008A5DF1">
        <w:rPr>
          <w:rFonts w:ascii="Times New Roman" w:hAnsi="Times New Roman" w:cs="Times New Roman"/>
          <w:i/>
          <w:iCs/>
          <w:sz w:val="28"/>
          <w:szCs w:val="28"/>
        </w:rPr>
        <w:t>во-вторых</w:t>
      </w:r>
      <w:r>
        <w:rPr>
          <w:rFonts w:ascii="Times New Roman" w:hAnsi="Times New Roman" w:cs="Times New Roman"/>
          <w:sz w:val="28"/>
          <w:szCs w:val="28"/>
        </w:rPr>
        <w:t xml:space="preserve">, - дальнейшая </w:t>
      </w:r>
      <w:proofErr w:type="spellStart"/>
      <w:r>
        <w:rPr>
          <w:rFonts w:ascii="Times New Roman" w:hAnsi="Times New Roman" w:cs="Times New Roman"/>
          <w:sz w:val="28"/>
          <w:szCs w:val="28"/>
        </w:rPr>
        <w:t>инстиуционализация</w:t>
      </w:r>
      <w:proofErr w:type="spellEnd"/>
      <w:r>
        <w:rPr>
          <w:rFonts w:ascii="Times New Roman" w:hAnsi="Times New Roman" w:cs="Times New Roman"/>
          <w:sz w:val="28"/>
          <w:szCs w:val="28"/>
        </w:rPr>
        <w:t xml:space="preserve"> системы развития виртуального социального пространства, закрепления норм социального порядка российской цивилизации в информационно-коммуникационной сети «Интернет», что имеет важнейшее значение на обеспечения устойчивости российского социума в условиях угроз и опасностей </w:t>
      </w:r>
      <w:r w:rsidR="00BF47BC">
        <w:rPr>
          <w:rFonts w:ascii="Times New Roman" w:hAnsi="Times New Roman" w:cs="Times New Roman"/>
          <w:sz w:val="28"/>
          <w:szCs w:val="28"/>
        </w:rPr>
        <w:t xml:space="preserve">враждебного </w:t>
      </w:r>
      <w:r>
        <w:rPr>
          <w:rFonts w:ascii="Times New Roman" w:hAnsi="Times New Roman" w:cs="Times New Roman"/>
          <w:sz w:val="28"/>
          <w:szCs w:val="28"/>
        </w:rPr>
        <w:t xml:space="preserve">воздействия на молодежь с </w:t>
      </w:r>
      <w:r w:rsidR="00BF47BC">
        <w:rPr>
          <w:rFonts w:ascii="Times New Roman" w:hAnsi="Times New Roman" w:cs="Times New Roman"/>
          <w:sz w:val="28"/>
          <w:szCs w:val="28"/>
        </w:rPr>
        <w:t xml:space="preserve">использованием </w:t>
      </w:r>
      <w:r w:rsidR="00CF6783">
        <w:rPr>
          <w:rFonts w:ascii="Times New Roman" w:hAnsi="Times New Roman" w:cs="Times New Roman"/>
          <w:sz w:val="28"/>
          <w:szCs w:val="28"/>
        </w:rPr>
        <w:t>глобальных цифровых платформ и высокотехнологичных средств когнитивного подчинения социального пространства в других странах;</w:t>
      </w:r>
    </w:p>
    <w:p w14:paraId="47024FC3" w14:textId="1B4FBCC2" w:rsidR="00CF6783" w:rsidRDefault="00CF6783" w:rsidP="00F4744A">
      <w:pPr>
        <w:spacing w:after="0" w:line="360" w:lineRule="auto"/>
        <w:ind w:firstLine="709"/>
        <w:jc w:val="both"/>
        <w:rPr>
          <w:rFonts w:ascii="Times New Roman" w:hAnsi="Times New Roman" w:cs="Times New Roman"/>
          <w:sz w:val="28"/>
          <w:szCs w:val="28"/>
        </w:rPr>
      </w:pPr>
      <w:r w:rsidRPr="00792909">
        <w:rPr>
          <w:rFonts w:ascii="Times New Roman" w:hAnsi="Times New Roman" w:cs="Times New Roman"/>
          <w:i/>
          <w:iCs/>
          <w:sz w:val="28"/>
          <w:szCs w:val="28"/>
        </w:rPr>
        <w:t>в-третьих</w:t>
      </w:r>
      <w:r>
        <w:rPr>
          <w:rFonts w:ascii="Times New Roman" w:hAnsi="Times New Roman" w:cs="Times New Roman"/>
          <w:sz w:val="28"/>
          <w:szCs w:val="28"/>
        </w:rPr>
        <w:t xml:space="preserve">, - важно развивать нормативную правовую базу реализации в нашей стране молодежной политики, в части уточнения ее целеполагания, с внесением изменений в российское </w:t>
      </w:r>
      <w:r w:rsidR="00792909">
        <w:rPr>
          <w:rFonts w:ascii="Times New Roman" w:hAnsi="Times New Roman" w:cs="Times New Roman"/>
          <w:sz w:val="28"/>
          <w:szCs w:val="28"/>
        </w:rPr>
        <w:t xml:space="preserve">молодежное </w:t>
      </w:r>
      <w:r>
        <w:rPr>
          <w:rFonts w:ascii="Times New Roman" w:hAnsi="Times New Roman" w:cs="Times New Roman"/>
          <w:sz w:val="28"/>
          <w:szCs w:val="28"/>
        </w:rPr>
        <w:t>законодательство</w:t>
      </w:r>
      <w:r w:rsidR="00792909">
        <w:rPr>
          <w:rFonts w:ascii="Times New Roman" w:hAnsi="Times New Roman" w:cs="Times New Roman"/>
          <w:sz w:val="28"/>
          <w:szCs w:val="28"/>
        </w:rPr>
        <w:t>, предусмотрев дополнения направления «проведение научно-аналитических исследований по вопросам молодежной политики» тезисом «в том числе ежегодного мониторинга трансформации идентичности молодежи в условиях цифровой экономики»</w:t>
      </w:r>
      <w:r w:rsidR="00792909">
        <w:rPr>
          <w:rStyle w:val="a7"/>
          <w:rFonts w:ascii="Times New Roman" w:hAnsi="Times New Roman" w:cs="Times New Roman"/>
          <w:sz w:val="28"/>
          <w:szCs w:val="28"/>
        </w:rPr>
        <w:footnoteReference w:id="1"/>
      </w:r>
      <w:r w:rsidR="00792909">
        <w:rPr>
          <w:rFonts w:ascii="Times New Roman" w:hAnsi="Times New Roman" w:cs="Times New Roman"/>
          <w:sz w:val="28"/>
          <w:szCs w:val="28"/>
        </w:rPr>
        <w:t>;</w:t>
      </w:r>
    </w:p>
    <w:p w14:paraId="3A53EBE3" w14:textId="70548002" w:rsidR="00792909" w:rsidRDefault="00792909" w:rsidP="00F4744A">
      <w:pPr>
        <w:spacing w:after="0" w:line="360" w:lineRule="auto"/>
        <w:ind w:firstLine="709"/>
        <w:jc w:val="both"/>
        <w:rPr>
          <w:rFonts w:ascii="Times New Roman" w:hAnsi="Times New Roman" w:cs="Times New Roman"/>
          <w:sz w:val="28"/>
          <w:szCs w:val="28"/>
        </w:rPr>
      </w:pPr>
      <w:r w:rsidRPr="00792909">
        <w:rPr>
          <w:rFonts w:ascii="Times New Roman" w:hAnsi="Times New Roman" w:cs="Times New Roman"/>
          <w:i/>
          <w:iCs/>
          <w:sz w:val="28"/>
          <w:szCs w:val="28"/>
        </w:rPr>
        <w:t>в-четвертых</w:t>
      </w:r>
      <w:r>
        <w:rPr>
          <w:rFonts w:ascii="Times New Roman" w:hAnsi="Times New Roman" w:cs="Times New Roman"/>
          <w:sz w:val="28"/>
          <w:szCs w:val="28"/>
        </w:rPr>
        <w:t xml:space="preserve">, - </w:t>
      </w:r>
      <w:r w:rsidR="005958A6">
        <w:rPr>
          <w:rFonts w:ascii="Times New Roman" w:hAnsi="Times New Roman" w:cs="Times New Roman"/>
          <w:sz w:val="28"/>
          <w:szCs w:val="28"/>
        </w:rPr>
        <w:t xml:space="preserve">остается большой роль научной рефлексии процессов трансформации цивилизационных процессов в силу их сложности, нелинейного развития и существенности </w:t>
      </w:r>
      <w:r w:rsidR="002B0291">
        <w:rPr>
          <w:rFonts w:ascii="Times New Roman" w:hAnsi="Times New Roman" w:cs="Times New Roman"/>
          <w:sz w:val="28"/>
          <w:szCs w:val="28"/>
        </w:rPr>
        <w:t>опасностей</w:t>
      </w:r>
      <w:r w:rsidR="005958A6">
        <w:rPr>
          <w:rFonts w:ascii="Times New Roman" w:hAnsi="Times New Roman" w:cs="Times New Roman"/>
          <w:sz w:val="28"/>
          <w:szCs w:val="28"/>
        </w:rPr>
        <w:t xml:space="preserve"> </w:t>
      </w:r>
      <w:r w:rsidR="002B0291">
        <w:rPr>
          <w:rFonts w:ascii="Times New Roman" w:hAnsi="Times New Roman" w:cs="Times New Roman"/>
          <w:sz w:val="28"/>
          <w:szCs w:val="28"/>
        </w:rPr>
        <w:t xml:space="preserve">социальных </w:t>
      </w:r>
      <w:r w:rsidR="005958A6">
        <w:rPr>
          <w:rFonts w:ascii="Times New Roman" w:hAnsi="Times New Roman" w:cs="Times New Roman"/>
          <w:sz w:val="28"/>
          <w:szCs w:val="28"/>
        </w:rPr>
        <w:t xml:space="preserve">изменений </w:t>
      </w:r>
      <w:r w:rsidR="002B0291">
        <w:rPr>
          <w:rFonts w:ascii="Times New Roman" w:hAnsi="Times New Roman" w:cs="Times New Roman"/>
          <w:sz w:val="28"/>
          <w:szCs w:val="28"/>
        </w:rPr>
        <w:t>в обществе риска</w:t>
      </w:r>
      <w:r w:rsidR="002B0291">
        <w:rPr>
          <w:rStyle w:val="a7"/>
          <w:rFonts w:ascii="Times New Roman" w:hAnsi="Times New Roman" w:cs="Times New Roman"/>
          <w:sz w:val="28"/>
          <w:szCs w:val="28"/>
        </w:rPr>
        <w:footnoteReference w:id="2"/>
      </w:r>
      <w:r w:rsidR="00C46804">
        <w:rPr>
          <w:rFonts w:ascii="Times New Roman" w:hAnsi="Times New Roman" w:cs="Times New Roman"/>
          <w:sz w:val="28"/>
          <w:szCs w:val="28"/>
        </w:rPr>
        <w:t xml:space="preserve">, которая является </w:t>
      </w:r>
      <w:proofErr w:type="spellStart"/>
      <w:r w:rsidR="00C46804">
        <w:rPr>
          <w:rFonts w:ascii="Times New Roman" w:hAnsi="Times New Roman" w:cs="Times New Roman"/>
          <w:sz w:val="28"/>
          <w:szCs w:val="28"/>
        </w:rPr>
        <w:t>неотьемлемой</w:t>
      </w:r>
      <w:proofErr w:type="spellEnd"/>
      <w:r w:rsidR="00C46804">
        <w:rPr>
          <w:rFonts w:ascii="Times New Roman" w:hAnsi="Times New Roman" w:cs="Times New Roman"/>
          <w:sz w:val="28"/>
          <w:szCs w:val="28"/>
        </w:rPr>
        <w:t xml:space="preserve"> частью современной системы </w:t>
      </w:r>
      <w:r w:rsidR="004D4872">
        <w:rPr>
          <w:rFonts w:ascii="Times New Roman" w:hAnsi="Times New Roman" w:cs="Times New Roman"/>
          <w:sz w:val="28"/>
          <w:szCs w:val="28"/>
        </w:rPr>
        <w:t xml:space="preserve">социального управления. </w:t>
      </w:r>
    </w:p>
    <w:p w14:paraId="0EE12513" w14:textId="6E57FFB3" w:rsidR="004D0455" w:rsidRDefault="004D4872" w:rsidP="00F4744A">
      <w:pPr>
        <w:spacing w:after="0" w:line="360" w:lineRule="auto"/>
        <w:ind w:firstLine="709"/>
        <w:jc w:val="both"/>
        <w:rPr>
          <w:rFonts w:ascii="Times New Roman" w:hAnsi="Times New Roman" w:cs="Times New Roman"/>
          <w:sz w:val="28"/>
          <w:szCs w:val="28"/>
        </w:rPr>
      </w:pPr>
      <w:r w:rsidRPr="004D4872">
        <w:rPr>
          <w:rFonts w:ascii="Times New Roman" w:hAnsi="Times New Roman" w:cs="Times New Roman"/>
          <w:i/>
          <w:iCs/>
          <w:sz w:val="28"/>
          <w:szCs w:val="28"/>
        </w:rPr>
        <w:t>Таким образом</w:t>
      </w:r>
      <w:r>
        <w:rPr>
          <w:rFonts w:ascii="Times New Roman" w:hAnsi="Times New Roman" w:cs="Times New Roman"/>
          <w:sz w:val="28"/>
          <w:szCs w:val="28"/>
        </w:rPr>
        <w:t xml:space="preserve">, развивающееся и усложняющееся российское общество нуждается в активном участии граждан в системе позитивных социальных связей, сознательном принятии традиционных ценностей, идентичности </w:t>
      </w:r>
      <w:r>
        <w:rPr>
          <w:rFonts w:ascii="Times New Roman" w:hAnsi="Times New Roman" w:cs="Times New Roman"/>
          <w:sz w:val="28"/>
          <w:szCs w:val="28"/>
        </w:rPr>
        <w:lastRenderedPageBreak/>
        <w:t xml:space="preserve">населения, молодежи </w:t>
      </w:r>
      <w:r w:rsidR="00D12B5B">
        <w:rPr>
          <w:rFonts w:ascii="Times New Roman" w:hAnsi="Times New Roman" w:cs="Times New Roman"/>
          <w:sz w:val="28"/>
          <w:szCs w:val="28"/>
        </w:rPr>
        <w:t xml:space="preserve">с цивилизационным проектом, который занимает </w:t>
      </w:r>
      <w:r w:rsidR="004D0455">
        <w:rPr>
          <w:rFonts w:ascii="Times New Roman" w:hAnsi="Times New Roman" w:cs="Times New Roman"/>
          <w:sz w:val="28"/>
          <w:szCs w:val="28"/>
        </w:rPr>
        <w:t xml:space="preserve">в общих социальных отношениях </w:t>
      </w:r>
      <w:r w:rsidR="00D12B5B">
        <w:rPr>
          <w:rFonts w:ascii="Times New Roman" w:hAnsi="Times New Roman" w:cs="Times New Roman"/>
          <w:sz w:val="28"/>
          <w:szCs w:val="28"/>
        </w:rPr>
        <w:t xml:space="preserve">и расширяет социальное пространство для </w:t>
      </w:r>
      <w:r w:rsidR="004D0455">
        <w:rPr>
          <w:rFonts w:ascii="Times New Roman" w:hAnsi="Times New Roman" w:cs="Times New Roman"/>
          <w:sz w:val="28"/>
          <w:szCs w:val="28"/>
        </w:rPr>
        <w:t>функционирования российского социума.</w:t>
      </w:r>
    </w:p>
    <w:p w14:paraId="40F95FE7" w14:textId="39E0EDB8" w:rsidR="004D0455" w:rsidRDefault="004D0455" w:rsidP="00F4744A">
      <w:pPr>
        <w:spacing w:after="0" w:line="360" w:lineRule="auto"/>
        <w:ind w:firstLine="709"/>
        <w:jc w:val="both"/>
        <w:rPr>
          <w:rFonts w:ascii="Times New Roman" w:hAnsi="Times New Roman" w:cs="Times New Roman"/>
          <w:sz w:val="28"/>
          <w:szCs w:val="28"/>
        </w:rPr>
      </w:pPr>
    </w:p>
    <w:p w14:paraId="050C8CA8" w14:textId="07C46382" w:rsidR="004D0455" w:rsidRDefault="004D0455" w:rsidP="00F474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14:paraId="142A2C13" w14:textId="30E99112" w:rsidR="004D0455" w:rsidRDefault="004D0455" w:rsidP="00F4744A">
      <w:pPr>
        <w:spacing w:after="0" w:line="360" w:lineRule="auto"/>
        <w:ind w:firstLine="709"/>
        <w:jc w:val="center"/>
        <w:rPr>
          <w:rFonts w:ascii="Times New Roman" w:hAnsi="Times New Roman" w:cs="Times New Roman"/>
          <w:sz w:val="28"/>
          <w:szCs w:val="28"/>
        </w:rPr>
      </w:pPr>
    </w:p>
    <w:p w14:paraId="1E89F5F2" w14:textId="548B111A" w:rsidR="00763D98" w:rsidRPr="00763D98" w:rsidRDefault="00763D98" w:rsidP="00F4744A">
      <w:pPr>
        <w:pStyle w:val="a5"/>
        <w:spacing w:line="360" w:lineRule="auto"/>
        <w:ind w:firstLine="709"/>
        <w:jc w:val="both"/>
        <w:rPr>
          <w:sz w:val="28"/>
          <w:szCs w:val="28"/>
        </w:rPr>
      </w:pPr>
      <w:bookmarkStart w:id="0" w:name="_Hlk89640084"/>
      <w:r w:rsidRPr="00763D98">
        <w:rPr>
          <w:sz w:val="28"/>
          <w:szCs w:val="28"/>
        </w:rPr>
        <w:t>1. Бек У. Общество риска</w:t>
      </w:r>
      <w:proofErr w:type="gramStart"/>
      <w:r w:rsidRPr="00763D98">
        <w:rPr>
          <w:sz w:val="28"/>
          <w:szCs w:val="28"/>
        </w:rPr>
        <w:t>: На</w:t>
      </w:r>
      <w:proofErr w:type="gramEnd"/>
      <w:r w:rsidRPr="00763D98">
        <w:rPr>
          <w:sz w:val="28"/>
          <w:szCs w:val="28"/>
        </w:rPr>
        <w:t xml:space="preserve"> пути к другому модерну / Пер. с нем. В. Седельника, Н. Федоровой. - М.: Прогресс-Традиция, 2000. - 383 с. - Пер. изд.: </w:t>
      </w:r>
      <w:proofErr w:type="spellStart"/>
      <w:r w:rsidRPr="00763D98">
        <w:rPr>
          <w:sz w:val="28"/>
          <w:szCs w:val="28"/>
        </w:rPr>
        <w:t>Beck</w:t>
      </w:r>
      <w:proofErr w:type="spellEnd"/>
      <w:r w:rsidRPr="00763D98">
        <w:rPr>
          <w:sz w:val="28"/>
          <w:szCs w:val="28"/>
        </w:rPr>
        <w:t xml:space="preserve"> U. </w:t>
      </w:r>
      <w:proofErr w:type="spellStart"/>
      <w:r w:rsidRPr="00763D98">
        <w:rPr>
          <w:sz w:val="28"/>
          <w:szCs w:val="28"/>
        </w:rPr>
        <w:t>Risikogesellschaft</w:t>
      </w:r>
      <w:proofErr w:type="spellEnd"/>
      <w:r w:rsidRPr="00763D98">
        <w:rPr>
          <w:sz w:val="28"/>
          <w:szCs w:val="28"/>
        </w:rPr>
        <w:t xml:space="preserve">. - Frankfurt </w:t>
      </w:r>
      <w:proofErr w:type="spellStart"/>
      <w:r w:rsidRPr="00763D98">
        <w:rPr>
          <w:sz w:val="28"/>
          <w:szCs w:val="28"/>
        </w:rPr>
        <w:t>am</w:t>
      </w:r>
      <w:proofErr w:type="spellEnd"/>
      <w:r w:rsidRPr="00763D98">
        <w:rPr>
          <w:sz w:val="28"/>
          <w:szCs w:val="28"/>
        </w:rPr>
        <w:t xml:space="preserve"> </w:t>
      </w:r>
      <w:proofErr w:type="spellStart"/>
      <w:r w:rsidRPr="00763D98">
        <w:rPr>
          <w:sz w:val="28"/>
          <w:szCs w:val="28"/>
        </w:rPr>
        <w:t>Main</w:t>
      </w:r>
      <w:proofErr w:type="spellEnd"/>
      <w:r w:rsidRPr="00763D98">
        <w:rPr>
          <w:sz w:val="28"/>
          <w:szCs w:val="28"/>
        </w:rPr>
        <w:t xml:space="preserve">: </w:t>
      </w:r>
      <w:proofErr w:type="spellStart"/>
      <w:r w:rsidRPr="00763D98">
        <w:rPr>
          <w:sz w:val="28"/>
          <w:szCs w:val="28"/>
        </w:rPr>
        <w:t>Suhrkamp</w:t>
      </w:r>
      <w:proofErr w:type="spellEnd"/>
      <w:r w:rsidRPr="00763D98">
        <w:rPr>
          <w:sz w:val="28"/>
          <w:szCs w:val="28"/>
        </w:rPr>
        <w:t>, 1986.</w:t>
      </w:r>
    </w:p>
    <w:p w14:paraId="2DACF77E" w14:textId="0859B7FA" w:rsidR="00763D98" w:rsidRPr="00763D98" w:rsidRDefault="00763D98" w:rsidP="00F4744A">
      <w:pPr>
        <w:pStyle w:val="a5"/>
        <w:spacing w:line="360" w:lineRule="auto"/>
        <w:ind w:firstLine="709"/>
        <w:jc w:val="both"/>
        <w:rPr>
          <w:sz w:val="28"/>
          <w:szCs w:val="28"/>
        </w:rPr>
      </w:pPr>
      <w:r w:rsidRPr="00763D98">
        <w:rPr>
          <w:sz w:val="28"/>
          <w:szCs w:val="28"/>
        </w:rPr>
        <w:t>2. Горбунов, В.Е. Социологические аспекты социального времени в современном российском обществе [Текст</w:t>
      </w:r>
      <w:proofErr w:type="gramStart"/>
      <w:r w:rsidRPr="00763D98">
        <w:rPr>
          <w:sz w:val="28"/>
          <w:szCs w:val="28"/>
        </w:rPr>
        <w:t>] :</w:t>
      </w:r>
      <w:proofErr w:type="gramEnd"/>
      <w:r w:rsidRPr="00763D98">
        <w:rPr>
          <w:sz w:val="28"/>
          <w:szCs w:val="28"/>
        </w:rPr>
        <w:t xml:space="preserve"> </w:t>
      </w:r>
      <w:proofErr w:type="spellStart"/>
      <w:r w:rsidRPr="00763D98">
        <w:rPr>
          <w:sz w:val="28"/>
          <w:szCs w:val="28"/>
        </w:rPr>
        <w:t>автореф</w:t>
      </w:r>
      <w:proofErr w:type="spellEnd"/>
      <w:r w:rsidRPr="00763D98">
        <w:rPr>
          <w:sz w:val="28"/>
          <w:szCs w:val="28"/>
        </w:rPr>
        <w:t xml:space="preserve">. </w:t>
      </w:r>
      <w:proofErr w:type="spellStart"/>
      <w:r w:rsidRPr="00763D98">
        <w:rPr>
          <w:sz w:val="28"/>
          <w:szCs w:val="28"/>
        </w:rPr>
        <w:t>дис</w:t>
      </w:r>
      <w:proofErr w:type="spellEnd"/>
      <w:r w:rsidRPr="00763D98">
        <w:rPr>
          <w:sz w:val="28"/>
          <w:szCs w:val="28"/>
        </w:rPr>
        <w:t xml:space="preserve">. ... канд. социол. наук / </w:t>
      </w:r>
      <w:proofErr w:type="gramStart"/>
      <w:r w:rsidRPr="00763D98">
        <w:rPr>
          <w:sz w:val="28"/>
          <w:szCs w:val="28"/>
        </w:rPr>
        <w:t>В.Е.</w:t>
      </w:r>
      <w:proofErr w:type="gramEnd"/>
      <w:r w:rsidRPr="00763D98">
        <w:rPr>
          <w:sz w:val="28"/>
          <w:szCs w:val="28"/>
        </w:rPr>
        <w:t xml:space="preserve"> Горбунов. - Саратов, 2001. - 24 с.</w:t>
      </w:r>
    </w:p>
    <w:p w14:paraId="5F9F678D" w14:textId="75D52AB0" w:rsidR="00763D98" w:rsidRPr="00763D98" w:rsidRDefault="00763D98" w:rsidP="00F4744A">
      <w:pPr>
        <w:pStyle w:val="a5"/>
        <w:spacing w:line="360" w:lineRule="auto"/>
        <w:ind w:firstLine="709"/>
        <w:jc w:val="both"/>
        <w:rPr>
          <w:sz w:val="28"/>
          <w:szCs w:val="28"/>
        </w:rPr>
      </w:pPr>
      <w:r w:rsidRPr="00763D98">
        <w:rPr>
          <w:sz w:val="28"/>
          <w:szCs w:val="28"/>
        </w:rPr>
        <w:t xml:space="preserve">3. </w:t>
      </w:r>
      <w:proofErr w:type="spellStart"/>
      <w:r w:rsidRPr="00763D98">
        <w:rPr>
          <w:sz w:val="28"/>
          <w:szCs w:val="28"/>
        </w:rPr>
        <w:t>Зиммель</w:t>
      </w:r>
      <w:proofErr w:type="spellEnd"/>
      <w:r w:rsidRPr="00763D98">
        <w:rPr>
          <w:sz w:val="28"/>
          <w:szCs w:val="28"/>
        </w:rPr>
        <w:t xml:space="preserve"> Г. Социология пространства // </w:t>
      </w:r>
      <w:proofErr w:type="spellStart"/>
      <w:r w:rsidRPr="00763D98">
        <w:rPr>
          <w:sz w:val="28"/>
          <w:szCs w:val="28"/>
        </w:rPr>
        <w:t>Зиммель</w:t>
      </w:r>
      <w:proofErr w:type="spellEnd"/>
      <w:r w:rsidRPr="00763D98">
        <w:rPr>
          <w:sz w:val="28"/>
          <w:szCs w:val="28"/>
        </w:rPr>
        <w:t xml:space="preserve"> Г. </w:t>
      </w:r>
      <w:proofErr w:type="spellStart"/>
      <w:r w:rsidRPr="00763D98">
        <w:rPr>
          <w:sz w:val="28"/>
          <w:szCs w:val="28"/>
        </w:rPr>
        <w:t>Избр</w:t>
      </w:r>
      <w:proofErr w:type="spellEnd"/>
      <w:r w:rsidRPr="00763D98">
        <w:rPr>
          <w:sz w:val="28"/>
          <w:szCs w:val="28"/>
        </w:rPr>
        <w:t>.: в 2 т. М., 1996. Т.2</w:t>
      </w:r>
    </w:p>
    <w:p w14:paraId="015470B5" w14:textId="0D00B70D" w:rsidR="00763D98" w:rsidRPr="00763D98" w:rsidRDefault="00763D98" w:rsidP="00F4744A">
      <w:pPr>
        <w:pStyle w:val="a5"/>
        <w:spacing w:line="360" w:lineRule="auto"/>
        <w:ind w:firstLine="709"/>
        <w:jc w:val="both"/>
        <w:rPr>
          <w:sz w:val="28"/>
          <w:szCs w:val="28"/>
        </w:rPr>
      </w:pPr>
      <w:r w:rsidRPr="00763D98">
        <w:rPr>
          <w:sz w:val="28"/>
          <w:szCs w:val="28"/>
        </w:rPr>
        <w:t xml:space="preserve">4. Князева </w:t>
      </w:r>
      <w:proofErr w:type="gramStart"/>
      <w:r w:rsidRPr="00763D98">
        <w:rPr>
          <w:sz w:val="28"/>
          <w:szCs w:val="28"/>
        </w:rPr>
        <w:t>Е.Н.</w:t>
      </w:r>
      <w:proofErr w:type="gramEnd"/>
      <w:r w:rsidRPr="00763D98">
        <w:rPr>
          <w:sz w:val="28"/>
          <w:szCs w:val="28"/>
        </w:rPr>
        <w:t xml:space="preserve">, Курдюмов С.П. Синергетика: Нелинейность времени и ландшафты </w:t>
      </w:r>
      <w:proofErr w:type="spellStart"/>
      <w:r w:rsidRPr="00763D98">
        <w:rPr>
          <w:sz w:val="28"/>
          <w:szCs w:val="28"/>
        </w:rPr>
        <w:t>коэволюции</w:t>
      </w:r>
      <w:proofErr w:type="spellEnd"/>
      <w:r w:rsidRPr="00763D98">
        <w:rPr>
          <w:sz w:val="28"/>
          <w:szCs w:val="28"/>
        </w:rPr>
        <w:t xml:space="preserve">. М.: </w:t>
      </w:r>
      <w:proofErr w:type="spellStart"/>
      <w:r w:rsidRPr="00763D98">
        <w:rPr>
          <w:sz w:val="28"/>
          <w:szCs w:val="28"/>
        </w:rPr>
        <w:t>КомКнига</w:t>
      </w:r>
      <w:proofErr w:type="spellEnd"/>
      <w:r w:rsidRPr="00763D98">
        <w:rPr>
          <w:sz w:val="28"/>
          <w:szCs w:val="28"/>
        </w:rPr>
        <w:t>, 2007.</w:t>
      </w:r>
    </w:p>
    <w:p w14:paraId="1F74731F" w14:textId="2DEEE0C6" w:rsidR="00763D98" w:rsidRPr="00763D98" w:rsidRDefault="00763D98" w:rsidP="00F4744A">
      <w:pPr>
        <w:pStyle w:val="a5"/>
        <w:spacing w:line="360" w:lineRule="auto"/>
        <w:ind w:firstLine="709"/>
        <w:jc w:val="both"/>
        <w:rPr>
          <w:sz w:val="28"/>
          <w:szCs w:val="28"/>
        </w:rPr>
      </w:pPr>
      <w:r w:rsidRPr="00763D98">
        <w:rPr>
          <w:sz w:val="28"/>
          <w:szCs w:val="28"/>
        </w:rPr>
        <w:t xml:space="preserve">5. Кравченко </w:t>
      </w:r>
      <w:proofErr w:type="gramStart"/>
      <w:r w:rsidRPr="00763D98">
        <w:rPr>
          <w:sz w:val="28"/>
          <w:szCs w:val="28"/>
        </w:rPr>
        <w:t>С.А.</w:t>
      </w:r>
      <w:proofErr w:type="gramEnd"/>
      <w:r w:rsidRPr="00763D98">
        <w:rPr>
          <w:sz w:val="28"/>
          <w:szCs w:val="28"/>
        </w:rPr>
        <w:t xml:space="preserve"> Социологическое знание через призму «стрелы времени»: востребованность гуманистического поворота. М.: МГИМО-Университет, 2015</w:t>
      </w:r>
    </w:p>
    <w:p w14:paraId="51713BE9" w14:textId="27D5FBB7" w:rsidR="00763D98" w:rsidRPr="00763D98" w:rsidRDefault="00763D98" w:rsidP="00F4744A">
      <w:pPr>
        <w:pStyle w:val="a5"/>
        <w:spacing w:line="360" w:lineRule="auto"/>
        <w:ind w:firstLine="709"/>
        <w:jc w:val="both"/>
        <w:rPr>
          <w:sz w:val="28"/>
          <w:szCs w:val="28"/>
        </w:rPr>
      </w:pPr>
      <w:r w:rsidRPr="00763D98">
        <w:rPr>
          <w:sz w:val="28"/>
          <w:szCs w:val="28"/>
        </w:rPr>
        <w:t xml:space="preserve">6. Кравченко </w:t>
      </w:r>
      <w:proofErr w:type="gramStart"/>
      <w:r w:rsidRPr="00763D98">
        <w:rPr>
          <w:sz w:val="28"/>
          <w:szCs w:val="28"/>
        </w:rPr>
        <w:t>С.А.</w:t>
      </w:r>
      <w:proofErr w:type="gramEnd"/>
      <w:r w:rsidRPr="00763D98">
        <w:rPr>
          <w:sz w:val="28"/>
          <w:szCs w:val="28"/>
        </w:rPr>
        <w:t xml:space="preserve"> Стрела времени: современные вызовы социологическому знанию // Социологическая наука и социальная практика. 2014. №1(5). С.110-124.</w:t>
      </w:r>
    </w:p>
    <w:p w14:paraId="00144236" w14:textId="20E89610" w:rsidR="00763D98" w:rsidRPr="00763D98" w:rsidRDefault="00763D98" w:rsidP="00F4744A">
      <w:pPr>
        <w:pStyle w:val="a5"/>
        <w:spacing w:line="360" w:lineRule="auto"/>
        <w:ind w:firstLine="709"/>
        <w:jc w:val="both"/>
        <w:rPr>
          <w:sz w:val="28"/>
          <w:szCs w:val="28"/>
        </w:rPr>
      </w:pPr>
      <w:r w:rsidRPr="00763D98">
        <w:rPr>
          <w:sz w:val="28"/>
          <w:szCs w:val="28"/>
        </w:rPr>
        <w:t xml:space="preserve">7. Пространство и время социальных изменений / В. Н. Ярская [и др.]. - </w:t>
      </w:r>
      <w:proofErr w:type="gramStart"/>
      <w:r w:rsidRPr="00763D98">
        <w:rPr>
          <w:sz w:val="28"/>
          <w:szCs w:val="28"/>
        </w:rPr>
        <w:t>Саратов :</w:t>
      </w:r>
      <w:proofErr w:type="gramEnd"/>
      <w:r w:rsidRPr="00763D98">
        <w:rPr>
          <w:sz w:val="28"/>
          <w:szCs w:val="28"/>
        </w:rPr>
        <w:t xml:space="preserve"> Изд-во Саратовского ун-та, 2004. - 280 с.</w:t>
      </w:r>
    </w:p>
    <w:p w14:paraId="243CC445" w14:textId="09DB85E5" w:rsidR="00763D98" w:rsidRPr="00763D98" w:rsidRDefault="00763D98" w:rsidP="00F4744A">
      <w:pPr>
        <w:pStyle w:val="a5"/>
        <w:spacing w:line="360" w:lineRule="auto"/>
        <w:ind w:firstLine="709"/>
        <w:jc w:val="both"/>
        <w:rPr>
          <w:sz w:val="28"/>
          <w:szCs w:val="28"/>
        </w:rPr>
      </w:pPr>
      <w:r w:rsidRPr="00763D98">
        <w:rPr>
          <w:sz w:val="28"/>
          <w:szCs w:val="28"/>
        </w:rPr>
        <w:t>8. Указ Президента РФ от 7 мая 2018 г. N 204 «О национальных целях и стратегических задачах развития Российской Федерации на период до 2024 года» / Официальный интернет-портал правовой информации" (www.pravo.gov.ru) / Собрание законодательства Российской Федерации от 14 мая 2018 г. N 20 ст. 2817.</w:t>
      </w:r>
    </w:p>
    <w:p w14:paraId="4A425CD0" w14:textId="3A7C279D" w:rsidR="00763D98" w:rsidRPr="00763D98" w:rsidRDefault="00763D98" w:rsidP="00F4744A">
      <w:pPr>
        <w:pStyle w:val="a5"/>
        <w:spacing w:line="360" w:lineRule="auto"/>
        <w:ind w:firstLine="709"/>
        <w:jc w:val="both"/>
        <w:rPr>
          <w:sz w:val="28"/>
          <w:szCs w:val="28"/>
        </w:rPr>
      </w:pPr>
      <w:r w:rsidRPr="00763D98">
        <w:rPr>
          <w:sz w:val="28"/>
          <w:szCs w:val="28"/>
        </w:rPr>
        <w:lastRenderedPageBreak/>
        <w:t>9. Федеральный закон от 30 декабря 2020 г. № 489-ФЗ «О молодежной политике в Российской Федерации» / Официальный интернет-портал правовой информации. Электронный ресурс: [http://ips.pravo.gov.ru:8080/]: Дата обращения: 14 марта 2021 г.</w:t>
      </w:r>
    </w:p>
    <w:p w14:paraId="6EEF858E" w14:textId="0FD43923" w:rsidR="00763D98" w:rsidRPr="00763D98" w:rsidRDefault="00763D98" w:rsidP="00F4744A">
      <w:pPr>
        <w:pStyle w:val="a5"/>
        <w:spacing w:line="360" w:lineRule="auto"/>
        <w:ind w:firstLine="709"/>
        <w:jc w:val="both"/>
        <w:rPr>
          <w:sz w:val="28"/>
          <w:szCs w:val="28"/>
        </w:rPr>
      </w:pPr>
      <w:r w:rsidRPr="00763D98">
        <w:rPr>
          <w:sz w:val="28"/>
          <w:szCs w:val="28"/>
        </w:rPr>
        <w:t xml:space="preserve">10. Филиппов </w:t>
      </w:r>
      <w:proofErr w:type="gramStart"/>
      <w:r w:rsidRPr="00763D98">
        <w:rPr>
          <w:sz w:val="28"/>
          <w:szCs w:val="28"/>
        </w:rPr>
        <w:t>А.Ф.</w:t>
      </w:r>
      <w:proofErr w:type="gramEnd"/>
      <w:r w:rsidRPr="00763D98">
        <w:rPr>
          <w:sz w:val="28"/>
          <w:szCs w:val="28"/>
        </w:rPr>
        <w:t xml:space="preserve"> Социология пространства //Логос. 2000. №2(23). С.113-151.</w:t>
      </w:r>
      <w:bookmarkEnd w:id="0"/>
    </w:p>
    <w:sectPr w:rsidR="00763D98" w:rsidRPr="00763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2AA5" w14:textId="77777777" w:rsidR="00175A7A" w:rsidRDefault="00175A7A" w:rsidP="00BF47BC">
      <w:pPr>
        <w:spacing w:after="0" w:line="240" w:lineRule="auto"/>
      </w:pPr>
      <w:r>
        <w:separator/>
      </w:r>
    </w:p>
  </w:endnote>
  <w:endnote w:type="continuationSeparator" w:id="0">
    <w:p w14:paraId="726E6EB0" w14:textId="77777777" w:rsidR="00175A7A" w:rsidRDefault="00175A7A" w:rsidP="00BF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3309" w14:textId="77777777" w:rsidR="00175A7A" w:rsidRDefault="00175A7A" w:rsidP="00BF47BC">
      <w:pPr>
        <w:spacing w:after="0" w:line="240" w:lineRule="auto"/>
      </w:pPr>
      <w:r>
        <w:separator/>
      </w:r>
    </w:p>
  </w:footnote>
  <w:footnote w:type="continuationSeparator" w:id="0">
    <w:p w14:paraId="49BE76B1" w14:textId="77777777" w:rsidR="00175A7A" w:rsidRDefault="00175A7A" w:rsidP="00BF47BC">
      <w:pPr>
        <w:spacing w:after="0" w:line="240" w:lineRule="auto"/>
      </w:pPr>
      <w:r>
        <w:continuationSeparator/>
      </w:r>
    </w:p>
  </w:footnote>
  <w:footnote w:id="1">
    <w:p w14:paraId="5D092848" w14:textId="0AAFD6DD" w:rsidR="00792909" w:rsidRPr="00CA4385" w:rsidRDefault="00792909" w:rsidP="00CA4385">
      <w:pPr>
        <w:pStyle w:val="a5"/>
        <w:ind w:firstLine="709"/>
        <w:jc w:val="both"/>
        <w:rPr>
          <w:sz w:val="16"/>
          <w:szCs w:val="16"/>
        </w:rPr>
      </w:pPr>
      <w:r w:rsidRPr="00CA4385">
        <w:rPr>
          <w:rStyle w:val="a7"/>
          <w:sz w:val="16"/>
          <w:szCs w:val="16"/>
        </w:rPr>
        <w:footnoteRef/>
      </w:r>
      <w:r w:rsidRPr="00CA4385">
        <w:rPr>
          <w:sz w:val="16"/>
          <w:szCs w:val="16"/>
        </w:rPr>
        <w:t xml:space="preserve"> Федеральный закон от 30 декабря 2020 г. № 489-ФЗ «О молодежной политике в Российской Федерации» / Официальный интернет-портал правовой информации. Электронный ресурс: [http://ips.pravo.gov.ru:8080/]: Дата обращения: 14 марта 2021 г.</w:t>
      </w:r>
    </w:p>
  </w:footnote>
  <w:footnote w:id="2">
    <w:p w14:paraId="31F69725" w14:textId="31836ADD" w:rsidR="002B0291" w:rsidRPr="00CA4385" w:rsidRDefault="002B0291" w:rsidP="00CA4385">
      <w:pPr>
        <w:spacing w:after="0" w:line="240" w:lineRule="auto"/>
        <w:ind w:firstLine="709"/>
        <w:jc w:val="both"/>
        <w:rPr>
          <w:rFonts w:ascii="Times New Roman" w:hAnsi="Times New Roman" w:cs="Times New Roman"/>
          <w:sz w:val="16"/>
          <w:szCs w:val="16"/>
        </w:rPr>
      </w:pPr>
      <w:r w:rsidRPr="00CA4385">
        <w:rPr>
          <w:rStyle w:val="a7"/>
          <w:rFonts w:ascii="Times New Roman" w:hAnsi="Times New Roman" w:cs="Times New Roman"/>
          <w:sz w:val="16"/>
          <w:szCs w:val="16"/>
        </w:rPr>
        <w:footnoteRef/>
      </w:r>
      <w:r w:rsidRPr="00CA4385">
        <w:rPr>
          <w:rFonts w:ascii="Times New Roman" w:hAnsi="Times New Roman" w:cs="Times New Roman"/>
          <w:sz w:val="16"/>
          <w:szCs w:val="16"/>
        </w:rPr>
        <w:t xml:space="preserve"> Бек У. Общество риска</w:t>
      </w:r>
      <w:proofErr w:type="gramStart"/>
      <w:r w:rsidRPr="00CA4385">
        <w:rPr>
          <w:rFonts w:ascii="Times New Roman" w:hAnsi="Times New Roman" w:cs="Times New Roman"/>
          <w:sz w:val="16"/>
          <w:szCs w:val="16"/>
        </w:rPr>
        <w:t>: На</w:t>
      </w:r>
      <w:proofErr w:type="gramEnd"/>
      <w:r w:rsidRPr="00CA4385">
        <w:rPr>
          <w:rFonts w:ascii="Times New Roman" w:hAnsi="Times New Roman" w:cs="Times New Roman"/>
          <w:sz w:val="16"/>
          <w:szCs w:val="16"/>
        </w:rPr>
        <w:t xml:space="preserve"> пути к другому модерну / Пер. с нем. В. Седельника, Н. Федоровой. - М.: Прогресс-Традиция, 2000. - 383 с. - Пер. изд.: </w:t>
      </w:r>
      <w:proofErr w:type="spellStart"/>
      <w:r w:rsidRPr="00CA4385">
        <w:rPr>
          <w:rFonts w:ascii="Times New Roman" w:hAnsi="Times New Roman" w:cs="Times New Roman"/>
          <w:sz w:val="16"/>
          <w:szCs w:val="16"/>
        </w:rPr>
        <w:t>Beck</w:t>
      </w:r>
      <w:proofErr w:type="spellEnd"/>
      <w:r w:rsidRPr="00CA4385">
        <w:rPr>
          <w:rFonts w:ascii="Times New Roman" w:hAnsi="Times New Roman" w:cs="Times New Roman"/>
          <w:sz w:val="16"/>
          <w:szCs w:val="16"/>
        </w:rPr>
        <w:t xml:space="preserve"> U. </w:t>
      </w:r>
      <w:proofErr w:type="spellStart"/>
      <w:r w:rsidRPr="00CA4385">
        <w:rPr>
          <w:rFonts w:ascii="Times New Roman" w:hAnsi="Times New Roman" w:cs="Times New Roman"/>
          <w:sz w:val="16"/>
          <w:szCs w:val="16"/>
        </w:rPr>
        <w:t>Risikogesellschaft</w:t>
      </w:r>
      <w:proofErr w:type="spellEnd"/>
      <w:r w:rsidRPr="00CA4385">
        <w:rPr>
          <w:rFonts w:ascii="Times New Roman" w:hAnsi="Times New Roman" w:cs="Times New Roman"/>
          <w:sz w:val="16"/>
          <w:szCs w:val="16"/>
        </w:rPr>
        <w:t xml:space="preserve">. - Frankfurt </w:t>
      </w:r>
      <w:proofErr w:type="spellStart"/>
      <w:r w:rsidRPr="00CA4385">
        <w:rPr>
          <w:rFonts w:ascii="Times New Roman" w:hAnsi="Times New Roman" w:cs="Times New Roman"/>
          <w:sz w:val="16"/>
          <w:szCs w:val="16"/>
        </w:rPr>
        <w:t>am</w:t>
      </w:r>
      <w:proofErr w:type="spellEnd"/>
      <w:r w:rsidRPr="00CA4385">
        <w:rPr>
          <w:rFonts w:ascii="Times New Roman" w:hAnsi="Times New Roman" w:cs="Times New Roman"/>
          <w:sz w:val="16"/>
          <w:szCs w:val="16"/>
        </w:rPr>
        <w:t xml:space="preserve"> </w:t>
      </w:r>
      <w:proofErr w:type="spellStart"/>
      <w:r w:rsidRPr="00CA4385">
        <w:rPr>
          <w:rFonts w:ascii="Times New Roman" w:hAnsi="Times New Roman" w:cs="Times New Roman"/>
          <w:sz w:val="16"/>
          <w:szCs w:val="16"/>
        </w:rPr>
        <w:t>Main</w:t>
      </w:r>
      <w:proofErr w:type="spellEnd"/>
      <w:r w:rsidRPr="00CA4385">
        <w:rPr>
          <w:rFonts w:ascii="Times New Roman" w:hAnsi="Times New Roman" w:cs="Times New Roman"/>
          <w:sz w:val="16"/>
          <w:szCs w:val="16"/>
        </w:rPr>
        <w:t xml:space="preserve">: </w:t>
      </w:r>
      <w:proofErr w:type="spellStart"/>
      <w:r w:rsidRPr="00CA4385">
        <w:rPr>
          <w:rFonts w:ascii="Times New Roman" w:hAnsi="Times New Roman" w:cs="Times New Roman"/>
          <w:sz w:val="16"/>
          <w:szCs w:val="16"/>
        </w:rPr>
        <w:t>Suhrkamp</w:t>
      </w:r>
      <w:proofErr w:type="spellEnd"/>
      <w:r w:rsidRPr="00CA4385">
        <w:rPr>
          <w:rFonts w:ascii="Times New Roman" w:hAnsi="Times New Roman" w:cs="Times New Roman"/>
          <w:sz w:val="16"/>
          <w:szCs w:val="16"/>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A3471"/>
    <w:multiLevelType w:val="multilevel"/>
    <w:tmpl w:val="17E0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94"/>
    <w:rsid w:val="00026758"/>
    <w:rsid w:val="000C1C34"/>
    <w:rsid w:val="00103060"/>
    <w:rsid w:val="00130EB4"/>
    <w:rsid w:val="00143594"/>
    <w:rsid w:val="001467FB"/>
    <w:rsid w:val="0014757F"/>
    <w:rsid w:val="00175A7A"/>
    <w:rsid w:val="0020274B"/>
    <w:rsid w:val="002067DB"/>
    <w:rsid w:val="002B0291"/>
    <w:rsid w:val="002F7A5B"/>
    <w:rsid w:val="00370E0A"/>
    <w:rsid w:val="003E3CE3"/>
    <w:rsid w:val="004D0455"/>
    <w:rsid w:val="004D4872"/>
    <w:rsid w:val="00587CD1"/>
    <w:rsid w:val="005958A6"/>
    <w:rsid w:val="005E6BE6"/>
    <w:rsid w:val="006A1ED1"/>
    <w:rsid w:val="006E7E67"/>
    <w:rsid w:val="00763D98"/>
    <w:rsid w:val="00772B79"/>
    <w:rsid w:val="00790DC6"/>
    <w:rsid w:val="00792909"/>
    <w:rsid w:val="00795013"/>
    <w:rsid w:val="007B5DC6"/>
    <w:rsid w:val="007F02FA"/>
    <w:rsid w:val="0085612D"/>
    <w:rsid w:val="008A3004"/>
    <w:rsid w:val="008A5DF1"/>
    <w:rsid w:val="008A5F44"/>
    <w:rsid w:val="008F4BA4"/>
    <w:rsid w:val="0098438A"/>
    <w:rsid w:val="009A6B11"/>
    <w:rsid w:val="009F5F5D"/>
    <w:rsid w:val="00A34876"/>
    <w:rsid w:val="00A47A63"/>
    <w:rsid w:val="00A57C8A"/>
    <w:rsid w:val="00AA0699"/>
    <w:rsid w:val="00AB6B52"/>
    <w:rsid w:val="00AE117B"/>
    <w:rsid w:val="00B9619D"/>
    <w:rsid w:val="00BE7AE7"/>
    <w:rsid w:val="00BF47BC"/>
    <w:rsid w:val="00C16156"/>
    <w:rsid w:val="00C46804"/>
    <w:rsid w:val="00C530E7"/>
    <w:rsid w:val="00CA4385"/>
    <w:rsid w:val="00CF6783"/>
    <w:rsid w:val="00D12B5B"/>
    <w:rsid w:val="00D136AB"/>
    <w:rsid w:val="00D4165F"/>
    <w:rsid w:val="00DB1D94"/>
    <w:rsid w:val="00DF1290"/>
    <w:rsid w:val="00EA35B5"/>
    <w:rsid w:val="00EE5512"/>
    <w:rsid w:val="00F4744A"/>
    <w:rsid w:val="00F60F3A"/>
    <w:rsid w:val="00FA6141"/>
    <w:rsid w:val="00FE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FDAF"/>
  <w15:chartTrackingRefBased/>
  <w15:docId w15:val="{35ED69DB-9119-4328-B4DB-8489FE65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3594"/>
    <w:rPr>
      <w:i/>
      <w:iCs/>
    </w:rPr>
  </w:style>
  <w:style w:type="table" w:styleId="a4">
    <w:name w:val="Table Grid"/>
    <w:basedOn w:val="a1"/>
    <w:uiPriority w:val="39"/>
    <w:rsid w:val="003E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Сноска,Char,Char Char Char Char,Char Char Char,Текст сноски Знак Знак Знак Знак Знак Знак Знак,Текст сноски1 Знак, Знак Знак Знак1, Знак Знак Знак Знак1, Знак Знак Знак Знак Знак1, Знак Знак Знак1 Знак Знак, Знак Знак Знак Знак Знак Знак1"/>
    <w:basedOn w:val="a"/>
    <w:link w:val="a6"/>
    <w:uiPriority w:val="99"/>
    <w:rsid w:val="00BF47B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Сноска Знак,Char Знак,Char Char Char Char Знак,Char Char Char Знак,Текст сноски Знак Знак Знак Знак Знак Знак Знак Знак,Текст сноски1 Знак Знак, Знак Знак Знак1 Знак, Знак Знак Знак Знак1 Знак, Знак Знак Знак Знак Знак1 Знак"/>
    <w:basedOn w:val="a0"/>
    <w:link w:val="a5"/>
    <w:uiPriority w:val="99"/>
    <w:rsid w:val="00BF47BC"/>
    <w:rPr>
      <w:rFonts w:ascii="Times New Roman" w:eastAsia="Times New Roman" w:hAnsi="Times New Roman" w:cs="Times New Roman"/>
      <w:sz w:val="20"/>
      <w:szCs w:val="20"/>
      <w:lang w:eastAsia="ru-RU"/>
    </w:rPr>
  </w:style>
  <w:style w:type="character" w:styleId="a7">
    <w:name w:val="footnote reference"/>
    <w:aliases w:val="Знак сноски-FN"/>
    <w:basedOn w:val="a0"/>
    <w:uiPriority w:val="99"/>
    <w:unhideWhenUsed/>
    <w:rsid w:val="00BF47BC"/>
    <w:rPr>
      <w:vertAlign w:val="superscript"/>
    </w:rPr>
  </w:style>
  <w:style w:type="character" w:styleId="a8">
    <w:name w:val="Hyperlink"/>
    <w:basedOn w:val="a0"/>
    <w:uiPriority w:val="99"/>
    <w:semiHidden/>
    <w:unhideWhenUsed/>
    <w:rsid w:val="002F7A5B"/>
    <w:rPr>
      <w:color w:val="0000FF"/>
      <w:u w:val="single"/>
    </w:rPr>
  </w:style>
  <w:style w:type="paragraph" w:styleId="a9">
    <w:name w:val="List Paragraph"/>
    <w:basedOn w:val="a"/>
    <w:uiPriority w:val="34"/>
    <w:qFormat/>
    <w:rsid w:val="00F4744A"/>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04_&#1052;&#1086;&#1080;&#1055;&#1088;&#1086;&#1077;&#1082;&#1090;&#1099;&#1055;&#1091;&#1073;&#1083;&#1080;&#1082;&#1072;&#1094;&#1080;&#1081;\07_&#1048;&#1088;&#1082;&#1091;&#1090;&#1089;&#1082;(17-18&#1076;&#1077;&#1082;&#1072;&#1073;&#1088;&#1103;2021)\&#1057;&#1090;&#1072;&#1090;&#1100;&#1103;(&#1050;&#1080;&#1073;&#1072;&#1082;&#1080;&#1085;&#1052;&#1042;)_&#1056;&#1080;&#1089;&#1091;&#1085;&#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04_&#1052;&#1086;&#1080;&#1055;&#1088;&#1086;&#1077;&#1082;&#1090;&#1099;&#1055;&#1091;&#1073;&#1083;&#1080;&#1082;&#1072;&#1094;&#1080;&#1081;\07_&#1048;&#1088;&#1082;&#1091;&#1090;&#1089;&#1082;(17-18&#1076;&#1077;&#1082;&#1072;&#1073;&#1088;&#1103;2021)\&#1057;&#1090;&#1072;&#1090;&#1100;&#1103;(&#1050;&#1080;&#1073;&#1072;&#1082;&#1080;&#1085;&#1052;&#1042;)_&#1056;&#1080;&#1089;&#1091;&#1085;&#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04_&#1052;&#1086;&#1080;&#1055;&#1088;&#1086;&#1077;&#1082;&#1090;&#1099;&#1055;&#1091;&#1073;&#1083;&#1080;&#1082;&#1072;&#1094;&#1080;&#1081;\07_&#1048;&#1088;&#1082;&#1091;&#1090;&#1089;&#1082;(17-18&#1076;&#1077;&#1082;&#1072;&#1073;&#1088;&#1103;2021)\&#1057;&#1090;&#1072;&#1090;&#1100;&#1103;(&#1050;&#1080;&#1073;&#1072;&#1082;&#1080;&#1085;&#1052;&#1042;)_&#1056;&#1080;&#1089;&#1091;&#1085;&#1082;&#108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Цивилизации!$N$3:$N$7</c:f>
              <c:strCache>
                <c:ptCount val="5"/>
                <c:pt idx="0">
                  <c:v>Российская</c:v>
                </c:pt>
                <c:pt idx="1">
                  <c:v>Китайская</c:v>
                </c:pt>
                <c:pt idx="2">
                  <c:v>Европейская</c:v>
                </c:pt>
                <c:pt idx="3">
                  <c:v>Северо-американская </c:v>
                </c:pt>
                <c:pt idx="4">
                  <c:v>Исламская</c:v>
                </c:pt>
              </c:strCache>
            </c:strRef>
          </c:cat>
          <c:val>
            <c:numRef>
              <c:f>Цивилизации!$O$3:$O$7</c:f>
              <c:numCache>
                <c:formatCode>General</c:formatCode>
                <c:ptCount val="5"/>
                <c:pt idx="0">
                  <c:v>0.70920000000000005</c:v>
                </c:pt>
                <c:pt idx="1">
                  <c:v>0.37759999999999999</c:v>
                </c:pt>
                <c:pt idx="2">
                  <c:v>0.75849999999999995</c:v>
                </c:pt>
                <c:pt idx="3">
                  <c:v>0.56630000000000003</c:v>
                </c:pt>
                <c:pt idx="4">
                  <c:v>9.1800000000000007E-2</c:v>
                </c:pt>
              </c:numCache>
            </c:numRef>
          </c:val>
          <c:extLst>
            <c:ext xmlns:c16="http://schemas.microsoft.com/office/drawing/2014/chart" uri="{C3380CC4-5D6E-409C-BE32-E72D297353CC}">
              <c16:uniqueId val="{00000000-2E4A-493E-8617-9BD287CCD57C}"/>
            </c:ext>
          </c:extLst>
        </c:ser>
        <c:dLbls>
          <c:showLegendKey val="0"/>
          <c:showVal val="0"/>
          <c:showCatName val="0"/>
          <c:showSerName val="0"/>
          <c:showPercent val="0"/>
          <c:showBubbleSize val="0"/>
        </c:dLbls>
        <c:gapWidth val="219"/>
        <c:overlap val="-27"/>
        <c:axId val="691513840"/>
        <c:axId val="691497616"/>
      </c:barChart>
      <c:catAx>
        <c:axId val="691513840"/>
        <c:scaling>
          <c:orientation val="minMax"/>
        </c:scaling>
        <c:delete val="0"/>
        <c:axPos val="b"/>
        <c:title>
          <c:tx>
            <c:rich>
              <a:bodyPr rot="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Цивилизационные модели</a:t>
                </a:r>
              </a:p>
            </c:rich>
          </c:tx>
          <c:overlay val="0"/>
          <c:spPr>
            <a:noFill/>
            <a:ln>
              <a:noFill/>
            </a:ln>
            <a:effectLst/>
          </c:spPr>
          <c:txPr>
            <a:bodyPr rot="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91497616"/>
        <c:crosses val="autoZero"/>
        <c:auto val="1"/>
        <c:lblAlgn val="ctr"/>
        <c:lblOffset val="100"/>
        <c:noMultiLvlLbl val="0"/>
      </c:catAx>
      <c:valAx>
        <c:axId val="69149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Выраженность (индекс)</a:t>
                </a:r>
              </a:p>
            </c:rich>
          </c:tx>
          <c:overlay val="0"/>
          <c:spPr>
            <a:noFill/>
            <a:ln>
              <a:noFill/>
            </a:ln>
            <a:effectLst/>
          </c:spPr>
          <c:txPr>
            <a:bodyPr rot="-540000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1513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Судьба!$H$9:$H$13</c:f>
              <c:strCache>
                <c:ptCount val="5"/>
                <c:pt idx="0">
                  <c:v>Да</c:v>
                </c:pt>
                <c:pt idx="1">
                  <c:v>Скорее да, чем нет</c:v>
                </c:pt>
                <c:pt idx="2">
                  <c:v>И да, и нет</c:v>
                </c:pt>
                <c:pt idx="3">
                  <c:v>Скорее нет, чем да</c:v>
                </c:pt>
                <c:pt idx="4">
                  <c:v>Нет</c:v>
                </c:pt>
              </c:strCache>
            </c:strRef>
          </c:cat>
          <c:val>
            <c:numRef>
              <c:f>Судьба!$I$9:$I$13</c:f>
              <c:numCache>
                <c:formatCode>General</c:formatCode>
                <c:ptCount val="5"/>
                <c:pt idx="0">
                  <c:v>28.57</c:v>
                </c:pt>
                <c:pt idx="1">
                  <c:v>31.29</c:v>
                </c:pt>
                <c:pt idx="2">
                  <c:v>26.53</c:v>
                </c:pt>
                <c:pt idx="3">
                  <c:v>9.52</c:v>
                </c:pt>
                <c:pt idx="4">
                  <c:v>4.08</c:v>
                </c:pt>
              </c:numCache>
            </c:numRef>
          </c:val>
          <c:extLst>
            <c:ext xmlns:c16="http://schemas.microsoft.com/office/drawing/2014/chart" uri="{C3380CC4-5D6E-409C-BE32-E72D297353CC}">
              <c16:uniqueId val="{00000000-A51C-4B0A-8C5E-AD0B8B9EECBB}"/>
            </c:ext>
          </c:extLst>
        </c:ser>
        <c:dLbls>
          <c:showLegendKey val="0"/>
          <c:showVal val="0"/>
          <c:showCatName val="0"/>
          <c:showSerName val="0"/>
          <c:showPercent val="0"/>
          <c:showBubbleSize val="0"/>
        </c:dLbls>
        <c:gapWidth val="182"/>
        <c:axId val="761354624"/>
        <c:axId val="761381248"/>
      </c:barChart>
      <c:catAx>
        <c:axId val="761354624"/>
        <c:scaling>
          <c:orientation val="minMax"/>
        </c:scaling>
        <c:delete val="0"/>
        <c:axPos val="l"/>
        <c:title>
          <c:tx>
            <c:rich>
              <a:bodyPr rot="-540000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Оценки </a:t>
                </a:r>
              </a:p>
            </c:rich>
          </c:tx>
          <c:overlay val="0"/>
          <c:spPr>
            <a:noFill/>
            <a:ln>
              <a:noFill/>
            </a:ln>
            <a:effectLst/>
          </c:spPr>
          <c:txPr>
            <a:bodyPr rot="-540000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61381248"/>
        <c:crosses val="autoZero"/>
        <c:auto val="1"/>
        <c:lblAlgn val="ctr"/>
        <c:lblOffset val="100"/>
        <c:noMultiLvlLbl val="0"/>
      </c:catAx>
      <c:valAx>
        <c:axId val="761381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Уровень оценки (%)</a:t>
                </a:r>
              </a:p>
            </c:rich>
          </c:tx>
          <c:overlay val="0"/>
          <c:spPr>
            <a:noFill/>
            <a:ln>
              <a:noFill/>
            </a:ln>
            <a:effectLst/>
          </c:spPr>
          <c:txPr>
            <a:bodyPr rot="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61354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Гендер!$J$4</c:f>
              <c:strCache>
                <c:ptCount val="1"/>
                <c:pt idx="0">
                  <c:v>Мужской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Гендер!$I$5:$I$9</c:f>
              <c:strCache>
                <c:ptCount val="5"/>
                <c:pt idx="0">
                  <c:v>Да</c:v>
                </c:pt>
                <c:pt idx="1">
                  <c:v>Скорее да, чем нет</c:v>
                </c:pt>
                <c:pt idx="2">
                  <c:v>И да и нет</c:v>
                </c:pt>
                <c:pt idx="3">
                  <c:v>Скорее нет, чем да</c:v>
                </c:pt>
                <c:pt idx="4">
                  <c:v>Нет</c:v>
                </c:pt>
              </c:strCache>
            </c:strRef>
          </c:cat>
          <c:val>
            <c:numRef>
              <c:f>Гендер!$J$5:$J$9</c:f>
              <c:numCache>
                <c:formatCode>0.00</c:formatCode>
                <c:ptCount val="5"/>
                <c:pt idx="0">
                  <c:v>45.714285714285715</c:v>
                </c:pt>
                <c:pt idx="1">
                  <c:v>31.428571428571427</c:v>
                </c:pt>
                <c:pt idx="2">
                  <c:v>18.571428571428573</c:v>
                </c:pt>
                <c:pt idx="3">
                  <c:v>1.4285714285714286</c:v>
                </c:pt>
                <c:pt idx="4">
                  <c:v>2.8571428571428572</c:v>
                </c:pt>
              </c:numCache>
            </c:numRef>
          </c:val>
          <c:extLst>
            <c:ext xmlns:c16="http://schemas.microsoft.com/office/drawing/2014/chart" uri="{C3380CC4-5D6E-409C-BE32-E72D297353CC}">
              <c16:uniqueId val="{00000000-EDE7-4920-BCB1-0E5A01717946}"/>
            </c:ext>
          </c:extLst>
        </c:ser>
        <c:ser>
          <c:idx val="1"/>
          <c:order val="1"/>
          <c:tx>
            <c:strRef>
              <c:f>Гендер!$K$4</c:f>
              <c:strCache>
                <c:ptCount val="1"/>
                <c:pt idx="0">
                  <c:v>Женский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Гендер!$I$5:$I$9</c:f>
              <c:strCache>
                <c:ptCount val="5"/>
                <c:pt idx="0">
                  <c:v>Да</c:v>
                </c:pt>
                <c:pt idx="1">
                  <c:v>Скорее да, чем нет</c:v>
                </c:pt>
                <c:pt idx="2">
                  <c:v>И да и нет</c:v>
                </c:pt>
                <c:pt idx="3">
                  <c:v>Скорее нет, чем да</c:v>
                </c:pt>
                <c:pt idx="4">
                  <c:v>Нет</c:v>
                </c:pt>
              </c:strCache>
            </c:strRef>
          </c:cat>
          <c:val>
            <c:numRef>
              <c:f>Гендер!$K$5:$K$9</c:f>
              <c:numCache>
                <c:formatCode>0.00</c:formatCode>
                <c:ptCount val="5"/>
                <c:pt idx="0">
                  <c:v>54.54545454545454</c:v>
                </c:pt>
                <c:pt idx="1">
                  <c:v>28.571428571428569</c:v>
                </c:pt>
                <c:pt idx="2">
                  <c:v>9.0909090909090917</c:v>
                </c:pt>
                <c:pt idx="3">
                  <c:v>3.8961038961038961</c:v>
                </c:pt>
                <c:pt idx="4">
                  <c:v>3.8961038961038961</c:v>
                </c:pt>
              </c:numCache>
            </c:numRef>
          </c:val>
          <c:extLst>
            <c:ext xmlns:c16="http://schemas.microsoft.com/office/drawing/2014/chart" uri="{C3380CC4-5D6E-409C-BE32-E72D297353CC}">
              <c16:uniqueId val="{00000001-EDE7-4920-BCB1-0E5A01717946}"/>
            </c:ext>
          </c:extLst>
        </c:ser>
        <c:dLbls>
          <c:showLegendKey val="0"/>
          <c:showVal val="0"/>
          <c:showCatName val="0"/>
          <c:showSerName val="0"/>
          <c:showPercent val="0"/>
          <c:showBubbleSize val="0"/>
        </c:dLbls>
        <c:gapWidth val="219"/>
        <c:overlap val="-27"/>
        <c:axId val="761382080"/>
        <c:axId val="761382912"/>
      </c:barChart>
      <c:catAx>
        <c:axId val="761382080"/>
        <c:scaling>
          <c:orientation val="minMax"/>
        </c:scaling>
        <c:delete val="0"/>
        <c:axPos val="b"/>
        <c:title>
          <c:tx>
            <c:rich>
              <a:bodyPr rot="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Сравнительные оценки</a:t>
                </a:r>
              </a:p>
            </c:rich>
          </c:tx>
          <c:overlay val="0"/>
          <c:spPr>
            <a:noFill/>
            <a:ln>
              <a:noFill/>
            </a:ln>
            <a:effectLst/>
          </c:spPr>
          <c:txPr>
            <a:bodyPr rot="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61382912"/>
        <c:crosses val="autoZero"/>
        <c:auto val="1"/>
        <c:lblAlgn val="ctr"/>
        <c:lblOffset val="100"/>
        <c:noMultiLvlLbl val="0"/>
      </c:catAx>
      <c:valAx>
        <c:axId val="761382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Выраженность оценки (%)</a:t>
                </a:r>
              </a:p>
            </c:rich>
          </c:tx>
          <c:overlay val="0"/>
          <c:spPr>
            <a:noFill/>
            <a:ln>
              <a:noFill/>
            </a:ln>
            <a:effectLst/>
          </c:spPr>
          <c:txPr>
            <a:bodyPr rot="-5400000" spcFirstLastPara="1" vertOverflow="ellipsis" vert="horz" wrap="square" anchor="ctr" anchorCtr="1"/>
            <a:lstStyle/>
            <a:p>
              <a:pPr>
                <a:defRPr sz="8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6138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9A2A-9CBD-4988-B2D8-7AAC409C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Кибакин Михаил Викторович</dc:creator>
  <cp:keywords/>
  <dc:description/>
  <cp:lastModifiedBy>Кибакин Михаил Викторович</cp:lastModifiedBy>
  <cp:revision>5</cp:revision>
  <dcterms:created xsi:type="dcterms:W3CDTF">2021-12-12T13:41:00Z</dcterms:created>
  <dcterms:modified xsi:type="dcterms:W3CDTF">2021-12-12T13:46:00Z</dcterms:modified>
</cp:coreProperties>
</file>