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6A" w:rsidRPr="00227F15" w:rsidRDefault="00C5696A" w:rsidP="00C56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A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Категория участника: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 - </w:t>
      </w:r>
      <w:r w:rsidRPr="00227F15">
        <w:rPr>
          <w:rFonts w:ascii="Times New Roman" w:hAnsi="Times New Roman" w:cs="Times New Roman"/>
          <w:color w:val="000000" w:themeColor="text1"/>
          <w:sz w:val="28"/>
          <w:szCs w:val="28"/>
        </w:rPr>
        <w:t>бакалавр</w:t>
      </w:r>
    </w:p>
    <w:p w:rsidR="00C5696A" w:rsidRPr="00C5696A" w:rsidRDefault="00C5696A" w:rsidP="00C5696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коммерческого предприятия</w:t>
      </w:r>
    </w:p>
    <w:p w:rsidR="00C5696A" w:rsidRPr="00DD5AB9" w:rsidRDefault="00C5696A" w:rsidP="00C56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A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Автор: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 2 курса экономического факультета по направлению «Финансы и Кредит»; Финансовый университет при Правительстве РФ(ЛФ)</w:t>
      </w:r>
      <w:r w:rsidR="00DD5AB9" w:rsidRPr="00DD5AB9">
        <w:rPr>
          <w:rFonts w:ascii="Times New Roman" w:hAnsi="Times New Roman" w:cs="Times New Roman"/>
          <w:sz w:val="28"/>
          <w:szCs w:val="28"/>
        </w:rPr>
        <w:t xml:space="preserve"> </w:t>
      </w:r>
      <w:r w:rsidR="00DD5AB9">
        <w:rPr>
          <w:rFonts w:ascii="Times New Roman" w:hAnsi="Times New Roman" w:cs="Times New Roman"/>
          <w:sz w:val="28"/>
          <w:szCs w:val="28"/>
        </w:rPr>
        <w:t>Золотарева Дарья Евгеньевна</w:t>
      </w:r>
    </w:p>
    <w:p w:rsidR="00C5696A" w:rsidRPr="00C45A25" w:rsidRDefault="00C5696A" w:rsidP="00C569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A25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Научный руководитель:</w:t>
      </w:r>
      <w:r w:rsidRPr="00227F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к.э.н., доцент </w:t>
      </w:r>
      <w:r w:rsidR="00AC7F0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Широкова Ольга Вячеславовна</w:t>
      </w:r>
    </w:p>
    <w:p w:rsidR="00166A82" w:rsidRDefault="00166A82" w:rsidP="00C5696A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696A" w:rsidRPr="00C5696A" w:rsidRDefault="00C5696A" w:rsidP="00C5696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5696A">
        <w:rPr>
          <w:rFonts w:ascii="Times New Roman" w:hAnsi="Times New Roman" w:cs="Times New Roman"/>
          <w:sz w:val="28"/>
          <w:szCs w:val="28"/>
        </w:rPr>
        <w:t>АННОТАЦИЯ</w:t>
      </w:r>
    </w:p>
    <w:p w:rsidR="009833DC" w:rsidRDefault="00C5696A" w:rsidP="00AA298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данной статье рассмотрена важность источников финансирования коммерческого предприятия.</w:t>
      </w:r>
      <w:r w:rsidR="00AC7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Источниками финансирования </w:t>
      </w:r>
      <w:r w:rsidR="00AC7F0D" w:rsidRPr="00AC7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называют различные каналы получения предприятием денежных средств, которые будут направлены н</w:t>
      </w:r>
      <w:r w:rsidR="00AC7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развитие бизнеса и на ведение </w:t>
      </w:r>
      <w:r w:rsidR="00AC7F0D" w:rsidRPr="00AC7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финансово-хозяйственной деятельности.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Представлена структура финансирования коммерческих предприятий, а также для более точного понимания разберем источники финансирования предприятие Липецкой области –</w:t>
      </w:r>
      <w:r w:rsidR="00166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D5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«</w:t>
      </w:r>
      <w:r w:rsidR="00166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Липецк Сталь Групп</w:t>
      </w:r>
      <w:r w:rsidR="00DD5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66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6A82" w:rsidRPr="00AC7F0D" w:rsidRDefault="00166A82" w:rsidP="00AC7F0D">
      <w:pPr>
        <w:tabs>
          <w:tab w:val="left" w:pos="375"/>
        </w:tabs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>ANNOTATION</w:t>
      </w:r>
    </w:p>
    <w:p w:rsidR="00AC7F0D" w:rsidRPr="00AC7F0D" w:rsidRDefault="00AC7F0D" w:rsidP="00AC7F0D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article discusses the importance of sources of financing for a commercial enterprise. The sources of financing are various channels for receiving funds by the enterprise, which </w:t>
      </w:r>
      <w:proofErr w:type="gramStart"/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be used</w:t>
      </w:r>
      <w:proofErr w:type="gramEnd"/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business development and for conducting financial and economic activities. The structure of financing of commercial enterprises </w:t>
      </w:r>
      <w:proofErr w:type="gramStart"/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>is presented</w:t>
      </w:r>
      <w:proofErr w:type="gramEnd"/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>, and for a more accurate understanding, we will analyze the sources of financing of the Lipetsk region enterprise – Lipetsk Steel Group LLC.</w:t>
      </w:r>
    </w:p>
    <w:p w:rsidR="00166A82" w:rsidRPr="00AC7F0D" w:rsidRDefault="00166A82" w:rsidP="00166A82">
      <w:pPr>
        <w:shd w:val="clear" w:color="auto" w:fill="FFFFFF"/>
        <w:spacing w:after="0" w:line="36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КЛЮЧЕВЫЕ</w:t>
      </w:r>
      <w:r w:rsidRPr="00AC7F0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СЛОВА</w:t>
      </w:r>
    </w:p>
    <w:p w:rsidR="00166A82" w:rsidRPr="00166A82" w:rsidRDefault="00166A82" w:rsidP="006F2C6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6A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Источники финансирования/внутренние источники/внешние источники/собственные привлеченные финансовые ресурсы/источники собственных финансовых ресурсов</w:t>
      </w:r>
    </w:p>
    <w:p w:rsidR="00166A82" w:rsidRPr="00166A82" w:rsidRDefault="00166A82" w:rsidP="006F2C66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66A82">
        <w:rPr>
          <w:rFonts w:ascii="Times New Roman" w:hAnsi="Times New Roman" w:cs="Times New Roman"/>
          <w:color w:val="000000"/>
          <w:sz w:val="28"/>
          <w:szCs w:val="28"/>
          <w:lang w:val="en-US"/>
        </w:rPr>
        <w:t>Sources of financing/internal sources/external sources/own attracted financial resources/sources of own financial resources</w:t>
      </w:r>
    </w:p>
    <w:p w:rsidR="00DD5164" w:rsidRDefault="00DD5164" w:rsidP="00DD5164">
      <w:pPr>
        <w:tabs>
          <w:tab w:val="left" w:pos="37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AB7"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AC7F0D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коммерческих предприятий стоят достаточно остро</w:t>
      </w:r>
      <w:r w:rsidR="00AC7F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8B4" w:rsidRPr="00E7278C" w:rsidRDefault="004118B4" w:rsidP="004118B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необходимо подчеркнуть актуальность выбранной темы для предприятий на современном этапе развития в связи с тем, что современному коммерческому предприятию не обойтись без финансирования. Это обуславливается расширением производства, ростом объемов реализации, повышением покупательского спроса. Поэтому важно правильно определить наиболее приемлемые и эффективные источники финансирования для определенного предприятия на данном этапе его развития.</w:t>
      </w:r>
    </w:p>
    <w:p w:rsidR="004118B4" w:rsidRPr="00E7278C" w:rsidRDefault="004118B4" w:rsidP="004118B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коммерческого предприятия принято делить на две формы:</w:t>
      </w: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внешнее и внутреннее.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разделение </w:t>
      </w: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обусловлено жесткой связью между формами финансовых ресурсов и капитала предприятия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Рассмотрим такое деление в виде таблицы.</w:t>
      </w:r>
      <w:r>
        <w:rPr>
          <w:rStyle w:val="ad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</w:p>
    <w:p w:rsidR="00A779E2" w:rsidRPr="00DD5164" w:rsidRDefault="00DD5164" w:rsidP="00DD516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51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Таблица 1. Структура источников финансирования коммерческой организации</w:t>
      </w:r>
    </w:p>
    <w:tbl>
      <w:tblPr>
        <w:tblStyle w:val="aa"/>
        <w:tblW w:w="9345" w:type="dxa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5176" w:rsidTr="004118B4">
        <w:trPr>
          <w:jc w:val="center"/>
        </w:trPr>
        <w:tc>
          <w:tcPr>
            <w:tcW w:w="3115" w:type="dxa"/>
            <w:vAlign w:val="center"/>
          </w:tcPr>
          <w:p w:rsidR="00835176" w:rsidRPr="00E7278C" w:rsidRDefault="00835176" w:rsidP="00BF730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финансирования</w:t>
            </w:r>
          </w:p>
        </w:tc>
        <w:tc>
          <w:tcPr>
            <w:tcW w:w="3115" w:type="dxa"/>
            <w:vAlign w:val="center"/>
          </w:tcPr>
          <w:p w:rsidR="00835176" w:rsidRPr="00E7278C" w:rsidRDefault="00835176" w:rsidP="00BF730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Внешнее финансирование</w:t>
            </w:r>
          </w:p>
        </w:tc>
        <w:tc>
          <w:tcPr>
            <w:tcW w:w="3115" w:type="dxa"/>
            <w:vAlign w:val="center"/>
          </w:tcPr>
          <w:p w:rsidR="00835176" w:rsidRPr="00E7278C" w:rsidRDefault="00835176" w:rsidP="00BF730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финансирование</w:t>
            </w:r>
          </w:p>
        </w:tc>
      </w:tr>
      <w:tr w:rsidR="00835176" w:rsidTr="004118B4">
        <w:trPr>
          <w:jc w:val="center"/>
        </w:trPr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на основе собственного капитала</w:t>
            </w:r>
          </w:p>
        </w:tc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Финансирование на основе вкладов и долевого участия</w:t>
            </w:r>
          </w:p>
        </w:tc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Финансирование за счет</w:t>
            </w:r>
            <w:r w:rsidR="00B62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прибыли после налогообложения</w:t>
            </w:r>
          </w:p>
        </w:tc>
      </w:tr>
      <w:tr w:rsidR="00835176" w:rsidTr="004118B4">
        <w:trPr>
          <w:jc w:val="center"/>
        </w:trPr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на основе заемного капитала</w:t>
            </w:r>
          </w:p>
        </w:tc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Кредитное финансирование</w:t>
            </w:r>
          </w:p>
        </w:tc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Заемный капитал, формируемый на основе доходов от продаж - отчисления в резервные фонды</w:t>
            </w:r>
          </w:p>
        </w:tc>
      </w:tr>
      <w:tr w:rsidR="00835176" w:rsidTr="004118B4">
        <w:trPr>
          <w:jc w:val="center"/>
        </w:trPr>
        <w:tc>
          <w:tcPr>
            <w:tcW w:w="3115" w:type="dxa"/>
          </w:tcPr>
          <w:p w:rsidR="00835176" w:rsidRPr="00E7278C" w:rsidRDefault="00835176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Смешанное финансирование на </w:t>
            </w:r>
            <w:r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собственного и заемного капитала</w:t>
            </w:r>
          </w:p>
        </w:tc>
        <w:tc>
          <w:tcPr>
            <w:tcW w:w="3115" w:type="dxa"/>
          </w:tcPr>
          <w:p w:rsidR="00835176" w:rsidRPr="00E7278C" w:rsidRDefault="00B62845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  <w:r w:rsidR="00835176"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облигаций, выпуск </w:t>
            </w:r>
            <w:r w:rsidR="00835176"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привилегированных акций</w:t>
            </w:r>
          </w:p>
        </w:tc>
        <w:tc>
          <w:tcPr>
            <w:tcW w:w="3115" w:type="dxa"/>
          </w:tcPr>
          <w:p w:rsidR="00835176" w:rsidRPr="00E7278C" w:rsidRDefault="00B62845" w:rsidP="004118B4">
            <w:pPr>
              <w:spacing w:after="28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  <w:r w:rsidR="00835176"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Особые позиции, содержащие часть </w:t>
            </w:r>
            <w:r w:rsidR="00835176" w:rsidRPr="00E72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резервов</w:t>
            </w:r>
          </w:p>
        </w:tc>
      </w:tr>
    </w:tbl>
    <w:p w:rsidR="002A5A3F" w:rsidRPr="004118B4" w:rsidRDefault="004118B4" w:rsidP="00411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Собственные привлеченные финансовые ресурсы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всех финансовых ресурсов коммерческого предприятия, которая базируется на момент создания предприятия и находится в 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</w:t>
      </w:r>
      <w:r w:rsidR="002A5A3F" w:rsidRPr="002A5A3F">
        <w:rPr>
          <w:color w:val="000000"/>
          <w:sz w:val="28"/>
          <w:szCs w:val="28"/>
        </w:rPr>
        <w:t xml:space="preserve">. </w:t>
      </w:r>
    </w:p>
    <w:p w:rsidR="002A5A3F" w:rsidRPr="00E7278C" w:rsidRDefault="002A5A3F" w:rsidP="002A5A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собственн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финансовых ресурсов являются</w:t>
      </w:r>
      <w:r w:rsidRPr="00E72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5A3F" w:rsidRDefault="002A5A3F" w:rsidP="002A5A3F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уставный капитал;</w:t>
      </w:r>
    </w:p>
    <w:p w:rsidR="002A5A3F" w:rsidRPr="00B62845" w:rsidRDefault="002A5A3F" w:rsidP="002A5A3F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резервы, накопленные коммерческим предприятием;</w:t>
      </w:r>
    </w:p>
    <w:p w:rsidR="002A5A3F" w:rsidRDefault="002A5A3F" w:rsidP="002A5A3F">
      <w:pPr>
        <w:pStyle w:val="a5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взносы юридических и физических.</w:t>
      </w:r>
    </w:p>
    <w:p w:rsidR="002A5A3F" w:rsidRDefault="002A5A3F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A5A3F">
        <w:rPr>
          <w:color w:val="000000"/>
          <w:sz w:val="28"/>
          <w:szCs w:val="28"/>
        </w:rPr>
        <w:t xml:space="preserve">Уставный капитал был основным источником приобретения основных средств, нематериальных активов и оборотных средств, когда существовала коммерческая организация. Им были созданы необходимые условия для предпринимательской деятельности. </w:t>
      </w:r>
    </w:p>
    <w:p w:rsidR="00A779E2" w:rsidRPr="002A5A3F" w:rsidRDefault="002A5A3F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2A5A3F">
        <w:rPr>
          <w:color w:val="000000"/>
          <w:sz w:val="28"/>
          <w:szCs w:val="28"/>
        </w:rPr>
        <w:t>Зарубежный опыт и насущные проблемы российской экономики показывают, что рыночные отношения привели к росту роли коммерческих предприятий.</w:t>
      </w:r>
      <w:r w:rsidR="004118B4">
        <w:rPr>
          <w:rStyle w:val="ad"/>
          <w:color w:val="000000"/>
          <w:sz w:val="28"/>
          <w:szCs w:val="28"/>
        </w:rPr>
        <w:footnoteReference w:id="2"/>
      </w:r>
    </w:p>
    <w:p w:rsidR="004118B4" w:rsidRDefault="00E536A8" w:rsidP="004118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36A8">
        <w:rPr>
          <w:color w:val="000000"/>
          <w:sz w:val="28"/>
          <w:szCs w:val="28"/>
        </w:rPr>
        <w:t xml:space="preserve">Коммерческие предприятия играют жизненно роль в содействии ориентированному на рынок производству инвестиций и потребительских товаров, что в конечном итоге приводит к росту ВВП и другим социально-экономическим проблемам. </w:t>
      </w:r>
    </w:p>
    <w:p w:rsidR="004118B4" w:rsidRDefault="00E536A8" w:rsidP="004118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некоторые особенности</w:t>
      </w:r>
      <w:r w:rsidRPr="00E536A8">
        <w:rPr>
          <w:color w:val="000000"/>
          <w:sz w:val="28"/>
          <w:szCs w:val="28"/>
        </w:rPr>
        <w:t xml:space="preserve"> в развитии российских коммерческих промышленных предприятий. </w:t>
      </w:r>
      <w:r w:rsidR="004118B4">
        <w:rPr>
          <w:color w:val="000000"/>
          <w:sz w:val="28"/>
          <w:szCs w:val="28"/>
        </w:rPr>
        <w:t xml:space="preserve">В последнее время эти особенности называются </w:t>
      </w:r>
      <w:r w:rsidR="004118B4" w:rsidRPr="00E7278C">
        <w:rPr>
          <w:color w:val="000000"/>
          <w:sz w:val="28"/>
          <w:szCs w:val="28"/>
        </w:rPr>
        <w:t>вынужденн</w:t>
      </w:r>
      <w:r w:rsidR="004118B4">
        <w:rPr>
          <w:color w:val="000000"/>
          <w:sz w:val="28"/>
          <w:szCs w:val="28"/>
        </w:rPr>
        <w:t>ой</w:t>
      </w:r>
      <w:r w:rsidR="004118B4" w:rsidRPr="00E7278C">
        <w:rPr>
          <w:color w:val="000000"/>
          <w:sz w:val="28"/>
          <w:szCs w:val="28"/>
        </w:rPr>
        <w:t xml:space="preserve"> диверсификаци</w:t>
      </w:r>
      <w:r w:rsidR="004118B4">
        <w:rPr>
          <w:color w:val="000000"/>
          <w:sz w:val="28"/>
          <w:szCs w:val="28"/>
        </w:rPr>
        <w:t>ей</w:t>
      </w:r>
      <w:r w:rsidR="004118B4" w:rsidRPr="00E7278C">
        <w:rPr>
          <w:color w:val="000000"/>
          <w:sz w:val="28"/>
          <w:szCs w:val="28"/>
        </w:rPr>
        <w:t xml:space="preserve"> деятельности, стремление</w:t>
      </w:r>
      <w:r w:rsidR="004118B4">
        <w:rPr>
          <w:color w:val="000000"/>
          <w:sz w:val="28"/>
          <w:szCs w:val="28"/>
        </w:rPr>
        <w:t>м</w:t>
      </w:r>
      <w:r w:rsidR="004118B4" w:rsidRPr="00E7278C">
        <w:rPr>
          <w:color w:val="000000"/>
          <w:sz w:val="28"/>
          <w:szCs w:val="28"/>
        </w:rPr>
        <w:t xml:space="preserve"> к максимальной самостоятельности, ориентаци</w:t>
      </w:r>
      <w:r w:rsidR="004118B4">
        <w:rPr>
          <w:color w:val="000000"/>
          <w:sz w:val="28"/>
          <w:szCs w:val="28"/>
        </w:rPr>
        <w:t>ей</w:t>
      </w:r>
      <w:r w:rsidR="004118B4" w:rsidRPr="00E7278C">
        <w:rPr>
          <w:color w:val="000000"/>
          <w:sz w:val="28"/>
          <w:szCs w:val="28"/>
        </w:rPr>
        <w:t xml:space="preserve"> на п</w:t>
      </w:r>
      <w:r w:rsidR="004118B4">
        <w:rPr>
          <w:color w:val="000000"/>
          <w:sz w:val="28"/>
          <w:szCs w:val="28"/>
        </w:rPr>
        <w:t>роизводство конечного продукта.</w:t>
      </w:r>
    </w:p>
    <w:p w:rsidR="00CB60A2" w:rsidRDefault="00E536A8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536A8">
        <w:rPr>
          <w:color w:val="000000"/>
          <w:sz w:val="28"/>
          <w:szCs w:val="28"/>
        </w:rPr>
        <w:lastRenderedPageBreak/>
        <w:t xml:space="preserve"> Важно определить источники финансирования деятельности на примере различных предприятий, поскольку реальной помощи со стороны федеральных и местных властей в реализации промышленных проектов для коммерческих предприятий нет. </w:t>
      </w:r>
    </w:p>
    <w:p w:rsidR="004118B4" w:rsidRDefault="004118B4" w:rsidP="004118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7278C">
        <w:rPr>
          <w:color w:val="000000"/>
          <w:sz w:val="28"/>
          <w:szCs w:val="28"/>
        </w:rPr>
        <w:t>Важным моментом в ходе изучения</w:t>
      </w:r>
      <w:r>
        <w:rPr>
          <w:color w:val="000000"/>
          <w:sz w:val="28"/>
          <w:szCs w:val="28"/>
        </w:rPr>
        <w:t xml:space="preserve"> источников финансирования является </w:t>
      </w:r>
      <w:r w:rsidRPr="00E7278C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их</w:t>
      </w:r>
      <w:r w:rsidRPr="00E7278C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ов.</w:t>
      </w:r>
    </w:p>
    <w:p w:rsidR="004118B4" w:rsidRDefault="004118B4" w:rsidP="004118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более точного изучения и раскрытия данной темы приведем пример, основываясь на коммерческом предприятии ООО «Липецк Сталь Групп».</w:t>
      </w:r>
    </w:p>
    <w:p w:rsidR="004118B4" w:rsidRDefault="004118B4" w:rsidP="004118B4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F2C66">
        <w:rPr>
          <w:color w:val="000000" w:themeColor="text1"/>
          <w:sz w:val="28"/>
          <w:szCs w:val="28"/>
          <w:shd w:val="clear" w:color="auto" w:fill="FFFFFF"/>
        </w:rPr>
        <w:t>ООО «Липецк Сталь Групп» осуществляет продажу металлопроката строительным и промышленным предприятиям, физическим и юридическим лицам. Металл поставляется на всю территорию России. Компания осуществляет обработку металла на современном оборудовании, производит продольный и поперечный роспуск рулонной стали</w:t>
      </w:r>
      <w:r>
        <w:rPr>
          <w:color w:val="000000" w:themeColor="text1"/>
          <w:sz w:val="28"/>
          <w:szCs w:val="28"/>
          <w:shd w:val="clear" w:color="auto" w:fill="FFFFFF"/>
        </w:rPr>
        <w:t>, а так</w:t>
      </w:r>
      <w:r w:rsidRPr="006F2C66">
        <w:rPr>
          <w:color w:val="000000" w:themeColor="text1"/>
          <w:sz w:val="28"/>
          <w:szCs w:val="28"/>
          <w:shd w:val="clear" w:color="auto" w:fill="FFFFFF"/>
        </w:rPr>
        <w:t>же производит легкие металлоконструкции и элементы для них в промышленном масштабе. Имеется возможность встраиваться в любое производство строительной и машиностроительной направленности, производя готовый «полуфабрикат» для серийного производства.</w:t>
      </w:r>
    </w:p>
    <w:p w:rsidR="006F2C66" w:rsidRDefault="006F2C66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Главными источниками финансирования ООО «Липецк Сталь Групп» является:</w:t>
      </w:r>
    </w:p>
    <w:p w:rsid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уставный, добавочный и резервный капиталы;</w:t>
      </w:r>
    </w:p>
    <w:p w:rsid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выручка от реализации стали;</w:t>
      </w:r>
    </w:p>
    <w:p w:rsid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выручка от имущества и имущественных прав;</w:t>
      </w:r>
    </w:p>
    <w:p w:rsid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проценты и штрафы за простои;</w:t>
      </w:r>
    </w:p>
    <w:p w:rsid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средства других организаций в порядке помощи финансирования;</w:t>
      </w:r>
    </w:p>
    <w:p w:rsidR="006F2C66" w:rsidRPr="006F2C66" w:rsidRDefault="006F2C66" w:rsidP="006F2C66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заемные средства коммерческих организаций.</w:t>
      </w:r>
    </w:p>
    <w:p w:rsidR="00A779E2" w:rsidRDefault="006F2C66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="00363C4E">
        <w:rPr>
          <w:color w:val="000000"/>
          <w:sz w:val="28"/>
          <w:szCs w:val="28"/>
        </w:rPr>
        <w:t xml:space="preserve"> </w:t>
      </w:r>
      <w:r w:rsidR="00A779E2" w:rsidRPr="00E7278C">
        <w:rPr>
          <w:color w:val="000000"/>
          <w:sz w:val="28"/>
          <w:szCs w:val="28"/>
        </w:rPr>
        <w:t xml:space="preserve">можно </w:t>
      </w:r>
      <w:r>
        <w:rPr>
          <w:color w:val="000000"/>
          <w:sz w:val="28"/>
          <w:szCs w:val="28"/>
        </w:rPr>
        <w:t>сделать вывод</w:t>
      </w:r>
      <w:r w:rsidR="00A779E2" w:rsidRPr="00E7278C">
        <w:rPr>
          <w:color w:val="000000"/>
          <w:sz w:val="28"/>
          <w:szCs w:val="28"/>
        </w:rPr>
        <w:t>, что тема</w:t>
      </w:r>
      <w:r w:rsidR="00363C4E">
        <w:rPr>
          <w:color w:val="000000"/>
          <w:sz w:val="28"/>
          <w:szCs w:val="28"/>
        </w:rPr>
        <w:t xml:space="preserve"> «Источники финансирования коммерческого предприятия»</w:t>
      </w:r>
      <w:r w:rsidR="00A779E2" w:rsidRPr="00E7278C">
        <w:rPr>
          <w:color w:val="000000"/>
          <w:sz w:val="28"/>
          <w:szCs w:val="28"/>
        </w:rPr>
        <w:t xml:space="preserve"> является актуальной с точки зрения любого коммерческого предприятия. Так, для стабильной работы и развития деятельности предприяти</w:t>
      </w:r>
      <w:r w:rsidR="00363C4E">
        <w:rPr>
          <w:color w:val="000000"/>
          <w:sz w:val="28"/>
          <w:szCs w:val="28"/>
        </w:rPr>
        <w:t xml:space="preserve">ю </w:t>
      </w:r>
      <w:r w:rsidR="00A779E2" w:rsidRPr="00E7278C">
        <w:rPr>
          <w:color w:val="000000"/>
          <w:sz w:val="28"/>
          <w:szCs w:val="28"/>
        </w:rPr>
        <w:t xml:space="preserve">необходимо получать финансирование, </w:t>
      </w:r>
      <w:r w:rsidR="00A779E2" w:rsidRPr="00E7278C">
        <w:rPr>
          <w:color w:val="000000"/>
          <w:sz w:val="28"/>
          <w:szCs w:val="28"/>
        </w:rPr>
        <w:lastRenderedPageBreak/>
        <w:t>которое может осуществляться как за счет средств предприятия, так и за счет привлеченных средств.</w:t>
      </w:r>
    </w:p>
    <w:p w:rsidR="00037511" w:rsidRDefault="00037511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037511" w:rsidRDefault="00037511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2A5A3F" w:rsidRDefault="002A5A3F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2A5A3F" w:rsidRDefault="002A5A3F" w:rsidP="001D1EC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</w:p>
    <w:p w:rsidR="004D7F9B" w:rsidRPr="00037511" w:rsidRDefault="00037511" w:rsidP="00037511">
      <w:pPr>
        <w:pStyle w:val="a3"/>
        <w:tabs>
          <w:tab w:val="left" w:pos="1134"/>
        </w:tabs>
        <w:spacing w:before="0" w:beforeAutospacing="0" w:after="0" w:afterAutospacing="0" w:line="360" w:lineRule="auto"/>
        <w:ind w:firstLine="851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СПИСОК ИСПОЛЬЗОВАННОЙ ЛИТЕРАТУРЫ</w:t>
      </w:r>
    </w:p>
    <w:p w:rsidR="00B87578" w:rsidRPr="00B87578" w:rsidRDefault="00B87578" w:rsidP="004118B4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Статья «Оценка инвестиционных проектов» от 23.10.2020г.</w:t>
      </w:r>
    </w:p>
    <w:p w:rsidR="00B87578" w:rsidRDefault="00B87578" w:rsidP="004118B4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B87578">
        <w:rPr>
          <w:color w:val="000000"/>
          <w:sz w:val="28"/>
          <w:szCs w:val="28"/>
        </w:rPr>
        <w:t>Балихина</w:t>
      </w:r>
      <w:proofErr w:type="spellEnd"/>
      <w:r w:rsidRPr="00B87578">
        <w:rPr>
          <w:color w:val="000000"/>
          <w:sz w:val="28"/>
          <w:szCs w:val="28"/>
        </w:rPr>
        <w:t xml:space="preserve">, Н.В. Финансы и налогообложение организаций: Учебник / Н.В. </w:t>
      </w:r>
      <w:proofErr w:type="spellStart"/>
      <w:r w:rsidRPr="00B87578">
        <w:rPr>
          <w:color w:val="000000"/>
          <w:sz w:val="28"/>
          <w:szCs w:val="28"/>
        </w:rPr>
        <w:t>Балихина</w:t>
      </w:r>
      <w:proofErr w:type="spellEnd"/>
      <w:r w:rsidRPr="00B87578">
        <w:rPr>
          <w:color w:val="000000"/>
          <w:sz w:val="28"/>
          <w:szCs w:val="28"/>
        </w:rPr>
        <w:t xml:space="preserve">, М.Е. Косов. - М.: </w:t>
      </w:r>
      <w:proofErr w:type="spellStart"/>
      <w:r w:rsidRPr="00B87578">
        <w:rPr>
          <w:color w:val="000000"/>
          <w:sz w:val="28"/>
          <w:szCs w:val="28"/>
        </w:rPr>
        <w:t>Юнити</w:t>
      </w:r>
      <w:proofErr w:type="spellEnd"/>
      <w:r w:rsidRPr="00B87578">
        <w:rPr>
          <w:color w:val="000000"/>
          <w:sz w:val="28"/>
          <w:szCs w:val="28"/>
        </w:rPr>
        <w:t>, 2018. - 400 c.</w:t>
      </w:r>
    </w:p>
    <w:p w:rsidR="00B87578" w:rsidRPr="00B87578" w:rsidRDefault="00B87578" w:rsidP="004118B4">
      <w:pPr>
        <w:pStyle w:val="a3"/>
        <w:numPr>
          <w:ilvl w:val="0"/>
          <w:numId w:val="20"/>
        </w:numPr>
        <w:tabs>
          <w:tab w:val="left" w:pos="1134"/>
        </w:tabs>
        <w:spacing w:before="0" w:beforeAutospacing="0" w:after="0" w:afterAutospacing="0" w:line="360" w:lineRule="auto"/>
        <w:ind w:left="0" w:firstLine="851"/>
        <w:jc w:val="both"/>
        <w:rPr>
          <w:color w:val="000000"/>
          <w:sz w:val="28"/>
          <w:szCs w:val="28"/>
        </w:rPr>
      </w:pPr>
      <w:r w:rsidRPr="00B87578">
        <w:rPr>
          <w:color w:val="000000"/>
          <w:sz w:val="28"/>
          <w:szCs w:val="28"/>
        </w:rPr>
        <w:t>Мазурина, Т.Ю. Финансы организаций (предприятий): Учебник / Т.Ю. Мазурина. - М.: НИЦ Инфра-М, 2013. - 462 c.</w:t>
      </w:r>
    </w:p>
    <w:sectPr w:rsidR="00B87578" w:rsidRPr="00B87578" w:rsidSect="007D2DB8">
      <w:footerReference w:type="default" r:id="rId8"/>
      <w:footerReference w:type="first" r:id="rId9"/>
      <w:pgSz w:w="11906" w:h="16838"/>
      <w:pgMar w:top="1134" w:right="851" w:bottom="1134" w:left="1701" w:header="709" w:footer="709" w:gutter="0"/>
      <w:pgNumType w:start="1"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71" w:rsidRDefault="00526A71" w:rsidP="004D661E">
      <w:pPr>
        <w:spacing w:after="0" w:line="240" w:lineRule="auto"/>
      </w:pPr>
      <w:r>
        <w:separator/>
      </w:r>
    </w:p>
  </w:endnote>
  <w:endnote w:type="continuationSeparator" w:id="0">
    <w:p w:rsidR="00526A71" w:rsidRDefault="00526A71" w:rsidP="004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162316"/>
      <w:docPartObj>
        <w:docPartGallery w:val="Page Numbers (Bottom of Page)"/>
        <w:docPartUnique/>
      </w:docPartObj>
    </w:sdtPr>
    <w:sdtEndPr/>
    <w:sdtContent>
      <w:p w:rsidR="00037511" w:rsidRDefault="00037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A3">
          <w:rPr>
            <w:noProof/>
          </w:rPr>
          <w:t>5</w:t>
        </w:r>
        <w:r>
          <w:fldChar w:fldCharType="end"/>
        </w:r>
      </w:p>
    </w:sdtContent>
  </w:sdt>
  <w:p w:rsidR="00D13FCB" w:rsidRDefault="00D13F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981567"/>
      <w:docPartObj>
        <w:docPartGallery w:val="Page Numbers (Bottom of Page)"/>
        <w:docPartUnique/>
      </w:docPartObj>
    </w:sdtPr>
    <w:sdtEndPr/>
    <w:sdtContent>
      <w:p w:rsidR="00037511" w:rsidRDefault="000375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6A3">
          <w:rPr>
            <w:noProof/>
          </w:rPr>
          <w:t>1</w:t>
        </w:r>
        <w:r>
          <w:fldChar w:fldCharType="end"/>
        </w:r>
      </w:p>
    </w:sdtContent>
  </w:sdt>
  <w:p w:rsidR="00037511" w:rsidRDefault="000375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71" w:rsidRDefault="00526A71" w:rsidP="004D661E">
      <w:pPr>
        <w:spacing w:after="0" w:line="240" w:lineRule="auto"/>
      </w:pPr>
      <w:r>
        <w:separator/>
      </w:r>
    </w:p>
  </w:footnote>
  <w:footnote w:type="continuationSeparator" w:id="0">
    <w:p w:rsidR="00526A71" w:rsidRDefault="00526A71" w:rsidP="004D661E">
      <w:pPr>
        <w:spacing w:after="0" w:line="240" w:lineRule="auto"/>
      </w:pPr>
      <w:r>
        <w:continuationSeparator/>
      </w:r>
    </w:p>
  </w:footnote>
  <w:footnote w:id="1">
    <w:p w:rsidR="004118B4" w:rsidRPr="00037511" w:rsidRDefault="004118B4" w:rsidP="004118B4">
      <w:pPr>
        <w:pStyle w:val="a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037511">
        <w:rPr>
          <w:rStyle w:val="ad"/>
          <w:sz w:val="22"/>
        </w:rPr>
        <w:footnoteRef/>
      </w:r>
      <w:r w:rsidRPr="00037511">
        <w:rPr>
          <w:sz w:val="22"/>
        </w:rPr>
        <w:t xml:space="preserve"> </w:t>
      </w:r>
      <w:proofErr w:type="spellStart"/>
      <w:r w:rsidRPr="00037511">
        <w:rPr>
          <w:color w:val="000000"/>
          <w:szCs w:val="28"/>
        </w:rPr>
        <w:t>Балихина</w:t>
      </w:r>
      <w:proofErr w:type="spellEnd"/>
      <w:r w:rsidRPr="00037511">
        <w:rPr>
          <w:color w:val="000000"/>
          <w:szCs w:val="28"/>
        </w:rPr>
        <w:t xml:space="preserve">, Н.В. Финансы и налогообложение организаций: Учебник / Н.В. </w:t>
      </w:r>
      <w:proofErr w:type="spellStart"/>
      <w:r w:rsidRPr="00037511">
        <w:rPr>
          <w:color w:val="000000"/>
          <w:szCs w:val="28"/>
        </w:rPr>
        <w:t>Балихина</w:t>
      </w:r>
      <w:proofErr w:type="spellEnd"/>
      <w:r w:rsidRPr="00037511">
        <w:rPr>
          <w:color w:val="000000"/>
          <w:szCs w:val="28"/>
        </w:rPr>
        <w:t xml:space="preserve">, М.Е. Косов. - М.: </w:t>
      </w:r>
      <w:proofErr w:type="spellStart"/>
      <w:r w:rsidRPr="00037511">
        <w:rPr>
          <w:color w:val="000000"/>
          <w:szCs w:val="28"/>
        </w:rPr>
        <w:t>Юнити</w:t>
      </w:r>
      <w:proofErr w:type="spellEnd"/>
      <w:r w:rsidRPr="00037511">
        <w:rPr>
          <w:color w:val="000000"/>
          <w:szCs w:val="28"/>
        </w:rPr>
        <w:t>, 2018. - 400 c.</w:t>
      </w:r>
    </w:p>
    <w:p w:rsidR="004118B4" w:rsidRPr="00037511" w:rsidRDefault="004118B4" w:rsidP="004118B4">
      <w:pPr>
        <w:pStyle w:val="ab"/>
        <w:rPr>
          <w:sz w:val="18"/>
        </w:rPr>
      </w:pPr>
    </w:p>
  </w:footnote>
  <w:footnote w:id="2">
    <w:p w:rsidR="004118B4" w:rsidRPr="004118B4" w:rsidRDefault="004118B4" w:rsidP="004118B4">
      <w:pPr>
        <w:pStyle w:val="a3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4118B4">
        <w:rPr>
          <w:rStyle w:val="ad"/>
          <w:sz w:val="22"/>
        </w:rPr>
        <w:footnoteRef/>
      </w:r>
      <w:r w:rsidRPr="004118B4">
        <w:rPr>
          <w:sz w:val="22"/>
        </w:rPr>
        <w:t xml:space="preserve"> </w:t>
      </w:r>
      <w:proofErr w:type="spellStart"/>
      <w:r w:rsidRPr="004118B4">
        <w:rPr>
          <w:color w:val="000000"/>
          <w:szCs w:val="28"/>
        </w:rPr>
        <w:t>Балихина</w:t>
      </w:r>
      <w:proofErr w:type="spellEnd"/>
      <w:r w:rsidRPr="004118B4">
        <w:rPr>
          <w:color w:val="000000"/>
          <w:szCs w:val="28"/>
        </w:rPr>
        <w:t xml:space="preserve">, Н.В. Финансы и налогообложение организаций: Учебник / Н.В. </w:t>
      </w:r>
      <w:proofErr w:type="spellStart"/>
      <w:r w:rsidRPr="004118B4">
        <w:rPr>
          <w:color w:val="000000"/>
          <w:szCs w:val="28"/>
        </w:rPr>
        <w:t>Балихина</w:t>
      </w:r>
      <w:proofErr w:type="spellEnd"/>
      <w:r w:rsidRPr="004118B4">
        <w:rPr>
          <w:color w:val="000000"/>
          <w:szCs w:val="28"/>
        </w:rPr>
        <w:t xml:space="preserve">, М.Е. Косов. - М.: </w:t>
      </w:r>
      <w:proofErr w:type="spellStart"/>
      <w:r w:rsidRPr="004118B4">
        <w:rPr>
          <w:color w:val="000000"/>
          <w:szCs w:val="28"/>
        </w:rPr>
        <w:t>Юнити</w:t>
      </w:r>
      <w:proofErr w:type="spellEnd"/>
      <w:r w:rsidRPr="004118B4">
        <w:rPr>
          <w:color w:val="000000"/>
          <w:szCs w:val="28"/>
        </w:rPr>
        <w:t>, 2018. - 400 c.</w:t>
      </w:r>
    </w:p>
    <w:p w:rsidR="004118B4" w:rsidRDefault="004118B4">
      <w:pPr>
        <w:pStyle w:val="ab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7EC"/>
    <w:multiLevelType w:val="hybridMultilevel"/>
    <w:tmpl w:val="0784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77D6"/>
    <w:multiLevelType w:val="hybridMultilevel"/>
    <w:tmpl w:val="32229C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88476A"/>
    <w:multiLevelType w:val="hybridMultilevel"/>
    <w:tmpl w:val="BDBE9A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8D0D59"/>
    <w:multiLevelType w:val="hybridMultilevel"/>
    <w:tmpl w:val="6B0662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E01C29"/>
    <w:multiLevelType w:val="hybridMultilevel"/>
    <w:tmpl w:val="2AB833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7D3DFD"/>
    <w:multiLevelType w:val="hybridMultilevel"/>
    <w:tmpl w:val="CB9EF5F8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" w15:restartNumberingAfterBreak="0">
    <w:nsid w:val="2CE15FC9"/>
    <w:multiLevelType w:val="hybridMultilevel"/>
    <w:tmpl w:val="CE6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903BC"/>
    <w:multiLevelType w:val="hybridMultilevel"/>
    <w:tmpl w:val="D304B6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AA125C"/>
    <w:multiLevelType w:val="hybridMultilevel"/>
    <w:tmpl w:val="106C3B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BF69F3"/>
    <w:multiLevelType w:val="hybridMultilevel"/>
    <w:tmpl w:val="2ED858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01A1"/>
    <w:multiLevelType w:val="hybridMultilevel"/>
    <w:tmpl w:val="3452B6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F7B44"/>
    <w:multiLevelType w:val="hybridMultilevel"/>
    <w:tmpl w:val="1A044A12"/>
    <w:lvl w:ilvl="0" w:tplc="4DD0BC7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73578F"/>
    <w:multiLevelType w:val="hybridMultilevel"/>
    <w:tmpl w:val="83D61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E3735"/>
    <w:multiLevelType w:val="hybridMultilevel"/>
    <w:tmpl w:val="3C52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22D"/>
    <w:multiLevelType w:val="hybridMultilevel"/>
    <w:tmpl w:val="638C86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7D42032"/>
    <w:multiLevelType w:val="hybridMultilevel"/>
    <w:tmpl w:val="AD38E3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8CB3D0F"/>
    <w:multiLevelType w:val="hybridMultilevel"/>
    <w:tmpl w:val="527CF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3F7C"/>
    <w:multiLevelType w:val="hybridMultilevel"/>
    <w:tmpl w:val="4EF6B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75A89"/>
    <w:multiLevelType w:val="hybridMultilevel"/>
    <w:tmpl w:val="81D41984"/>
    <w:lvl w:ilvl="0" w:tplc="AC501BD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7183"/>
    <w:multiLevelType w:val="hybridMultilevel"/>
    <w:tmpl w:val="99C49DF4"/>
    <w:lvl w:ilvl="0" w:tplc="15CC9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81D9B"/>
    <w:multiLevelType w:val="hybridMultilevel"/>
    <w:tmpl w:val="CADC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90225"/>
    <w:multiLevelType w:val="hybridMultilevel"/>
    <w:tmpl w:val="D1F0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0257"/>
    <w:multiLevelType w:val="hybridMultilevel"/>
    <w:tmpl w:val="03F8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20"/>
  </w:num>
  <w:num w:numId="5">
    <w:abstractNumId w:val="17"/>
  </w:num>
  <w:num w:numId="6">
    <w:abstractNumId w:val="0"/>
  </w:num>
  <w:num w:numId="7">
    <w:abstractNumId w:val="14"/>
  </w:num>
  <w:num w:numId="8">
    <w:abstractNumId w:val="15"/>
  </w:num>
  <w:num w:numId="9">
    <w:abstractNumId w:val="3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22"/>
  </w:num>
  <w:num w:numId="16">
    <w:abstractNumId w:val="5"/>
  </w:num>
  <w:num w:numId="17">
    <w:abstractNumId w:val="9"/>
  </w:num>
  <w:num w:numId="18">
    <w:abstractNumId w:val="19"/>
  </w:num>
  <w:num w:numId="19">
    <w:abstractNumId w:val="11"/>
  </w:num>
  <w:num w:numId="20">
    <w:abstractNumId w:val="21"/>
  </w:num>
  <w:num w:numId="21">
    <w:abstractNumId w:val="8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E2"/>
    <w:rsid w:val="00004B1D"/>
    <w:rsid w:val="0000682F"/>
    <w:rsid w:val="00026EDD"/>
    <w:rsid w:val="00037511"/>
    <w:rsid w:val="000416A3"/>
    <w:rsid w:val="00080F1B"/>
    <w:rsid w:val="000E7965"/>
    <w:rsid w:val="00166A82"/>
    <w:rsid w:val="001702CF"/>
    <w:rsid w:val="001B4FC3"/>
    <w:rsid w:val="001D1EC0"/>
    <w:rsid w:val="00230D3F"/>
    <w:rsid w:val="00255A6E"/>
    <w:rsid w:val="002A5A3F"/>
    <w:rsid w:val="002E1C15"/>
    <w:rsid w:val="00363C4E"/>
    <w:rsid w:val="003D5998"/>
    <w:rsid w:val="004118B4"/>
    <w:rsid w:val="0041581F"/>
    <w:rsid w:val="004267A6"/>
    <w:rsid w:val="0046484F"/>
    <w:rsid w:val="004D661E"/>
    <w:rsid w:val="004D7F9B"/>
    <w:rsid w:val="00526A71"/>
    <w:rsid w:val="005370C4"/>
    <w:rsid w:val="00687947"/>
    <w:rsid w:val="006C4AB7"/>
    <w:rsid w:val="006F2C66"/>
    <w:rsid w:val="00794308"/>
    <w:rsid w:val="007D2DB8"/>
    <w:rsid w:val="0082447A"/>
    <w:rsid w:val="00835176"/>
    <w:rsid w:val="00886DFF"/>
    <w:rsid w:val="008D20E6"/>
    <w:rsid w:val="00915790"/>
    <w:rsid w:val="00935842"/>
    <w:rsid w:val="009551C5"/>
    <w:rsid w:val="00981564"/>
    <w:rsid w:val="009833DC"/>
    <w:rsid w:val="00A31462"/>
    <w:rsid w:val="00A779E2"/>
    <w:rsid w:val="00AA2988"/>
    <w:rsid w:val="00AC7F0D"/>
    <w:rsid w:val="00B62845"/>
    <w:rsid w:val="00B8226A"/>
    <w:rsid w:val="00B87578"/>
    <w:rsid w:val="00BF7304"/>
    <w:rsid w:val="00C24430"/>
    <w:rsid w:val="00C24F84"/>
    <w:rsid w:val="00C5696A"/>
    <w:rsid w:val="00CB60A2"/>
    <w:rsid w:val="00D13FCB"/>
    <w:rsid w:val="00D97AF8"/>
    <w:rsid w:val="00DD5164"/>
    <w:rsid w:val="00DD5AB9"/>
    <w:rsid w:val="00E01CC0"/>
    <w:rsid w:val="00E02677"/>
    <w:rsid w:val="00E51910"/>
    <w:rsid w:val="00E536A8"/>
    <w:rsid w:val="00E7278C"/>
    <w:rsid w:val="00F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2CFFECE-1607-4DF6-8A07-7E976CF5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DFF"/>
    <w:rPr>
      <w:b/>
      <w:bCs/>
    </w:rPr>
  </w:style>
  <w:style w:type="paragraph" w:styleId="a5">
    <w:name w:val="List Paragraph"/>
    <w:basedOn w:val="a"/>
    <w:uiPriority w:val="34"/>
    <w:qFormat/>
    <w:rsid w:val="00E0267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61E"/>
  </w:style>
  <w:style w:type="paragraph" w:styleId="a8">
    <w:name w:val="footer"/>
    <w:basedOn w:val="a"/>
    <w:link w:val="a9"/>
    <w:uiPriority w:val="99"/>
    <w:unhideWhenUsed/>
    <w:rsid w:val="004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61E"/>
  </w:style>
  <w:style w:type="character" w:customStyle="1" w:styleId="link1">
    <w:name w:val="link1"/>
    <w:basedOn w:val="a0"/>
    <w:rsid w:val="004D661E"/>
    <w:rPr>
      <w:strike w:val="0"/>
      <w:dstrike w:val="0"/>
      <w:u w:val="none"/>
      <w:effect w:val="none"/>
    </w:rPr>
  </w:style>
  <w:style w:type="table" w:styleId="aa">
    <w:name w:val="Table Grid"/>
    <w:basedOn w:val="a1"/>
    <w:uiPriority w:val="39"/>
    <w:rsid w:val="0093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3751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3751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375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34D1-F1EA-4F27-84DB-705E53B3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2020-10-04T07:44:00Z</dcterms:created>
  <dcterms:modified xsi:type="dcterms:W3CDTF">2022-05-11T15:05:00Z</dcterms:modified>
</cp:coreProperties>
</file>