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101703" w14:textId="6D9FA2C7" w:rsidR="00B44CE1" w:rsidRPr="009E3EBE" w:rsidRDefault="00B44CE1" w:rsidP="00B44CE1">
      <w:pPr>
        <w:spacing w:line="240" w:lineRule="auto"/>
        <w:ind w:right="110"/>
        <w:contextualSpacing/>
        <w:jc w:val="right"/>
        <w:rPr>
          <w:rFonts w:ascii="Times New Roman" w:hAnsi="Times New Roman" w:cs="Times New Roman"/>
          <w:b/>
          <w:bCs/>
          <w:sz w:val="24"/>
          <w:szCs w:val="24"/>
          <w:lang w:val="ru-RU"/>
        </w:rPr>
      </w:pPr>
      <w:r w:rsidRPr="009E3EBE">
        <w:rPr>
          <w:rFonts w:ascii="Times New Roman" w:hAnsi="Times New Roman" w:cs="Times New Roman"/>
          <w:b/>
          <w:bCs/>
          <w:sz w:val="24"/>
          <w:szCs w:val="24"/>
          <w:lang w:val="ru-RU"/>
        </w:rPr>
        <w:t>Ленков Д</w:t>
      </w:r>
      <w:r w:rsidR="008679EC" w:rsidRPr="009E3EBE">
        <w:rPr>
          <w:rFonts w:ascii="Times New Roman" w:hAnsi="Times New Roman" w:cs="Times New Roman"/>
          <w:b/>
          <w:bCs/>
          <w:sz w:val="24"/>
          <w:szCs w:val="24"/>
          <w:lang w:val="ru-RU"/>
        </w:rPr>
        <w:t xml:space="preserve">аниил </w:t>
      </w:r>
      <w:r w:rsidR="003153CA" w:rsidRPr="009E3EBE">
        <w:rPr>
          <w:rFonts w:ascii="Times New Roman" w:hAnsi="Times New Roman" w:cs="Times New Roman"/>
          <w:b/>
          <w:bCs/>
          <w:sz w:val="24"/>
          <w:szCs w:val="24"/>
          <w:lang w:val="ru-RU"/>
        </w:rPr>
        <w:t>Александрович</w:t>
      </w:r>
    </w:p>
    <w:p w14:paraId="64C72627" w14:textId="068911C6" w:rsidR="00B44CE1" w:rsidRPr="009E3EBE" w:rsidRDefault="00B44CE1" w:rsidP="003153CA">
      <w:pPr>
        <w:spacing w:line="240" w:lineRule="auto"/>
        <w:ind w:right="110"/>
        <w:contextualSpacing/>
        <w:jc w:val="right"/>
        <w:rPr>
          <w:rFonts w:ascii="Times New Roman" w:hAnsi="Times New Roman" w:cs="Times New Roman"/>
          <w:sz w:val="24"/>
          <w:szCs w:val="24"/>
          <w:lang w:val="ru-RU"/>
        </w:rPr>
      </w:pPr>
      <w:r w:rsidRPr="009E3EBE">
        <w:rPr>
          <w:rFonts w:ascii="Times New Roman" w:hAnsi="Times New Roman" w:cs="Times New Roman"/>
          <w:sz w:val="24"/>
          <w:szCs w:val="24"/>
          <w:lang w:val="ru-RU"/>
        </w:rPr>
        <w:t>РЭУ им Г. В. Плеханова</w:t>
      </w:r>
    </w:p>
    <w:p w14:paraId="341D6604" w14:textId="28B1DD6F" w:rsidR="003153CA" w:rsidRPr="009E3EBE" w:rsidRDefault="003153CA" w:rsidP="003153CA">
      <w:pPr>
        <w:spacing w:line="240" w:lineRule="auto"/>
        <w:ind w:right="110"/>
        <w:contextualSpacing/>
        <w:jc w:val="right"/>
        <w:rPr>
          <w:rFonts w:ascii="Times New Roman" w:hAnsi="Times New Roman" w:cs="Times New Roman"/>
          <w:sz w:val="24"/>
          <w:szCs w:val="24"/>
          <w:lang w:val="ru-RU"/>
        </w:rPr>
      </w:pPr>
      <w:r w:rsidRPr="009E3EBE">
        <w:rPr>
          <w:rFonts w:ascii="Times New Roman" w:hAnsi="Times New Roman" w:cs="Times New Roman"/>
          <w:sz w:val="24"/>
          <w:szCs w:val="24"/>
          <w:lang w:val="ru-RU"/>
        </w:rPr>
        <w:t>lenkov.da13@gmail.com</w:t>
      </w:r>
    </w:p>
    <w:p w14:paraId="31F67956" w14:textId="77777777" w:rsidR="003153CA" w:rsidRPr="009E3EBE" w:rsidRDefault="003153CA" w:rsidP="00387819">
      <w:pPr>
        <w:spacing w:line="240" w:lineRule="auto"/>
        <w:ind w:right="110"/>
        <w:contextualSpacing/>
        <w:jc w:val="right"/>
        <w:rPr>
          <w:rFonts w:ascii="Times New Roman" w:hAnsi="Times New Roman" w:cs="Times New Roman"/>
          <w:b/>
          <w:bCs/>
          <w:sz w:val="24"/>
          <w:szCs w:val="24"/>
          <w:lang w:val="ru-RU"/>
        </w:rPr>
      </w:pPr>
    </w:p>
    <w:p w14:paraId="56DFA53D" w14:textId="39E2196F" w:rsidR="00387819" w:rsidRPr="009E3EBE" w:rsidRDefault="00387819" w:rsidP="00387819">
      <w:pPr>
        <w:spacing w:line="240" w:lineRule="auto"/>
        <w:ind w:right="110"/>
        <w:contextualSpacing/>
        <w:jc w:val="right"/>
        <w:rPr>
          <w:rFonts w:ascii="Times New Roman" w:hAnsi="Times New Roman" w:cs="Times New Roman"/>
          <w:b/>
          <w:bCs/>
          <w:sz w:val="24"/>
          <w:szCs w:val="24"/>
          <w:lang w:val="ru-RU"/>
        </w:rPr>
      </w:pPr>
      <w:r w:rsidRPr="009E3EBE">
        <w:rPr>
          <w:rFonts w:ascii="Times New Roman" w:hAnsi="Times New Roman" w:cs="Times New Roman"/>
          <w:b/>
          <w:bCs/>
          <w:sz w:val="24"/>
          <w:szCs w:val="24"/>
          <w:lang w:val="ru-RU"/>
        </w:rPr>
        <w:t>Козлова Н</w:t>
      </w:r>
      <w:r w:rsidR="003153CA" w:rsidRPr="009E3EBE">
        <w:rPr>
          <w:rFonts w:ascii="Times New Roman" w:hAnsi="Times New Roman" w:cs="Times New Roman"/>
          <w:b/>
          <w:bCs/>
          <w:sz w:val="24"/>
          <w:szCs w:val="24"/>
          <w:lang w:val="ru-RU"/>
        </w:rPr>
        <w:t>аталья Евгеньевна</w:t>
      </w:r>
    </w:p>
    <w:p w14:paraId="32185C55" w14:textId="45C36395" w:rsidR="003153CA" w:rsidRPr="009E3EBE" w:rsidRDefault="003153CA" w:rsidP="003153CA">
      <w:pPr>
        <w:spacing w:line="240" w:lineRule="auto"/>
        <w:ind w:right="110"/>
        <w:contextualSpacing/>
        <w:jc w:val="right"/>
        <w:rPr>
          <w:rFonts w:ascii="Times New Roman" w:hAnsi="Times New Roman" w:cs="Times New Roman"/>
          <w:sz w:val="24"/>
          <w:szCs w:val="24"/>
          <w:lang w:val="ru-RU"/>
        </w:rPr>
      </w:pPr>
      <w:r w:rsidRPr="009E3EBE">
        <w:rPr>
          <w:rFonts w:ascii="Times New Roman" w:hAnsi="Times New Roman" w:cs="Times New Roman"/>
          <w:sz w:val="24"/>
          <w:szCs w:val="24"/>
          <w:lang w:val="ru-RU"/>
        </w:rPr>
        <w:t>РЭУ им Г. В. Плеханова</w:t>
      </w:r>
    </w:p>
    <w:p w14:paraId="0D7D30A6" w14:textId="7BC170C6" w:rsidR="003153CA" w:rsidRPr="009E3EBE" w:rsidRDefault="003153CA" w:rsidP="003153CA">
      <w:pPr>
        <w:spacing w:line="240" w:lineRule="auto"/>
        <w:ind w:right="110"/>
        <w:contextualSpacing/>
        <w:jc w:val="right"/>
        <w:rPr>
          <w:rFonts w:ascii="Times New Roman" w:hAnsi="Times New Roman" w:cs="Times New Roman"/>
          <w:sz w:val="24"/>
          <w:szCs w:val="24"/>
          <w:lang w:val="ru-RU"/>
        </w:rPr>
      </w:pPr>
      <w:proofErr w:type="spellStart"/>
      <w:r w:rsidRPr="009E3EBE">
        <w:rPr>
          <w:rFonts w:ascii="Times New Roman" w:hAnsi="Times New Roman" w:cs="Times New Roman"/>
          <w:sz w:val="24"/>
          <w:szCs w:val="24"/>
          <w:lang w:val="en-US"/>
        </w:rPr>
        <w:t>kozlova</w:t>
      </w:r>
      <w:proofErr w:type="spellEnd"/>
      <w:r w:rsidRPr="009E3EBE">
        <w:rPr>
          <w:rFonts w:ascii="Times New Roman" w:hAnsi="Times New Roman" w:cs="Times New Roman"/>
          <w:sz w:val="24"/>
          <w:szCs w:val="24"/>
          <w:lang w:val="ru-RU"/>
        </w:rPr>
        <w:t>.</w:t>
      </w:r>
      <w:r w:rsidRPr="009E3EBE">
        <w:rPr>
          <w:rFonts w:ascii="Times New Roman" w:hAnsi="Times New Roman" w:cs="Times New Roman"/>
          <w:sz w:val="24"/>
          <w:szCs w:val="24"/>
          <w:lang w:val="en-US"/>
        </w:rPr>
        <w:t>rea</w:t>
      </w:r>
      <w:r w:rsidRPr="009E3EBE">
        <w:rPr>
          <w:rFonts w:ascii="Times New Roman" w:hAnsi="Times New Roman" w:cs="Times New Roman"/>
          <w:sz w:val="24"/>
          <w:szCs w:val="24"/>
          <w:lang w:val="ru-RU"/>
        </w:rPr>
        <w:t>@</w:t>
      </w:r>
      <w:r w:rsidRPr="009E3EBE">
        <w:rPr>
          <w:rFonts w:ascii="Times New Roman" w:hAnsi="Times New Roman" w:cs="Times New Roman"/>
          <w:sz w:val="24"/>
          <w:szCs w:val="24"/>
          <w:lang w:val="en-US"/>
        </w:rPr>
        <w:t>mail</w:t>
      </w:r>
      <w:r w:rsidRPr="009E3EBE">
        <w:rPr>
          <w:rFonts w:ascii="Times New Roman" w:hAnsi="Times New Roman" w:cs="Times New Roman"/>
          <w:sz w:val="24"/>
          <w:szCs w:val="24"/>
          <w:lang w:val="ru-RU"/>
        </w:rPr>
        <w:t>.</w:t>
      </w:r>
      <w:proofErr w:type="spellStart"/>
      <w:r w:rsidRPr="009E3EBE">
        <w:rPr>
          <w:rFonts w:ascii="Times New Roman" w:hAnsi="Times New Roman" w:cs="Times New Roman"/>
          <w:sz w:val="24"/>
          <w:szCs w:val="24"/>
          <w:lang w:val="en-US"/>
        </w:rPr>
        <w:t>ru</w:t>
      </w:r>
      <w:proofErr w:type="spellEnd"/>
      <w:r w:rsidRPr="009E3EBE">
        <w:rPr>
          <w:rFonts w:ascii="Times New Roman" w:hAnsi="Times New Roman" w:cs="Times New Roman"/>
          <w:sz w:val="24"/>
          <w:szCs w:val="24"/>
          <w:lang w:val="ru-RU"/>
        </w:rPr>
        <w:t xml:space="preserve"> </w:t>
      </w:r>
    </w:p>
    <w:p w14:paraId="1980CEE7" w14:textId="77777777" w:rsidR="00387819" w:rsidRPr="009E3EBE" w:rsidRDefault="00387819" w:rsidP="00B44CE1">
      <w:pPr>
        <w:spacing w:line="240" w:lineRule="auto"/>
        <w:ind w:right="110"/>
        <w:contextualSpacing/>
        <w:jc w:val="right"/>
        <w:rPr>
          <w:rFonts w:ascii="Times New Roman" w:hAnsi="Times New Roman" w:cs="Times New Roman"/>
          <w:sz w:val="24"/>
          <w:szCs w:val="24"/>
          <w:lang w:val="ru-RU"/>
        </w:rPr>
      </w:pPr>
    </w:p>
    <w:p w14:paraId="470F96DC" w14:textId="6D00FCEB" w:rsidR="00B44CE1" w:rsidRPr="003110E7" w:rsidRDefault="00B44CE1" w:rsidP="00B44CE1">
      <w:pPr>
        <w:spacing w:line="240" w:lineRule="auto"/>
        <w:ind w:right="110"/>
        <w:contextualSpacing/>
        <w:jc w:val="right"/>
        <w:rPr>
          <w:rFonts w:ascii="Times New Roman" w:hAnsi="Times New Roman" w:cs="Times New Roman"/>
          <w:b/>
          <w:bCs/>
          <w:i/>
          <w:iCs/>
          <w:sz w:val="24"/>
          <w:szCs w:val="24"/>
          <w:lang w:val="ru-RU"/>
        </w:rPr>
      </w:pPr>
      <w:r w:rsidRPr="003110E7">
        <w:rPr>
          <w:rFonts w:ascii="Times New Roman" w:hAnsi="Times New Roman" w:cs="Times New Roman"/>
          <w:b/>
          <w:bCs/>
          <w:i/>
          <w:iCs/>
          <w:sz w:val="24"/>
          <w:szCs w:val="24"/>
          <w:lang w:val="ru-RU"/>
        </w:rPr>
        <w:t xml:space="preserve">Научный руководитель: </w:t>
      </w:r>
      <w:proofErr w:type="spellStart"/>
      <w:r w:rsidR="00387819" w:rsidRPr="003110E7">
        <w:rPr>
          <w:rFonts w:ascii="Times New Roman" w:hAnsi="Times New Roman" w:cs="Times New Roman"/>
          <w:b/>
          <w:bCs/>
          <w:i/>
          <w:iCs/>
          <w:sz w:val="24"/>
          <w:szCs w:val="24"/>
          <w:lang w:val="ru-RU"/>
        </w:rPr>
        <w:t>Безпалов</w:t>
      </w:r>
      <w:proofErr w:type="spellEnd"/>
      <w:r w:rsidR="00387819" w:rsidRPr="003110E7">
        <w:rPr>
          <w:rFonts w:ascii="Times New Roman" w:hAnsi="Times New Roman" w:cs="Times New Roman"/>
          <w:b/>
          <w:bCs/>
          <w:i/>
          <w:iCs/>
          <w:sz w:val="24"/>
          <w:szCs w:val="24"/>
          <w:lang w:val="ru-RU"/>
        </w:rPr>
        <w:t xml:space="preserve"> В</w:t>
      </w:r>
      <w:r w:rsidR="003153CA" w:rsidRPr="003110E7">
        <w:rPr>
          <w:rFonts w:ascii="Times New Roman" w:hAnsi="Times New Roman" w:cs="Times New Roman"/>
          <w:b/>
          <w:bCs/>
          <w:i/>
          <w:iCs/>
          <w:sz w:val="24"/>
          <w:szCs w:val="24"/>
          <w:lang w:val="ru-RU"/>
        </w:rPr>
        <w:t>алерий Васильевич</w:t>
      </w:r>
    </w:p>
    <w:p w14:paraId="3DB63F85" w14:textId="77777777" w:rsidR="00387819" w:rsidRPr="009E3EBE" w:rsidRDefault="00387819" w:rsidP="00B44CE1">
      <w:pPr>
        <w:spacing w:line="240" w:lineRule="auto"/>
        <w:ind w:right="110"/>
        <w:contextualSpacing/>
        <w:jc w:val="right"/>
        <w:rPr>
          <w:rFonts w:ascii="Times New Roman" w:hAnsi="Times New Roman" w:cs="Times New Roman"/>
          <w:sz w:val="24"/>
          <w:szCs w:val="24"/>
          <w:lang w:val="ru-RU"/>
        </w:rPr>
      </w:pPr>
      <w:r w:rsidRPr="009E3EBE">
        <w:rPr>
          <w:rFonts w:ascii="Times New Roman" w:hAnsi="Times New Roman" w:cs="Times New Roman"/>
          <w:sz w:val="24"/>
          <w:szCs w:val="24"/>
          <w:lang w:val="ru-RU"/>
        </w:rPr>
        <w:t xml:space="preserve">д.э.н., профессор </w:t>
      </w:r>
    </w:p>
    <w:p w14:paraId="7FE3B118" w14:textId="3E388E62" w:rsidR="00B44CE1" w:rsidRPr="009E3EBE" w:rsidRDefault="00B44CE1" w:rsidP="00B44CE1">
      <w:pPr>
        <w:spacing w:line="240" w:lineRule="auto"/>
        <w:ind w:right="110"/>
        <w:contextualSpacing/>
        <w:jc w:val="right"/>
        <w:rPr>
          <w:rFonts w:ascii="Times New Roman" w:hAnsi="Times New Roman" w:cs="Times New Roman"/>
          <w:sz w:val="24"/>
          <w:szCs w:val="24"/>
          <w:lang w:val="ru-RU"/>
        </w:rPr>
      </w:pPr>
      <w:r w:rsidRPr="009E3EBE">
        <w:rPr>
          <w:rFonts w:ascii="Times New Roman" w:hAnsi="Times New Roman" w:cs="Times New Roman"/>
          <w:sz w:val="24"/>
          <w:szCs w:val="24"/>
          <w:lang w:val="ru-RU"/>
        </w:rPr>
        <w:t>кафедра</w:t>
      </w:r>
      <w:r w:rsidR="00387819" w:rsidRPr="009E3EBE">
        <w:rPr>
          <w:rFonts w:ascii="Times New Roman" w:hAnsi="Times New Roman" w:cs="Times New Roman"/>
          <w:sz w:val="24"/>
          <w:szCs w:val="24"/>
          <w:lang w:val="ru-RU"/>
        </w:rPr>
        <w:t xml:space="preserve"> национальной и региональной экономики</w:t>
      </w:r>
      <w:r w:rsidRPr="009E3EBE">
        <w:rPr>
          <w:rFonts w:ascii="Times New Roman" w:hAnsi="Times New Roman" w:cs="Times New Roman"/>
          <w:sz w:val="24"/>
          <w:szCs w:val="24"/>
          <w:lang w:val="ru-RU"/>
        </w:rPr>
        <w:t xml:space="preserve"> </w:t>
      </w:r>
    </w:p>
    <w:p w14:paraId="2A110C22" w14:textId="079E5E31" w:rsidR="00B44CE1" w:rsidRPr="009E3EBE" w:rsidRDefault="00B44CE1" w:rsidP="00B44CE1">
      <w:pPr>
        <w:spacing w:line="240" w:lineRule="auto"/>
        <w:ind w:right="110"/>
        <w:contextualSpacing/>
        <w:jc w:val="right"/>
        <w:rPr>
          <w:rFonts w:ascii="Times New Roman" w:hAnsi="Times New Roman" w:cs="Times New Roman"/>
          <w:sz w:val="24"/>
          <w:szCs w:val="24"/>
          <w:lang w:val="ru-RU"/>
        </w:rPr>
      </w:pPr>
      <w:r w:rsidRPr="009E3EBE">
        <w:rPr>
          <w:rFonts w:ascii="Times New Roman" w:hAnsi="Times New Roman" w:cs="Times New Roman"/>
          <w:sz w:val="24"/>
          <w:szCs w:val="24"/>
          <w:lang w:val="ru-RU"/>
        </w:rPr>
        <w:t>РЭУ им Г. В. Плеханова</w:t>
      </w:r>
    </w:p>
    <w:p w14:paraId="61902489" w14:textId="77777777" w:rsidR="002B6930" w:rsidRPr="009E3EBE" w:rsidRDefault="002B6930" w:rsidP="00B44CE1">
      <w:pPr>
        <w:spacing w:line="240" w:lineRule="auto"/>
        <w:ind w:right="110"/>
        <w:contextualSpacing/>
        <w:jc w:val="right"/>
        <w:rPr>
          <w:rFonts w:ascii="Times New Roman" w:hAnsi="Times New Roman" w:cs="Times New Roman"/>
          <w:sz w:val="24"/>
          <w:szCs w:val="24"/>
          <w:lang w:val="ru-RU"/>
        </w:rPr>
      </w:pPr>
    </w:p>
    <w:p w14:paraId="281D4981" w14:textId="77777777" w:rsidR="00B44CE1" w:rsidRPr="009E3EBE" w:rsidRDefault="00B44CE1" w:rsidP="00A25CAB">
      <w:pPr>
        <w:spacing w:line="240" w:lineRule="auto"/>
        <w:ind w:right="110"/>
        <w:contextualSpacing/>
        <w:jc w:val="both"/>
        <w:rPr>
          <w:rFonts w:ascii="Times New Roman" w:hAnsi="Times New Roman" w:cs="Times New Roman"/>
          <w:b/>
          <w:bCs/>
          <w:sz w:val="24"/>
          <w:szCs w:val="24"/>
          <w:lang w:val="ru-RU"/>
        </w:rPr>
      </w:pPr>
    </w:p>
    <w:p w14:paraId="1342250A" w14:textId="5BD1DDFB" w:rsidR="00387819" w:rsidRPr="009E3EBE" w:rsidRDefault="00387819" w:rsidP="00387819">
      <w:pPr>
        <w:spacing w:line="240" w:lineRule="auto"/>
        <w:ind w:right="110"/>
        <w:contextualSpacing/>
        <w:jc w:val="center"/>
        <w:rPr>
          <w:rFonts w:ascii="Times New Roman" w:hAnsi="Times New Roman" w:cs="Times New Roman"/>
          <w:b/>
          <w:bCs/>
          <w:sz w:val="28"/>
          <w:szCs w:val="28"/>
          <w:lang w:val="ru-RU"/>
        </w:rPr>
      </w:pPr>
      <w:r w:rsidRPr="009E3EBE">
        <w:rPr>
          <w:rFonts w:ascii="Times New Roman" w:hAnsi="Times New Roman" w:cs="Times New Roman"/>
          <w:b/>
          <w:bCs/>
          <w:sz w:val="28"/>
          <w:szCs w:val="28"/>
          <w:lang w:val="ru-RU"/>
        </w:rPr>
        <w:t>Планирование развития децентрализованных электроэнергетических систем как фактор повышения энергетической безопасности изолированных территорий на примере Республики Саха</w:t>
      </w:r>
    </w:p>
    <w:p w14:paraId="1D3DD6A7" w14:textId="77777777" w:rsidR="008679EC" w:rsidRPr="009E3EBE" w:rsidRDefault="008679EC" w:rsidP="00387819">
      <w:pPr>
        <w:spacing w:line="240" w:lineRule="auto"/>
        <w:ind w:right="110"/>
        <w:contextualSpacing/>
        <w:jc w:val="center"/>
        <w:rPr>
          <w:rFonts w:ascii="Times New Roman" w:hAnsi="Times New Roman" w:cs="Times New Roman"/>
          <w:b/>
          <w:bCs/>
          <w:sz w:val="28"/>
          <w:szCs w:val="28"/>
          <w:lang w:val="ru-RU"/>
        </w:rPr>
      </w:pPr>
    </w:p>
    <w:p w14:paraId="0AB3A297" w14:textId="25556798" w:rsidR="00454D59" w:rsidRPr="009E3EBE" w:rsidRDefault="00387819" w:rsidP="00C41DC0">
      <w:pPr>
        <w:spacing w:line="240" w:lineRule="auto"/>
        <w:ind w:right="110" w:firstLine="720"/>
        <w:contextualSpacing/>
        <w:jc w:val="both"/>
        <w:rPr>
          <w:rFonts w:ascii="Times New Roman" w:hAnsi="Times New Roman" w:cs="Times New Roman"/>
          <w:sz w:val="24"/>
          <w:szCs w:val="24"/>
          <w:lang w:val="ru-RU"/>
        </w:rPr>
      </w:pPr>
      <w:r w:rsidRPr="009E3EBE">
        <w:rPr>
          <w:rFonts w:ascii="Times New Roman" w:hAnsi="Times New Roman" w:cs="Times New Roman"/>
          <w:b/>
          <w:bCs/>
          <w:sz w:val="24"/>
          <w:szCs w:val="24"/>
          <w:lang w:val="ru-RU"/>
        </w:rPr>
        <w:t xml:space="preserve">Аннотация: </w:t>
      </w:r>
      <w:r w:rsidR="000D5656" w:rsidRPr="009E3EBE">
        <w:rPr>
          <w:rFonts w:ascii="Times New Roman" w:hAnsi="Times New Roman" w:cs="Times New Roman"/>
          <w:sz w:val="24"/>
          <w:szCs w:val="24"/>
          <w:lang w:val="ru-RU"/>
        </w:rPr>
        <w:t xml:space="preserve">в статье рассмотрено состояние энергетической безопасности изолированных территорий Республики Саха, а также сложившаяся </w:t>
      </w:r>
      <w:r w:rsidR="00C41DC0" w:rsidRPr="009E3EBE">
        <w:rPr>
          <w:rFonts w:ascii="Times New Roman" w:hAnsi="Times New Roman" w:cs="Times New Roman"/>
          <w:sz w:val="24"/>
          <w:szCs w:val="24"/>
          <w:lang w:val="ru-RU"/>
        </w:rPr>
        <w:t xml:space="preserve">там </w:t>
      </w:r>
      <w:r w:rsidR="000D5656" w:rsidRPr="009E3EBE">
        <w:rPr>
          <w:rFonts w:ascii="Times New Roman" w:hAnsi="Times New Roman" w:cs="Times New Roman"/>
          <w:sz w:val="24"/>
          <w:szCs w:val="24"/>
          <w:lang w:val="ru-RU"/>
        </w:rPr>
        <w:t xml:space="preserve">система децентрализованной электроэнергетики. </w:t>
      </w:r>
      <w:r w:rsidR="008910FC" w:rsidRPr="009E3EBE">
        <w:rPr>
          <w:rFonts w:ascii="Times New Roman" w:hAnsi="Times New Roman" w:cs="Times New Roman"/>
          <w:sz w:val="24"/>
          <w:szCs w:val="24"/>
          <w:lang w:val="ru-RU"/>
        </w:rPr>
        <w:t xml:space="preserve">Проанализированы способы финансирования проектов в области децентрализованной электроэнергетики. </w:t>
      </w:r>
      <w:r w:rsidR="0043299C" w:rsidRPr="009E3EBE">
        <w:rPr>
          <w:rFonts w:ascii="Times New Roman" w:hAnsi="Times New Roman" w:cs="Times New Roman"/>
          <w:sz w:val="24"/>
          <w:szCs w:val="24"/>
          <w:lang w:val="ru-RU"/>
        </w:rPr>
        <w:t>Предложены меры по улучшению эффективности существующей системы распределенной генерации</w:t>
      </w:r>
      <w:r w:rsidR="00C41DC0" w:rsidRPr="009E3EBE">
        <w:rPr>
          <w:rFonts w:ascii="Times New Roman" w:hAnsi="Times New Roman" w:cs="Times New Roman"/>
          <w:sz w:val="24"/>
          <w:szCs w:val="24"/>
          <w:lang w:val="ru-RU"/>
        </w:rPr>
        <w:t xml:space="preserve"> для снижения угроз энергетической безопасности</w:t>
      </w:r>
      <w:r w:rsidR="0043299C" w:rsidRPr="009E3EBE">
        <w:rPr>
          <w:rFonts w:ascii="Times New Roman" w:hAnsi="Times New Roman" w:cs="Times New Roman"/>
          <w:sz w:val="24"/>
          <w:szCs w:val="24"/>
          <w:lang w:val="ru-RU"/>
        </w:rPr>
        <w:t>, в том числе с помощью возобновляемых источников энергии.</w:t>
      </w:r>
      <w:r w:rsidR="00C41DC0" w:rsidRPr="009E3EBE">
        <w:rPr>
          <w:rFonts w:ascii="Times New Roman" w:hAnsi="Times New Roman" w:cs="Times New Roman"/>
          <w:sz w:val="24"/>
          <w:szCs w:val="24"/>
          <w:lang w:val="ru-RU"/>
        </w:rPr>
        <w:t xml:space="preserve"> </w:t>
      </w:r>
    </w:p>
    <w:p w14:paraId="04EA89D2" w14:textId="77777777" w:rsidR="00CE4340" w:rsidRPr="003110E7" w:rsidRDefault="00CE4340" w:rsidP="009E3EBE">
      <w:pPr>
        <w:spacing w:line="240" w:lineRule="auto"/>
        <w:ind w:right="110"/>
        <w:contextualSpacing/>
        <w:jc w:val="both"/>
        <w:rPr>
          <w:rFonts w:ascii="Times New Roman" w:hAnsi="Times New Roman" w:cs="Times New Roman"/>
          <w:sz w:val="24"/>
          <w:szCs w:val="24"/>
          <w:lang w:val="ru-RU"/>
        </w:rPr>
      </w:pPr>
    </w:p>
    <w:p w14:paraId="7AF1B624" w14:textId="2C857BFB" w:rsidR="00387819" w:rsidRDefault="00387819" w:rsidP="00387819">
      <w:pPr>
        <w:spacing w:line="240" w:lineRule="auto"/>
        <w:ind w:right="110" w:firstLine="720"/>
        <w:contextualSpacing/>
        <w:jc w:val="both"/>
        <w:rPr>
          <w:rFonts w:ascii="Times New Roman" w:hAnsi="Times New Roman" w:cs="Times New Roman"/>
          <w:sz w:val="24"/>
          <w:szCs w:val="24"/>
          <w:lang w:val="ru-RU"/>
        </w:rPr>
      </w:pPr>
      <w:r w:rsidRPr="009E3EBE">
        <w:rPr>
          <w:rFonts w:ascii="Times New Roman" w:hAnsi="Times New Roman" w:cs="Times New Roman"/>
          <w:b/>
          <w:bCs/>
          <w:sz w:val="24"/>
          <w:szCs w:val="24"/>
          <w:lang w:val="ru-RU"/>
        </w:rPr>
        <w:t>Ключевые слова:</w:t>
      </w:r>
      <w:r w:rsidR="00201DAC" w:rsidRPr="009E3EBE">
        <w:rPr>
          <w:rFonts w:ascii="Times New Roman" w:hAnsi="Times New Roman" w:cs="Times New Roman"/>
          <w:b/>
          <w:bCs/>
          <w:sz w:val="24"/>
          <w:szCs w:val="24"/>
          <w:lang w:val="ru-RU"/>
        </w:rPr>
        <w:t xml:space="preserve"> </w:t>
      </w:r>
      <w:r w:rsidR="001E71C8" w:rsidRPr="009E3EBE">
        <w:rPr>
          <w:rFonts w:ascii="Times New Roman" w:hAnsi="Times New Roman" w:cs="Times New Roman"/>
          <w:sz w:val="24"/>
          <w:szCs w:val="24"/>
          <w:lang w:val="ru-RU"/>
        </w:rPr>
        <w:t>единая энергетическая система</w:t>
      </w:r>
      <w:r w:rsidR="001E71C8" w:rsidRPr="009E3EBE">
        <w:rPr>
          <w:rFonts w:ascii="Times New Roman" w:hAnsi="Times New Roman" w:cs="Times New Roman"/>
          <w:b/>
          <w:bCs/>
          <w:sz w:val="24"/>
          <w:szCs w:val="24"/>
          <w:lang w:val="ru-RU"/>
        </w:rPr>
        <w:t xml:space="preserve">, </w:t>
      </w:r>
      <w:r w:rsidR="00201DAC" w:rsidRPr="009E3EBE">
        <w:rPr>
          <w:rFonts w:ascii="Times New Roman" w:hAnsi="Times New Roman" w:cs="Times New Roman"/>
          <w:sz w:val="24"/>
          <w:szCs w:val="24"/>
          <w:lang w:val="ru-RU"/>
        </w:rPr>
        <w:t>распределенная энергетика, изолированные территории, возобновляемые источники энергии, энергетическая безопасность</w:t>
      </w:r>
      <w:r w:rsidR="00A96300" w:rsidRPr="009E3EBE">
        <w:rPr>
          <w:rFonts w:ascii="Times New Roman" w:hAnsi="Times New Roman" w:cs="Times New Roman"/>
          <w:sz w:val="24"/>
          <w:szCs w:val="24"/>
          <w:lang w:val="ru-RU"/>
        </w:rPr>
        <w:t>.</w:t>
      </w:r>
    </w:p>
    <w:p w14:paraId="17F2299F" w14:textId="7C30342F" w:rsidR="009E3EBE" w:rsidRDefault="009E3EBE" w:rsidP="00387819">
      <w:pPr>
        <w:spacing w:line="240" w:lineRule="auto"/>
        <w:ind w:right="110" w:firstLine="720"/>
        <w:contextualSpacing/>
        <w:jc w:val="both"/>
        <w:rPr>
          <w:rFonts w:ascii="Times New Roman" w:hAnsi="Times New Roman" w:cs="Times New Roman"/>
          <w:sz w:val="24"/>
          <w:szCs w:val="24"/>
          <w:lang w:val="ru-RU"/>
        </w:rPr>
      </w:pPr>
    </w:p>
    <w:p w14:paraId="4E1355FD" w14:textId="77777777" w:rsidR="003110E7" w:rsidRPr="009E3EBE" w:rsidRDefault="003110E7" w:rsidP="003110E7">
      <w:pPr>
        <w:spacing w:line="240" w:lineRule="auto"/>
        <w:ind w:right="110"/>
        <w:contextualSpacing/>
        <w:jc w:val="right"/>
        <w:rPr>
          <w:rFonts w:ascii="Times New Roman" w:hAnsi="Times New Roman" w:cs="Times New Roman"/>
          <w:b/>
          <w:bCs/>
          <w:sz w:val="24"/>
          <w:szCs w:val="24"/>
          <w:lang w:val="en-US"/>
        </w:rPr>
      </w:pPr>
      <w:proofErr w:type="spellStart"/>
      <w:r w:rsidRPr="009E3EBE">
        <w:rPr>
          <w:rFonts w:ascii="Times New Roman" w:hAnsi="Times New Roman" w:cs="Times New Roman"/>
          <w:b/>
          <w:bCs/>
          <w:sz w:val="24"/>
          <w:szCs w:val="24"/>
          <w:lang w:val="en-US"/>
        </w:rPr>
        <w:t>Lenkov</w:t>
      </w:r>
      <w:proofErr w:type="spellEnd"/>
      <w:r w:rsidRPr="009E3EBE">
        <w:rPr>
          <w:rFonts w:ascii="Times New Roman" w:hAnsi="Times New Roman" w:cs="Times New Roman"/>
          <w:b/>
          <w:bCs/>
          <w:sz w:val="24"/>
          <w:szCs w:val="24"/>
          <w:lang w:val="en-US"/>
        </w:rPr>
        <w:t xml:space="preserve"> Daniil </w:t>
      </w:r>
      <w:proofErr w:type="spellStart"/>
      <w:r w:rsidRPr="009E3EBE">
        <w:rPr>
          <w:rFonts w:ascii="Times New Roman" w:hAnsi="Times New Roman" w:cs="Times New Roman"/>
          <w:b/>
          <w:bCs/>
          <w:sz w:val="24"/>
          <w:szCs w:val="24"/>
          <w:lang w:val="en-US"/>
        </w:rPr>
        <w:t>Alexandrovich</w:t>
      </w:r>
      <w:proofErr w:type="spellEnd"/>
    </w:p>
    <w:p w14:paraId="56D6B1DC" w14:textId="13B3E96F" w:rsidR="003110E7" w:rsidRPr="009E3EBE" w:rsidRDefault="003110E7" w:rsidP="003110E7">
      <w:pPr>
        <w:spacing w:line="240" w:lineRule="auto"/>
        <w:ind w:right="110"/>
        <w:contextualSpacing/>
        <w:jc w:val="right"/>
        <w:rPr>
          <w:rFonts w:ascii="Times New Roman" w:hAnsi="Times New Roman" w:cs="Times New Roman"/>
          <w:sz w:val="24"/>
          <w:szCs w:val="24"/>
          <w:lang w:val="en-US"/>
        </w:rPr>
      </w:pPr>
      <w:r w:rsidRPr="009E3EBE">
        <w:rPr>
          <w:rFonts w:ascii="Times New Roman" w:hAnsi="Times New Roman" w:cs="Times New Roman"/>
          <w:sz w:val="24"/>
          <w:szCs w:val="24"/>
          <w:lang w:val="en-US"/>
        </w:rPr>
        <w:t>Plekhanov Russian University of Economics</w:t>
      </w:r>
    </w:p>
    <w:p w14:paraId="057234CB" w14:textId="77777777" w:rsidR="003110E7" w:rsidRPr="009E3EBE" w:rsidRDefault="003110E7" w:rsidP="003110E7">
      <w:pPr>
        <w:spacing w:line="240" w:lineRule="auto"/>
        <w:ind w:right="110"/>
        <w:contextualSpacing/>
        <w:jc w:val="right"/>
        <w:rPr>
          <w:rFonts w:ascii="Times New Roman" w:hAnsi="Times New Roman" w:cs="Times New Roman"/>
          <w:sz w:val="24"/>
          <w:szCs w:val="24"/>
          <w:lang w:val="en-US"/>
        </w:rPr>
      </w:pPr>
      <w:r w:rsidRPr="009E3EBE">
        <w:rPr>
          <w:rFonts w:ascii="Times New Roman" w:hAnsi="Times New Roman" w:cs="Times New Roman"/>
          <w:sz w:val="24"/>
          <w:szCs w:val="24"/>
          <w:lang w:val="en-US"/>
        </w:rPr>
        <w:t>lenkov.da13@gmail.com</w:t>
      </w:r>
    </w:p>
    <w:p w14:paraId="09600A7E" w14:textId="77777777" w:rsidR="003110E7" w:rsidRPr="009E3EBE" w:rsidRDefault="003110E7" w:rsidP="003110E7">
      <w:pPr>
        <w:spacing w:line="240" w:lineRule="auto"/>
        <w:ind w:right="110"/>
        <w:contextualSpacing/>
        <w:jc w:val="right"/>
        <w:rPr>
          <w:rFonts w:ascii="Times New Roman" w:hAnsi="Times New Roman" w:cs="Times New Roman"/>
          <w:sz w:val="24"/>
          <w:szCs w:val="24"/>
          <w:lang w:val="en-US"/>
        </w:rPr>
      </w:pPr>
    </w:p>
    <w:p w14:paraId="447F46D6" w14:textId="77777777" w:rsidR="003110E7" w:rsidRPr="009E3EBE" w:rsidRDefault="003110E7" w:rsidP="003110E7">
      <w:pPr>
        <w:spacing w:line="240" w:lineRule="auto"/>
        <w:ind w:right="110"/>
        <w:contextualSpacing/>
        <w:jc w:val="right"/>
        <w:rPr>
          <w:rFonts w:ascii="Times New Roman" w:hAnsi="Times New Roman" w:cs="Times New Roman"/>
          <w:b/>
          <w:bCs/>
          <w:sz w:val="24"/>
          <w:szCs w:val="24"/>
          <w:lang w:val="en-US"/>
        </w:rPr>
      </w:pPr>
      <w:r w:rsidRPr="009E3EBE">
        <w:rPr>
          <w:rFonts w:ascii="Times New Roman" w:hAnsi="Times New Roman" w:cs="Times New Roman"/>
          <w:b/>
          <w:bCs/>
          <w:sz w:val="24"/>
          <w:szCs w:val="24"/>
          <w:lang w:val="en-US"/>
        </w:rPr>
        <w:t xml:space="preserve">Kozlova Natalya </w:t>
      </w:r>
      <w:proofErr w:type="spellStart"/>
      <w:r w:rsidRPr="009E3EBE">
        <w:rPr>
          <w:rFonts w:ascii="Times New Roman" w:hAnsi="Times New Roman" w:cs="Times New Roman"/>
          <w:b/>
          <w:bCs/>
          <w:sz w:val="24"/>
          <w:szCs w:val="24"/>
          <w:lang w:val="en-US"/>
        </w:rPr>
        <w:t>Evgenievna</w:t>
      </w:r>
      <w:proofErr w:type="spellEnd"/>
    </w:p>
    <w:p w14:paraId="61CD4905" w14:textId="7025EE3F" w:rsidR="003110E7" w:rsidRPr="009E3EBE" w:rsidRDefault="003110E7" w:rsidP="003110E7">
      <w:pPr>
        <w:spacing w:line="240" w:lineRule="auto"/>
        <w:ind w:right="110"/>
        <w:contextualSpacing/>
        <w:jc w:val="right"/>
        <w:rPr>
          <w:rFonts w:ascii="Times New Roman" w:hAnsi="Times New Roman" w:cs="Times New Roman"/>
          <w:sz w:val="24"/>
          <w:szCs w:val="24"/>
          <w:lang w:val="en-US"/>
        </w:rPr>
      </w:pPr>
      <w:r w:rsidRPr="009E3EBE">
        <w:rPr>
          <w:rFonts w:ascii="Times New Roman" w:hAnsi="Times New Roman" w:cs="Times New Roman"/>
          <w:sz w:val="24"/>
          <w:szCs w:val="24"/>
          <w:lang w:val="en-US"/>
        </w:rPr>
        <w:t>Plekhanov Russian University of Economics</w:t>
      </w:r>
    </w:p>
    <w:p w14:paraId="1B773762" w14:textId="77777777" w:rsidR="003110E7" w:rsidRPr="009E3EBE" w:rsidRDefault="003110E7" w:rsidP="003110E7">
      <w:pPr>
        <w:spacing w:line="240" w:lineRule="auto"/>
        <w:ind w:right="110"/>
        <w:contextualSpacing/>
        <w:jc w:val="right"/>
        <w:rPr>
          <w:rFonts w:ascii="Times New Roman" w:hAnsi="Times New Roman" w:cs="Times New Roman"/>
          <w:sz w:val="24"/>
          <w:szCs w:val="24"/>
          <w:lang w:val="en-US"/>
        </w:rPr>
      </w:pPr>
      <w:r w:rsidRPr="009E3EBE">
        <w:rPr>
          <w:rFonts w:ascii="Times New Roman" w:hAnsi="Times New Roman" w:cs="Times New Roman"/>
          <w:sz w:val="24"/>
          <w:szCs w:val="24"/>
          <w:lang w:val="en-US"/>
        </w:rPr>
        <w:t xml:space="preserve">kozlova.rea@mail.ru </w:t>
      </w:r>
    </w:p>
    <w:p w14:paraId="47947A07" w14:textId="77777777" w:rsidR="003110E7" w:rsidRPr="009E3EBE" w:rsidRDefault="003110E7" w:rsidP="003110E7">
      <w:pPr>
        <w:spacing w:line="240" w:lineRule="auto"/>
        <w:ind w:right="110"/>
        <w:contextualSpacing/>
        <w:jc w:val="right"/>
        <w:rPr>
          <w:rFonts w:ascii="Times New Roman" w:hAnsi="Times New Roman" w:cs="Times New Roman"/>
          <w:sz w:val="24"/>
          <w:szCs w:val="24"/>
          <w:lang w:val="en-US"/>
        </w:rPr>
      </w:pPr>
    </w:p>
    <w:p w14:paraId="261A26B3" w14:textId="18381B44" w:rsidR="003110E7" w:rsidRPr="003110E7" w:rsidRDefault="003110E7" w:rsidP="003110E7">
      <w:pPr>
        <w:spacing w:line="240" w:lineRule="auto"/>
        <w:ind w:right="110"/>
        <w:contextualSpacing/>
        <w:jc w:val="right"/>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S</w:t>
      </w:r>
      <w:r w:rsidRPr="003110E7">
        <w:rPr>
          <w:rFonts w:ascii="Times New Roman" w:hAnsi="Times New Roman" w:cs="Times New Roman"/>
          <w:b/>
          <w:bCs/>
          <w:i/>
          <w:iCs/>
          <w:sz w:val="24"/>
          <w:szCs w:val="24"/>
          <w:lang w:val="en-US"/>
        </w:rPr>
        <w:t xml:space="preserve">cientific adviser: </w:t>
      </w:r>
      <w:proofErr w:type="spellStart"/>
      <w:r w:rsidRPr="003110E7">
        <w:rPr>
          <w:rFonts w:ascii="Times New Roman" w:hAnsi="Times New Roman" w:cs="Times New Roman"/>
          <w:b/>
          <w:bCs/>
          <w:i/>
          <w:iCs/>
          <w:sz w:val="24"/>
          <w:szCs w:val="24"/>
          <w:lang w:val="en-US"/>
        </w:rPr>
        <w:t>Bezpalov</w:t>
      </w:r>
      <w:proofErr w:type="spellEnd"/>
      <w:r w:rsidRPr="003110E7">
        <w:rPr>
          <w:rFonts w:ascii="Times New Roman" w:hAnsi="Times New Roman" w:cs="Times New Roman"/>
          <w:b/>
          <w:bCs/>
          <w:i/>
          <w:iCs/>
          <w:sz w:val="24"/>
          <w:szCs w:val="24"/>
          <w:lang w:val="en-US"/>
        </w:rPr>
        <w:t xml:space="preserve"> Valery Vasilyevich</w:t>
      </w:r>
    </w:p>
    <w:p w14:paraId="544B77CB" w14:textId="77777777" w:rsidR="003110E7" w:rsidRPr="009E3EBE" w:rsidRDefault="003110E7" w:rsidP="003110E7">
      <w:pPr>
        <w:spacing w:line="240" w:lineRule="auto"/>
        <w:ind w:right="110"/>
        <w:contextualSpacing/>
        <w:jc w:val="right"/>
        <w:rPr>
          <w:rFonts w:ascii="Times New Roman" w:hAnsi="Times New Roman" w:cs="Times New Roman"/>
          <w:sz w:val="24"/>
          <w:szCs w:val="24"/>
          <w:lang w:val="en-US"/>
        </w:rPr>
      </w:pPr>
      <w:r w:rsidRPr="009E3EBE">
        <w:rPr>
          <w:rFonts w:ascii="Times New Roman" w:hAnsi="Times New Roman" w:cs="Times New Roman"/>
          <w:sz w:val="24"/>
          <w:szCs w:val="24"/>
          <w:lang w:val="en-US"/>
        </w:rPr>
        <w:t xml:space="preserve">D.Sc. (Economics), professor </w:t>
      </w:r>
    </w:p>
    <w:p w14:paraId="6E3F8D9F" w14:textId="77777777" w:rsidR="003110E7" w:rsidRPr="009E3EBE" w:rsidRDefault="003110E7" w:rsidP="003110E7">
      <w:pPr>
        <w:spacing w:line="240" w:lineRule="auto"/>
        <w:ind w:right="110"/>
        <w:contextualSpacing/>
        <w:jc w:val="right"/>
        <w:rPr>
          <w:rFonts w:ascii="Times New Roman" w:hAnsi="Times New Roman" w:cs="Times New Roman"/>
          <w:sz w:val="24"/>
          <w:szCs w:val="24"/>
          <w:lang w:val="en-US"/>
        </w:rPr>
      </w:pPr>
      <w:r w:rsidRPr="009E3EBE">
        <w:rPr>
          <w:rFonts w:ascii="Times New Roman" w:hAnsi="Times New Roman" w:cs="Times New Roman"/>
          <w:sz w:val="24"/>
          <w:szCs w:val="24"/>
          <w:lang w:val="en-US"/>
        </w:rPr>
        <w:t xml:space="preserve">Department of National and Regional Economics </w:t>
      </w:r>
    </w:p>
    <w:p w14:paraId="604EE77B" w14:textId="196539A0" w:rsidR="003110E7" w:rsidRDefault="003110E7" w:rsidP="003110E7">
      <w:pPr>
        <w:spacing w:line="240" w:lineRule="auto"/>
        <w:ind w:right="110" w:firstLine="720"/>
        <w:contextualSpacing/>
        <w:jc w:val="right"/>
        <w:rPr>
          <w:rFonts w:ascii="Times New Roman" w:hAnsi="Times New Roman" w:cs="Times New Roman"/>
          <w:sz w:val="24"/>
          <w:szCs w:val="24"/>
          <w:lang w:val="ru-RU"/>
        </w:rPr>
      </w:pPr>
      <w:proofErr w:type="spellStart"/>
      <w:r w:rsidRPr="009E3EBE">
        <w:rPr>
          <w:rFonts w:ascii="Times New Roman" w:hAnsi="Times New Roman" w:cs="Times New Roman"/>
          <w:sz w:val="24"/>
          <w:szCs w:val="24"/>
          <w:lang w:val="ru-RU"/>
        </w:rPr>
        <w:t>Plekhanov</w:t>
      </w:r>
      <w:proofErr w:type="spellEnd"/>
      <w:r w:rsidRPr="009E3EBE">
        <w:rPr>
          <w:rFonts w:ascii="Times New Roman" w:hAnsi="Times New Roman" w:cs="Times New Roman"/>
          <w:sz w:val="24"/>
          <w:szCs w:val="24"/>
          <w:lang w:val="ru-RU"/>
        </w:rPr>
        <w:t xml:space="preserve"> Russian University </w:t>
      </w:r>
      <w:proofErr w:type="spellStart"/>
      <w:r w:rsidRPr="009E3EBE">
        <w:rPr>
          <w:rFonts w:ascii="Times New Roman" w:hAnsi="Times New Roman" w:cs="Times New Roman"/>
          <w:sz w:val="24"/>
          <w:szCs w:val="24"/>
          <w:lang w:val="ru-RU"/>
        </w:rPr>
        <w:t>of</w:t>
      </w:r>
      <w:proofErr w:type="spellEnd"/>
      <w:r w:rsidRPr="009E3EBE">
        <w:rPr>
          <w:rFonts w:ascii="Times New Roman" w:hAnsi="Times New Roman" w:cs="Times New Roman"/>
          <w:sz w:val="24"/>
          <w:szCs w:val="24"/>
          <w:lang w:val="ru-RU"/>
        </w:rPr>
        <w:t xml:space="preserve"> Economics</w:t>
      </w:r>
    </w:p>
    <w:p w14:paraId="5B6071CF" w14:textId="1DFB055E" w:rsidR="003110E7" w:rsidRPr="009E3EBE" w:rsidRDefault="003110E7" w:rsidP="003110E7">
      <w:pPr>
        <w:spacing w:line="240" w:lineRule="auto"/>
        <w:ind w:right="110" w:firstLine="720"/>
        <w:contextualSpacing/>
        <w:jc w:val="right"/>
        <w:rPr>
          <w:rFonts w:ascii="Times New Roman" w:hAnsi="Times New Roman" w:cs="Times New Roman"/>
          <w:sz w:val="24"/>
          <w:szCs w:val="24"/>
          <w:lang w:val="ru-RU"/>
        </w:rPr>
      </w:pPr>
      <w:r>
        <w:rPr>
          <w:rFonts w:ascii="Times New Roman" w:hAnsi="Times New Roman" w:cs="Times New Roman"/>
          <w:sz w:val="24"/>
          <w:szCs w:val="24"/>
          <w:lang w:val="ru-RU"/>
        </w:rPr>
        <w:tab/>
      </w:r>
    </w:p>
    <w:p w14:paraId="6E3C81F2" w14:textId="6EDF00D7" w:rsidR="003110E7" w:rsidRPr="003110E7" w:rsidRDefault="009E3EBE" w:rsidP="003110E7">
      <w:pPr>
        <w:spacing w:line="240" w:lineRule="auto"/>
        <w:ind w:right="110"/>
        <w:contextualSpacing/>
        <w:jc w:val="center"/>
        <w:rPr>
          <w:rFonts w:ascii="Times New Roman" w:hAnsi="Times New Roman" w:cs="Times New Roman"/>
          <w:b/>
          <w:bCs/>
          <w:sz w:val="28"/>
          <w:szCs w:val="28"/>
          <w:lang w:val="en-US"/>
        </w:rPr>
      </w:pPr>
      <w:r w:rsidRPr="009E3EBE">
        <w:rPr>
          <w:rFonts w:ascii="Times New Roman" w:hAnsi="Times New Roman" w:cs="Times New Roman"/>
          <w:b/>
          <w:bCs/>
          <w:sz w:val="28"/>
          <w:szCs w:val="28"/>
          <w:lang w:val="en-US"/>
        </w:rPr>
        <w:t>Planning the development of decentralized electric power systems as a factor of increasing the energy security of isolated territories on the example of the Sakha Republic</w:t>
      </w:r>
    </w:p>
    <w:p w14:paraId="2AD08814" w14:textId="77777777" w:rsidR="003110E7" w:rsidRDefault="003110E7" w:rsidP="00387819">
      <w:pPr>
        <w:spacing w:line="240" w:lineRule="auto"/>
        <w:ind w:right="110" w:firstLine="720"/>
        <w:contextualSpacing/>
        <w:jc w:val="both"/>
        <w:rPr>
          <w:rFonts w:ascii="Times New Roman" w:hAnsi="Times New Roman" w:cs="Times New Roman"/>
          <w:b/>
          <w:bCs/>
          <w:sz w:val="24"/>
          <w:szCs w:val="24"/>
          <w:lang w:val="en-US"/>
        </w:rPr>
      </w:pPr>
    </w:p>
    <w:p w14:paraId="12B4B057" w14:textId="5E5FA63E" w:rsidR="009E3EBE" w:rsidRPr="009E3EBE" w:rsidRDefault="009E3EBE" w:rsidP="009E3EBE">
      <w:pPr>
        <w:spacing w:line="240" w:lineRule="auto"/>
        <w:ind w:right="110" w:firstLine="720"/>
        <w:contextualSpacing/>
        <w:jc w:val="both"/>
        <w:rPr>
          <w:rFonts w:ascii="Times New Roman" w:hAnsi="Times New Roman" w:cs="Times New Roman"/>
          <w:sz w:val="24"/>
          <w:szCs w:val="24"/>
          <w:lang w:val="en-US"/>
        </w:rPr>
      </w:pPr>
      <w:r w:rsidRPr="009E3EBE">
        <w:rPr>
          <w:rFonts w:ascii="Times New Roman" w:hAnsi="Times New Roman" w:cs="Times New Roman"/>
          <w:b/>
          <w:bCs/>
          <w:sz w:val="24"/>
          <w:szCs w:val="24"/>
          <w:lang w:val="en-US"/>
        </w:rPr>
        <w:t>Abstract:</w:t>
      </w:r>
      <w:r w:rsidRPr="009E3EBE">
        <w:rPr>
          <w:rFonts w:ascii="Times New Roman" w:hAnsi="Times New Roman" w:cs="Times New Roman"/>
          <w:sz w:val="24"/>
          <w:szCs w:val="24"/>
          <w:lang w:val="en-US"/>
        </w:rPr>
        <w:t xml:space="preserve"> the article examines the state of energy security of the isolated territories of the Sakha Republic, as well as the system of decentralized electric energy that has developed there. The ways of financing projects in the field of decentralized electric power industry are analyzed. Measures are proposed to </w:t>
      </w:r>
      <w:r w:rsidRPr="009E3EBE">
        <w:rPr>
          <w:rFonts w:ascii="Times New Roman" w:hAnsi="Times New Roman" w:cs="Times New Roman"/>
          <w:sz w:val="24"/>
          <w:szCs w:val="24"/>
          <w:lang w:val="en-US"/>
        </w:rPr>
        <w:tab/>
        <w:t>improve the efficiency of the existing distributed generation system to reduce threats to energy security, including through renewable energy sources.</w:t>
      </w:r>
    </w:p>
    <w:p w14:paraId="2C3A254F" w14:textId="77777777" w:rsidR="009E3EBE" w:rsidRDefault="009E3EBE" w:rsidP="00387819">
      <w:pPr>
        <w:spacing w:line="240" w:lineRule="auto"/>
        <w:ind w:right="110" w:firstLine="720"/>
        <w:contextualSpacing/>
        <w:jc w:val="both"/>
        <w:rPr>
          <w:rFonts w:ascii="Times New Roman" w:hAnsi="Times New Roman" w:cs="Times New Roman"/>
          <w:b/>
          <w:bCs/>
          <w:sz w:val="24"/>
          <w:szCs w:val="24"/>
          <w:lang w:val="en-US"/>
        </w:rPr>
      </w:pPr>
    </w:p>
    <w:p w14:paraId="2E039C85" w14:textId="40337FA5" w:rsidR="002B6930" w:rsidRPr="009E3EBE" w:rsidRDefault="002B6930" w:rsidP="00387819">
      <w:pPr>
        <w:spacing w:line="240" w:lineRule="auto"/>
        <w:ind w:right="110" w:firstLine="720"/>
        <w:contextualSpacing/>
        <w:jc w:val="both"/>
        <w:rPr>
          <w:rFonts w:ascii="Times New Roman" w:hAnsi="Times New Roman" w:cs="Times New Roman"/>
          <w:sz w:val="24"/>
          <w:szCs w:val="24"/>
          <w:lang w:val="en-US"/>
        </w:rPr>
      </w:pPr>
      <w:r w:rsidRPr="009E3EBE">
        <w:rPr>
          <w:rFonts w:ascii="Times New Roman" w:hAnsi="Times New Roman" w:cs="Times New Roman"/>
          <w:b/>
          <w:bCs/>
          <w:sz w:val="24"/>
          <w:szCs w:val="24"/>
          <w:lang w:val="en-US"/>
        </w:rPr>
        <w:t>Keywords</w:t>
      </w:r>
      <w:r w:rsidRPr="009E3EBE">
        <w:rPr>
          <w:rFonts w:ascii="Times New Roman" w:hAnsi="Times New Roman" w:cs="Times New Roman"/>
          <w:sz w:val="24"/>
          <w:szCs w:val="24"/>
          <w:lang w:val="en-US"/>
        </w:rPr>
        <w:t>: unified energy system, distributed energy, isolated territories, renewable energy sources, energy security.</w:t>
      </w:r>
    </w:p>
    <w:p w14:paraId="7363BE36" w14:textId="77777777" w:rsidR="00387819" w:rsidRPr="009E3EBE" w:rsidRDefault="00387819" w:rsidP="00387819">
      <w:pPr>
        <w:spacing w:line="240" w:lineRule="auto"/>
        <w:ind w:right="110" w:firstLine="720"/>
        <w:contextualSpacing/>
        <w:jc w:val="both"/>
        <w:rPr>
          <w:rFonts w:ascii="Times New Roman" w:hAnsi="Times New Roman" w:cs="Times New Roman"/>
          <w:b/>
          <w:bCs/>
          <w:sz w:val="24"/>
          <w:szCs w:val="24"/>
          <w:lang w:val="en-US"/>
        </w:rPr>
      </w:pPr>
    </w:p>
    <w:p w14:paraId="689D6D21" w14:textId="255CDAE1" w:rsidR="00C65CF0" w:rsidRPr="009E3EBE" w:rsidRDefault="00AC61C3" w:rsidP="00A25CAB">
      <w:pPr>
        <w:spacing w:line="240" w:lineRule="auto"/>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en-US"/>
        </w:rPr>
        <w:tab/>
      </w:r>
      <w:r w:rsidRPr="009E3EBE">
        <w:rPr>
          <w:rFonts w:ascii="Times New Roman" w:eastAsia="Times New Roman" w:hAnsi="Times New Roman" w:cs="Times New Roman"/>
          <w:sz w:val="24"/>
          <w:szCs w:val="24"/>
          <w:lang w:val="ru-RU"/>
        </w:rPr>
        <w:t>На состояние энергетической безопасности оказывают влияние</w:t>
      </w:r>
      <w:r w:rsidR="00313C58" w:rsidRPr="009E3EBE">
        <w:rPr>
          <w:rFonts w:ascii="Times New Roman" w:eastAsia="Times New Roman" w:hAnsi="Times New Roman" w:cs="Times New Roman"/>
          <w:sz w:val="24"/>
          <w:szCs w:val="24"/>
          <w:lang w:val="ru-RU"/>
        </w:rPr>
        <w:t xml:space="preserve"> </w:t>
      </w:r>
      <w:r w:rsidR="006A37C5" w:rsidRPr="009E3EBE">
        <w:rPr>
          <w:rFonts w:ascii="Times New Roman" w:eastAsia="Times New Roman" w:hAnsi="Times New Roman" w:cs="Times New Roman"/>
          <w:sz w:val="24"/>
          <w:szCs w:val="24"/>
          <w:lang w:val="ru-RU"/>
        </w:rPr>
        <w:t>геополитические условия, сформировавшиеся на международной арене на фоне непрекращающегося финансово-экономического кризиса</w:t>
      </w:r>
      <w:r w:rsidR="00313C58" w:rsidRPr="009E3EBE">
        <w:rPr>
          <w:rFonts w:ascii="Times New Roman" w:eastAsia="Times New Roman" w:hAnsi="Times New Roman" w:cs="Times New Roman"/>
          <w:sz w:val="24"/>
          <w:szCs w:val="24"/>
          <w:lang w:val="ru-RU"/>
        </w:rPr>
        <w:t>, а также</w:t>
      </w:r>
      <w:r w:rsidR="006A37C5" w:rsidRPr="009E3EBE">
        <w:rPr>
          <w:rFonts w:ascii="Times New Roman" w:eastAsia="Times New Roman" w:hAnsi="Times New Roman" w:cs="Times New Roman"/>
          <w:sz w:val="24"/>
          <w:szCs w:val="24"/>
          <w:lang w:val="ru-RU"/>
        </w:rPr>
        <w:t xml:space="preserve"> геополитическое противостояние, переросшее в санкционное давление со стороны стран Запада</w:t>
      </w:r>
      <w:r w:rsidR="00D23DC4" w:rsidRPr="009E3EBE">
        <w:rPr>
          <w:rFonts w:ascii="Times New Roman" w:eastAsia="Times New Roman" w:hAnsi="Times New Roman" w:cs="Times New Roman"/>
          <w:sz w:val="24"/>
          <w:szCs w:val="24"/>
          <w:lang w:val="ru-RU"/>
        </w:rPr>
        <w:t>,</w:t>
      </w:r>
      <w:r w:rsidR="006A37C5" w:rsidRPr="009E3EBE">
        <w:rPr>
          <w:rFonts w:ascii="Times New Roman" w:eastAsia="Times New Roman" w:hAnsi="Times New Roman" w:cs="Times New Roman"/>
          <w:sz w:val="24"/>
          <w:szCs w:val="24"/>
          <w:lang w:val="ru-RU"/>
        </w:rPr>
        <w:t xml:space="preserve"> технологические ограничения. </w:t>
      </w:r>
      <w:r w:rsidR="00C600BC" w:rsidRPr="009E3EBE">
        <w:rPr>
          <w:rFonts w:ascii="Times New Roman" w:eastAsia="Times New Roman" w:hAnsi="Times New Roman" w:cs="Times New Roman"/>
          <w:sz w:val="24"/>
          <w:szCs w:val="24"/>
          <w:lang w:val="ru-RU"/>
        </w:rPr>
        <w:t xml:space="preserve">В свою очередь, </w:t>
      </w:r>
      <w:r w:rsidR="00313C58" w:rsidRPr="009E3EBE">
        <w:rPr>
          <w:rFonts w:ascii="Times New Roman" w:eastAsia="Times New Roman" w:hAnsi="Times New Roman" w:cs="Times New Roman"/>
          <w:sz w:val="24"/>
          <w:szCs w:val="24"/>
          <w:lang w:val="ru-RU"/>
        </w:rPr>
        <w:t>отягощает ситуацию нерациональный</w:t>
      </w:r>
      <w:r w:rsidR="006A37C5" w:rsidRPr="009E3EBE">
        <w:rPr>
          <w:rFonts w:ascii="Times New Roman" w:eastAsia="Times New Roman" w:hAnsi="Times New Roman" w:cs="Times New Roman"/>
          <w:sz w:val="24"/>
          <w:szCs w:val="24"/>
          <w:lang w:val="ru-RU"/>
        </w:rPr>
        <w:t xml:space="preserve"> выбор сырьевой модели экономики, а также неэффективное государственное управление. </w:t>
      </w:r>
      <w:r w:rsidR="00313C58" w:rsidRPr="009E3EBE">
        <w:rPr>
          <w:rFonts w:ascii="Times New Roman" w:eastAsia="Times New Roman" w:hAnsi="Times New Roman" w:cs="Times New Roman"/>
          <w:sz w:val="24"/>
          <w:szCs w:val="24"/>
          <w:lang w:val="ru-RU"/>
        </w:rPr>
        <w:t xml:space="preserve">Результатом стало </w:t>
      </w:r>
      <w:r w:rsidR="006A37C5" w:rsidRPr="009E3EBE">
        <w:rPr>
          <w:rFonts w:ascii="Times New Roman" w:eastAsia="Times New Roman" w:hAnsi="Times New Roman" w:cs="Times New Roman"/>
          <w:sz w:val="24"/>
          <w:szCs w:val="24"/>
          <w:lang w:val="ru-RU"/>
        </w:rPr>
        <w:t>появлени</w:t>
      </w:r>
      <w:r w:rsidR="00313C58" w:rsidRPr="009E3EBE">
        <w:rPr>
          <w:rFonts w:ascii="Times New Roman" w:eastAsia="Times New Roman" w:hAnsi="Times New Roman" w:cs="Times New Roman"/>
          <w:sz w:val="24"/>
          <w:szCs w:val="24"/>
          <w:lang w:val="ru-RU"/>
        </w:rPr>
        <w:t>е</w:t>
      </w:r>
      <w:r w:rsidR="006A37C5" w:rsidRPr="009E3EBE">
        <w:rPr>
          <w:rFonts w:ascii="Times New Roman" w:eastAsia="Times New Roman" w:hAnsi="Times New Roman" w:cs="Times New Roman"/>
          <w:sz w:val="24"/>
          <w:szCs w:val="24"/>
          <w:lang w:val="ru-RU"/>
        </w:rPr>
        <w:t xml:space="preserve"> ряда проблем в сфере территориального планирования, а именно</w:t>
      </w:r>
      <w:r w:rsidR="00313C58" w:rsidRPr="009E3EBE">
        <w:rPr>
          <w:rFonts w:ascii="Times New Roman" w:eastAsia="Times New Roman" w:hAnsi="Times New Roman" w:cs="Times New Roman"/>
          <w:sz w:val="24"/>
          <w:szCs w:val="24"/>
          <w:lang w:val="ru-RU"/>
        </w:rPr>
        <w:t xml:space="preserve"> </w:t>
      </w:r>
      <w:r w:rsidR="00554326" w:rsidRPr="009E3EBE">
        <w:rPr>
          <w:rFonts w:ascii="Times New Roman" w:eastAsia="Times New Roman" w:hAnsi="Times New Roman" w:cs="Times New Roman"/>
          <w:sz w:val="24"/>
          <w:szCs w:val="24"/>
          <w:lang w:val="ru-RU"/>
        </w:rPr>
        <w:t>недостат</w:t>
      </w:r>
      <w:r w:rsidR="00313C58" w:rsidRPr="009E3EBE">
        <w:rPr>
          <w:rFonts w:ascii="Times New Roman" w:eastAsia="Times New Roman" w:hAnsi="Times New Roman" w:cs="Times New Roman"/>
          <w:sz w:val="24"/>
          <w:szCs w:val="24"/>
          <w:lang w:val="ru-RU"/>
        </w:rPr>
        <w:t>ок</w:t>
      </w:r>
      <w:r w:rsidR="00554326" w:rsidRPr="009E3EBE">
        <w:rPr>
          <w:rFonts w:ascii="Times New Roman" w:eastAsia="Times New Roman" w:hAnsi="Times New Roman" w:cs="Times New Roman"/>
          <w:sz w:val="24"/>
          <w:szCs w:val="24"/>
          <w:lang w:val="ru-RU"/>
        </w:rPr>
        <w:t xml:space="preserve"> </w:t>
      </w:r>
      <w:r w:rsidR="006A37C5" w:rsidRPr="009E3EBE">
        <w:rPr>
          <w:rFonts w:ascii="Times New Roman" w:eastAsia="Times New Roman" w:hAnsi="Times New Roman" w:cs="Times New Roman"/>
          <w:sz w:val="24"/>
          <w:szCs w:val="24"/>
          <w:lang w:val="ru-RU"/>
        </w:rPr>
        <w:t>денежных средств для осуществления деятельности по планированию</w:t>
      </w:r>
      <w:r w:rsidR="00554326" w:rsidRPr="009E3EBE">
        <w:rPr>
          <w:rFonts w:ascii="Times New Roman" w:eastAsia="Times New Roman" w:hAnsi="Times New Roman" w:cs="Times New Roman"/>
          <w:sz w:val="24"/>
          <w:szCs w:val="24"/>
          <w:lang w:val="ru-RU"/>
        </w:rPr>
        <w:t xml:space="preserve"> развития территорией</w:t>
      </w:r>
      <w:r w:rsidR="00B5043E" w:rsidRPr="009E3EBE">
        <w:rPr>
          <w:rFonts w:ascii="Times New Roman" w:eastAsia="Times New Roman" w:hAnsi="Times New Roman" w:cs="Times New Roman"/>
          <w:sz w:val="24"/>
          <w:szCs w:val="24"/>
          <w:lang w:val="ru-RU"/>
        </w:rPr>
        <w:t>, региональн</w:t>
      </w:r>
      <w:r w:rsidR="00313C58" w:rsidRPr="009E3EBE">
        <w:rPr>
          <w:rFonts w:ascii="Times New Roman" w:eastAsia="Times New Roman" w:hAnsi="Times New Roman" w:cs="Times New Roman"/>
          <w:sz w:val="24"/>
          <w:szCs w:val="24"/>
          <w:lang w:val="ru-RU"/>
        </w:rPr>
        <w:t>ая</w:t>
      </w:r>
      <w:r w:rsidR="00B5043E" w:rsidRPr="009E3EBE">
        <w:rPr>
          <w:rFonts w:ascii="Times New Roman" w:eastAsia="Times New Roman" w:hAnsi="Times New Roman" w:cs="Times New Roman"/>
          <w:sz w:val="24"/>
          <w:szCs w:val="24"/>
          <w:lang w:val="ru-RU"/>
        </w:rPr>
        <w:t xml:space="preserve"> дифференци</w:t>
      </w:r>
      <w:r w:rsidR="00313C58" w:rsidRPr="009E3EBE">
        <w:rPr>
          <w:rFonts w:ascii="Times New Roman" w:eastAsia="Times New Roman" w:hAnsi="Times New Roman" w:cs="Times New Roman"/>
          <w:sz w:val="24"/>
          <w:szCs w:val="24"/>
          <w:lang w:val="ru-RU"/>
        </w:rPr>
        <w:t>я</w:t>
      </w:r>
      <w:r w:rsidR="00B5043E" w:rsidRPr="009E3EBE">
        <w:rPr>
          <w:rFonts w:ascii="Times New Roman" w:eastAsia="Times New Roman" w:hAnsi="Times New Roman" w:cs="Times New Roman"/>
          <w:sz w:val="24"/>
          <w:szCs w:val="24"/>
          <w:lang w:val="ru-RU"/>
        </w:rPr>
        <w:t xml:space="preserve"> и потер</w:t>
      </w:r>
      <w:r w:rsidR="00313C58" w:rsidRPr="009E3EBE">
        <w:rPr>
          <w:rFonts w:ascii="Times New Roman" w:eastAsia="Times New Roman" w:hAnsi="Times New Roman" w:cs="Times New Roman"/>
          <w:sz w:val="24"/>
          <w:szCs w:val="24"/>
          <w:lang w:val="ru-RU"/>
        </w:rPr>
        <w:t>я</w:t>
      </w:r>
      <w:r w:rsidR="00B5043E" w:rsidRPr="009E3EBE">
        <w:rPr>
          <w:rFonts w:ascii="Times New Roman" w:eastAsia="Times New Roman" w:hAnsi="Times New Roman" w:cs="Times New Roman"/>
          <w:sz w:val="24"/>
          <w:szCs w:val="24"/>
          <w:lang w:val="ru-RU"/>
        </w:rPr>
        <w:t xml:space="preserve"> конкурентоспособности отдельных регионов. В связи с этим перед правительством России стоит задача по поиску способов, методов и механизмов, которые бы обеспечили разрешение перечисленных проблем и </w:t>
      </w:r>
      <w:r w:rsidR="00554326" w:rsidRPr="009E3EBE">
        <w:rPr>
          <w:rFonts w:ascii="Times New Roman" w:eastAsia="Times New Roman" w:hAnsi="Times New Roman" w:cs="Times New Roman"/>
          <w:sz w:val="24"/>
          <w:szCs w:val="24"/>
          <w:lang w:val="ru-RU"/>
        </w:rPr>
        <w:t xml:space="preserve">привели к </w:t>
      </w:r>
      <w:r w:rsidR="00B5043E" w:rsidRPr="009E3EBE">
        <w:rPr>
          <w:rFonts w:ascii="Times New Roman" w:eastAsia="Times New Roman" w:hAnsi="Times New Roman" w:cs="Times New Roman"/>
          <w:sz w:val="24"/>
          <w:szCs w:val="24"/>
          <w:lang w:val="ru-RU"/>
        </w:rPr>
        <w:t>устойчиво</w:t>
      </w:r>
      <w:r w:rsidR="00554326" w:rsidRPr="009E3EBE">
        <w:rPr>
          <w:rFonts w:ascii="Times New Roman" w:eastAsia="Times New Roman" w:hAnsi="Times New Roman" w:cs="Times New Roman"/>
          <w:sz w:val="24"/>
          <w:szCs w:val="24"/>
          <w:lang w:val="ru-RU"/>
        </w:rPr>
        <w:t>му</w:t>
      </w:r>
      <w:r w:rsidR="00B5043E" w:rsidRPr="009E3EBE">
        <w:rPr>
          <w:rFonts w:ascii="Times New Roman" w:eastAsia="Times New Roman" w:hAnsi="Times New Roman" w:cs="Times New Roman"/>
          <w:sz w:val="24"/>
          <w:szCs w:val="24"/>
          <w:lang w:val="ru-RU"/>
        </w:rPr>
        <w:t xml:space="preserve"> развити</w:t>
      </w:r>
      <w:r w:rsidR="00554326" w:rsidRPr="009E3EBE">
        <w:rPr>
          <w:rFonts w:ascii="Times New Roman" w:eastAsia="Times New Roman" w:hAnsi="Times New Roman" w:cs="Times New Roman"/>
          <w:sz w:val="24"/>
          <w:szCs w:val="24"/>
          <w:lang w:val="ru-RU"/>
        </w:rPr>
        <w:t>ю</w:t>
      </w:r>
      <w:r w:rsidR="00B5043E" w:rsidRPr="009E3EBE">
        <w:rPr>
          <w:rFonts w:ascii="Times New Roman" w:eastAsia="Times New Roman" w:hAnsi="Times New Roman" w:cs="Times New Roman"/>
          <w:sz w:val="24"/>
          <w:szCs w:val="24"/>
          <w:lang w:val="ru-RU"/>
        </w:rPr>
        <w:t xml:space="preserve"> государства. Одним из способов является планирование </w:t>
      </w:r>
      <w:r w:rsidR="00C65CF0" w:rsidRPr="009E3EBE">
        <w:rPr>
          <w:rFonts w:ascii="Times New Roman" w:eastAsia="Times New Roman" w:hAnsi="Times New Roman" w:cs="Times New Roman"/>
          <w:sz w:val="24"/>
          <w:szCs w:val="24"/>
          <w:lang w:val="ru-RU"/>
        </w:rPr>
        <w:t xml:space="preserve">развития </w:t>
      </w:r>
      <w:r w:rsidR="00B5043E" w:rsidRPr="009E3EBE">
        <w:rPr>
          <w:rFonts w:ascii="Times New Roman" w:eastAsia="Times New Roman" w:hAnsi="Times New Roman" w:cs="Times New Roman"/>
          <w:sz w:val="24"/>
          <w:szCs w:val="24"/>
          <w:lang w:val="ru-RU"/>
        </w:rPr>
        <w:t>децентрализованных электроэнергетических систем, в том числе на изолированных территориях Дальнего Востока.</w:t>
      </w:r>
    </w:p>
    <w:p w14:paraId="291AA344" w14:textId="2ED9CE7C" w:rsidR="00AC61C3" w:rsidRPr="009E3EBE" w:rsidRDefault="00F21AC7" w:rsidP="009D23E6">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Э</w:t>
      </w:r>
      <w:r w:rsidR="00AC61C3" w:rsidRPr="009E3EBE">
        <w:rPr>
          <w:rFonts w:ascii="Times New Roman" w:eastAsia="Times New Roman" w:hAnsi="Times New Roman" w:cs="Times New Roman"/>
          <w:sz w:val="24"/>
          <w:szCs w:val="24"/>
          <w:lang w:val="ru-RU"/>
        </w:rPr>
        <w:t xml:space="preserve">лектроэнергетика является основополагающей отраслью в народном хозяйстве нашей страны. От обеспечения надежного, эффективного и безопасного снабжения электроэнергией потребителей зависит развитие всей экономики. Вместе с тем, не менее важным является процесс планирования в электроэнергетике, который осуществляется при помощи разработки ряда документов (Генеральной схемы размещения объектов электроэнергетики, Схемы и программы развития </w:t>
      </w:r>
      <w:r w:rsidR="00313C58" w:rsidRPr="009E3EBE">
        <w:rPr>
          <w:rFonts w:ascii="Times New Roman" w:eastAsia="Times New Roman" w:hAnsi="Times New Roman" w:cs="Times New Roman"/>
          <w:sz w:val="24"/>
          <w:szCs w:val="24"/>
          <w:lang w:val="ru-RU"/>
        </w:rPr>
        <w:t xml:space="preserve">единой энергетической системы (далее – </w:t>
      </w:r>
      <w:r w:rsidR="00AC61C3" w:rsidRPr="009E3EBE">
        <w:rPr>
          <w:rFonts w:ascii="Times New Roman" w:eastAsia="Times New Roman" w:hAnsi="Times New Roman" w:cs="Times New Roman"/>
          <w:sz w:val="24"/>
          <w:szCs w:val="24"/>
          <w:lang w:val="ru-RU"/>
        </w:rPr>
        <w:t>ЕЭС</w:t>
      </w:r>
      <w:r w:rsidR="00313C58" w:rsidRPr="009E3EBE">
        <w:rPr>
          <w:rFonts w:ascii="Times New Roman" w:eastAsia="Times New Roman" w:hAnsi="Times New Roman" w:cs="Times New Roman"/>
          <w:sz w:val="24"/>
          <w:szCs w:val="24"/>
          <w:lang w:val="ru-RU"/>
        </w:rPr>
        <w:t>)</w:t>
      </w:r>
      <w:r w:rsidR="00AC61C3" w:rsidRPr="009E3EBE">
        <w:rPr>
          <w:rFonts w:ascii="Times New Roman" w:eastAsia="Times New Roman" w:hAnsi="Times New Roman" w:cs="Times New Roman"/>
          <w:color w:val="FF0000"/>
          <w:sz w:val="24"/>
          <w:szCs w:val="24"/>
          <w:lang w:val="ru-RU"/>
        </w:rPr>
        <w:t xml:space="preserve"> </w:t>
      </w:r>
      <w:r w:rsidR="00AC61C3" w:rsidRPr="009E3EBE">
        <w:rPr>
          <w:rFonts w:ascii="Times New Roman" w:eastAsia="Times New Roman" w:hAnsi="Times New Roman" w:cs="Times New Roman"/>
          <w:sz w:val="24"/>
          <w:szCs w:val="24"/>
          <w:lang w:val="ru-RU"/>
        </w:rPr>
        <w:t xml:space="preserve">России, </w:t>
      </w:r>
      <w:r w:rsidR="00D23DC4" w:rsidRPr="009E3EBE">
        <w:rPr>
          <w:rFonts w:ascii="Times New Roman" w:eastAsia="Times New Roman" w:hAnsi="Times New Roman" w:cs="Times New Roman"/>
          <w:sz w:val="24"/>
          <w:szCs w:val="24"/>
          <w:lang w:val="ru-RU"/>
        </w:rPr>
        <w:t>с</w:t>
      </w:r>
      <w:r w:rsidR="00AC61C3" w:rsidRPr="009E3EBE">
        <w:rPr>
          <w:rFonts w:ascii="Times New Roman" w:eastAsia="Times New Roman" w:hAnsi="Times New Roman" w:cs="Times New Roman"/>
          <w:sz w:val="24"/>
          <w:szCs w:val="24"/>
          <w:lang w:val="ru-RU"/>
        </w:rPr>
        <w:t xml:space="preserve">хем и программ развития субъекта РФ - </w:t>
      </w:r>
      <w:proofErr w:type="spellStart"/>
      <w:r w:rsidR="00AC61C3" w:rsidRPr="009E3EBE">
        <w:rPr>
          <w:rFonts w:ascii="Times New Roman" w:eastAsia="Times New Roman" w:hAnsi="Times New Roman" w:cs="Times New Roman"/>
          <w:sz w:val="24"/>
          <w:szCs w:val="24"/>
          <w:lang w:val="ru-RU"/>
        </w:rPr>
        <w:t>СиПР</w:t>
      </w:r>
      <w:proofErr w:type="spellEnd"/>
      <w:r w:rsidR="00AC61C3" w:rsidRPr="009E3EBE">
        <w:rPr>
          <w:rFonts w:ascii="Times New Roman" w:eastAsia="Times New Roman" w:hAnsi="Times New Roman" w:cs="Times New Roman"/>
          <w:sz w:val="24"/>
          <w:szCs w:val="24"/>
          <w:lang w:val="ru-RU"/>
        </w:rPr>
        <w:t xml:space="preserve">). Тем не менее, важно упомянуть, что в действующие правила были внесены изменения согласно Федеральному закону № 174-ФЗ, который предполагает дальнейший отказ от разработки </w:t>
      </w:r>
      <w:proofErr w:type="spellStart"/>
      <w:r w:rsidR="00AC61C3" w:rsidRPr="009E3EBE">
        <w:rPr>
          <w:rFonts w:ascii="Times New Roman" w:eastAsia="Times New Roman" w:hAnsi="Times New Roman" w:cs="Times New Roman"/>
          <w:sz w:val="24"/>
          <w:szCs w:val="24"/>
          <w:lang w:val="ru-RU"/>
        </w:rPr>
        <w:t>СиПР</w:t>
      </w:r>
      <w:proofErr w:type="spellEnd"/>
      <w:r w:rsidR="00AC61C3" w:rsidRPr="009E3EBE">
        <w:rPr>
          <w:rFonts w:ascii="Times New Roman" w:eastAsia="Times New Roman" w:hAnsi="Times New Roman" w:cs="Times New Roman"/>
          <w:sz w:val="24"/>
          <w:szCs w:val="24"/>
          <w:lang w:val="ru-RU"/>
        </w:rPr>
        <w:t xml:space="preserve"> субъектов и передачу полномочий по центральному планированию Системному Оператору ЕЭС</w:t>
      </w:r>
      <w:r w:rsidR="00D23DC4" w:rsidRPr="009E3EBE">
        <w:rPr>
          <w:rFonts w:ascii="Times New Roman" w:eastAsia="Times New Roman" w:hAnsi="Times New Roman" w:cs="Times New Roman"/>
          <w:sz w:val="24"/>
          <w:szCs w:val="24"/>
          <w:lang w:val="ru-RU"/>
        </w:rPr>
        <w:t xml:space="preserve"> </w:t>
      </w:r>
      <w:r w:rsidR="00D23DC4" w:rsidRPr="009E3EBE">
        <w:rPr>
          <w:rFonts w:ascii="Times New Roman" w:eastAsia="Times New Roman" w:hAnsi="Times New Roman" w:cs="Times New Roman"/>
          <w:bCs/>
          <w:sz w:val="24"/>
          <w:szCs w:val="24"/>
          <w:lang w:val="ru-RU"/>
        </w:rPr>
        <w:t>[1]</w:t>
      </w:r>
      <w:r w:rsidR="00AC61C3" w:rsidRPr="009E3EBE">
        <w:rPr>
          <w:rFonts w:ascii="Times New Roman" w:eastAsia="Times New Roman" w:hAnsi="Times New Roman" w:cs="Times New Roman"/>
          <w:sz w:val="24"/>
          <w:szCs w:val="24"/>
          <w:lang w:val="ru-RU"/>
        </w:rPr>
        <w:t xml:space="preserve">. В условиях перехода отрасли на долгосрочное централизованное планирование, </w:t>
      </w:r>
      <w:r w:rsidR="00554326" w:rsidRPr="009E3EBE">
        <w:rPr>
          <w:rFonts w:ascii="Times New Roman" w:eastAsia="Times New Roman" w:hAnsi="Times New Roman" w:cs="Times New Roman"/>
          <w:sz w:val="24"/>
          <w:szCs w:val="24"/>
          <w:lang w:val="ru-RU"/>
        </w:rPr>
        <w:t>необходимо уделять особое внимание</w:t>
      </w:r>
      <w:r w:rsidR="00C65CF0" w:rsidRPr="009E3EBE">
        <w:rPr>
          <w:rFonts w:ascii="Times New Roman" w:eastAsia="Times New Roman" w:hAnsi="Times New Roman" w:cs="Times New Roman"/>
          <w:sz w:val="24"/>
          <w:szCs w:val="24"/>
          <w:lang w:val="ru-RU"/>
        </w:rPr>
        <w:t xml:space="preserve"> </w:t>
      </w:r>
      <w:r w:rsidR="00AC61C3" w:rsidRPr="009E3EBE">
        <w:rPr>
          <w:rFonts w:ascii="Times New Roman" w:eastAsia="Times New Roman" w:hAnsi="Times New Roman" w:cs="Times New Roman"/>
          <w:sz w:val="24"/>
          <w:szCs w:val="24"/>
          <w:lang w:val="ru-RU"/>
        </w:rPr>
        <w:t>инициатив</w:t>
      </w:r>
      <w:r w:rsidR="00554326" w:rsidRPr="009E3EBE">
        <w:rPr>
          <w:rFonts w:ascii="Times New Roman" w:eastAsia="Times New Roman" w:hAnsi="Times New Roman" w:cs="Times New Roman"/>
          <w:sz w:val="24"/>
          <w:szCs w:val="24"/>
          <w:lang w:val="ru-RU"/>
        </w:rPr>
        <w:t>ам</w:t>
      </w:r>
      <w:r w:rsidR="00AC61C3" w:rsidRPr="009E3EBE">
        <w:rPr>
          <w:rFonts w:ascii="Times New Roman" w:eastAsia="Times New Roman" w:hAnsi="Times New Roman" w:cs="Times New Roman"/>
          <w:sz w:val="24"/>
          <w:szCs w:val="24"/>
          <w:lang w:val="ru-RU"/>
        </w:rPr>
        <w:t>, связанны</w:t>
      </w:r>
      <w:r w:rsidR="00554326" w:rsidRPr="009E3EBE">
        <w:rPr>
          <w:rFonts w:ascii="Times New Roman" w:eastAsia="Times New Roman" w:hAnsi="Times New Roman" w:cs="Times New Roman"/>
          <w:sz w:val="24"/>
          <w:szCs w:val="24"/>
          <w:lang w:val="ru-RU"/>
        </w:rPr>
        <w:t>м</w:t>
      </w:r>
      <w:r w:rsidR="00AC61C3" w:rsidRPr="009E3EBE">
        <w:rPr>
          <w:rFonts w:ascii="Times New Roman" w:eastAsia="Times New Roman" w:hAnsi="Times New Roman" w:cs="Times New Roman"/>
          <w:sz w:val="24"/>
          <w:szCs w:val="24"/>
          <w:lang w:val="ru-RU"/>
        </w:rPr>
        <w:t xml:space="preserve"> с децентрализованной, или же распределенной энергетикой</w:t>
      </w:r>
      <w:r w:rsidR="00AD1F21" w:rsidRPr="009E3EBE">
        <w:rPr>
          <w:rFonts w:ascii="Times New Roman" w:eastAsia="Times New Roman" w:hAnsi="Times New Roman" w:cs="Times New Roman"/>
          <w:sz w:val="24"/>
          <w:szCs w:val="24"/>
          <w:lang w:val="ru-RU"/>
        </w:rPr>
        <w:t xml:space="preserve">, и не обходить их стороной. </w:t>
      </w:r>
    </w:p>
    <w:p w14:paraId="7DF62883" w14:textId="3E598F18" w:rsidR="00AC61C3" w:rsidRPr="009E3EBE" w:rsidRDefault="00AC61C3" w:rsidP="00A25CAB">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Вводя понятия “распределенная энергетика”, обозначим, что это сектор энергетического комплекса, включающий в себя малые генерирующие установки, которые могут работать автономно или быть подключены в общую сеть [</w:t>
      </w:r>
      <w:hyperlink r:id="rId11">
        <w:r w:rsidR="00201DAC" w:rsidRPr="009E3EBE">
          <w:rPr>
            <w:rFonts w:ascii="Times New Roman" w:eastAsia="Times New Roman" w:hAnsi="Times New Roman" w:cs="Times New Roman"/>
            <w:sz w:val="24"/>
            <w:szCs w:val="24"/>
            <w:lang w:val="ru-RU"/>
          </w:rPr>
          <w:t>11</w:t>
        </w:r>
      </w:hyperlink>
      <w:r w:rsidRPr="009E3EBE">
        <w:rPr>
          <w:rFonts w:ascii="Times New Roman" w:eastAsia="Times New Roman" w:hAnsi="Times New Roman" w:cs="Times New Roman"/>
          <w:sz w:val="24"/>
          <w:szCs w:val="24"/>
          <w:lang w:val="ru-RU"/>
        </w:rPr>
        <w:t xml:space="preserve">]. Все чаще можно услышать, что малая энергетика </w:t>
      </w:r>
      <w:r w:rsidR="00C65CF0" w:rsidRPr="009E3EBE">
        <w:rPr>
          <w:rFonts w:ascii="Times New Roman" w:eastAsia="Times New Roman" w:hAnsi="Times New Roman" w:cs="Times New Roman"/>
          <w:sz w:val="24"/>
          <w:szCs w:val="24"/>
          <w:lang w:val="ru-RU"/>
        </w:rPr>
        <w:t>— это</w:t>
      </w:r>
      <w:r w:rsidRPr="009E3EBE">
        <w:rPr>
          <w:rFonts w:ascii="Times New Roman" w:eastAsia="Times New Roman" w:hAnsi="Times New Roman" w:cs="Times New Roman"/>
          <w:sz w:val="24"/>
          <w:szCs w:val="24"/>
          <w:lang w:val="ru-RU"/>
        </w:rPr>
        <w:t xml:space="preserve"> мировой тренд, которому присуще общее свойство близости к потребителю энергии. В свою очередь, Правительство России выпустило Постановление от 21 марта 2020 г. № 320, где определило ряд пилотных проектов, связанных с Активными Энергетическими Комплексами (</w:t>
      </w:r>
      <w:r w:rsidR="00313C58" w:rsidRPr="009E3EBE">
        <w:rPr>
          <w:rFonts w:ascii="Times New Roman" w:eastAsia="Times New Roman" w:hAnsi="Times New Roman" w:cs="Times New Roman"/>
          <w:sz w:val="24"/>
          <w:szCs w:val="24"/>
          <w:lang w:val="ru-RU"/>
        </w:rPr>
        <w:t xml:space="preserve">далее - </w:t>
      </w:r>
      <w:r w:rsidRPr="009E3EBE">
        <w:rPr>
          <w:rFonts w:ascii="Times New Roman" w:eastAsia="Times New Roman" w:hAnsi="Times New Roman" w:cs="Times New Roman"/>
          <w:sz w:val="24"/>
          <w:szCs w:val="24"/>
          <w:lang w:val="ru-RU"/>
        </w:rPr>
        <w:t>АЭК), одними из передовых технологий в сфере распределенной энергетики, доказывая, что данная инициатива рассматривается на самом высоком уровне</w:t>
      </w:r>
      <w:r w:rsidR="00D23DC4" w:rsidRPr="009E3EBE">
        <w:rPr>
          <w:rFonts w:ascii="Times New Roman" w:eastAsia="Times New Roman" w:hAnsi="Times New Roman" w:cs="Times New Roman"/>
          <w:sz w:val="24"/>
          <w:szCs w:val="24"/>
          <w:lang w:val="ru-RU"/>
        </w:rPr>
        <w:t>[2]</w:t>
      </w:r>
      <w:r w:rsidRPr="009E3EBE">
        <w:rPr>
          <w:rFonts w:ascii="Times New Roman" w:eastAsia="Times New Roman" w:hAnsi="Times New Roman" w:cs="Times New Roman"/>
          <w:sz w:val="24"/>
          <w:szCs w:val="24"/>
          <w:lang w:val="ru-RU"/>
        </w:rPr>
        <w:t>.</w:t>
      </w:r>
    </w:p>
    <w:p w14:paraId="677D2E5C" w14:textId="3DE56D79" w:rsidR="00AC61C3" w:rsidRPr="009E3EBE" w:rsidRDefault="00AC61C3" w:rsidP="00A25CAB">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Основополагающая цель таких проектов - это оптимизация издержек, связанных с электроэнергией, “умное” управление спросом на нее путем использования излишков и пр. Нередко централизованное и распределенное энергоснабжение противопоставляются друг другу с преимущественным предпочтением распределенной генерации как обладающей наибольшей конкурентоспособностью [</w:t>
      </w:r>
      <w:hyperlink r:id="rId12">
        <w:r w:rsidR="00201DAC" w:rsidRPr="009E3EBE">
          <w:rPr>
            <w:rFonts w:ascii="Times New Roman" w:eastAsia="Times New Roman" w:hAnsi="Times New Roman" w:cs="Times New Roman"/>
            <w:sz w:val="24"/>
            <w:szCs w:val="24"/>
            <w:lang w:val="ru-RU"/>
          </w:rPr>
          <w:t>6</w:t>
        </w:r>
      </w:hyperlink>
      <w:r w:rsidRPr="009E3EBE">
        <w:rPr>
          <w:rFonts w:ascii="Times New Roman" w:eastAsia="Times New Roman" w:hAnsi="Times New Roman" w:cs="Times New Roman"/>
          <w:sz w:val="24"/>
          <w:szCs w:val="24"/>
          <w:lang w:val="ru-RU"/>
        </w:rPr>
        <w:t>]</w:t>
      </w:r>
      <w:r w:rsidR="00554326" w:rsidRPr="009E3EBE">
        <w:rPr>
          <w:rFonts w:ascii="Times New Roman" w:eastAsia="Times New Roman" w:hAnsi="Times New Roman" w:cs="Times New Roman"/>
          <w:sz w:val="24"/>
          <w:szCs w:val="24"/>
          <w:lang w:val="ru-RU"/>
        </w:rPr>
        <w:t>.</w:t>
      </w:r>
      <w:r w:rsidRPr="009E3EBE">
        <w:rPr>
          <w:rFonts w:ascii="Times New Roman" w:eastAsia="Times New Roman" w:hAnsi="Times New Roman" w:cs="Times New Roman"/>
          <w:sz w:val="24"/>
          <w:szCs w:val="24"/>
          <w:lang w:val="ru-RU"/>
        </w:rPr>
        <w:t xml:space="preserve"> </w:t>
      </w:r>
      <w:r w:rsidR="00D23DC4" w:rsidRPr="009E3EBE">
        <w:rPr>
          <w:rFonts w:ascii="Times New Roman" w:eastAsia="Times New Roman" w:hAnsi="Times New Roman" w:cs="Times New Roman"/>
          <w:sz w:val="24"/>
          <w:szCs w:val="24"/>
          <w:lang w:val="ru-RU"/>
        </w:rPr>
        <w:t xml:space="preserve">По мнению авторов, </w:t>
      </w:r>
      <w:r w:rsidRPr="009E3EBE">
        <w:rPr>
          <w:rFonts w:ascii="Times New Roman" w:eastAsia="Times New Roman" w:hAnsi="Times New Roman" w:cs="Times New Roman"/>
          <w:sz w:val="24"/>
          <w:szCs w:val="24"/>
          <w:lang w:val="ru-RU"/>
        </w:rPr>
        <w:t>такой подход для сравнения не является целесообразным, поскольку каждый из видов энергоснабжения имеет свою предпочтительную сферу применения и отвечает своим задачам. Как правильно отмечают авторы доклада “</w:t>
      </w:r>
      <w:r w:rsidR="00C8233B" w:rsidRPr="009E3EBE">
        <w:rPr>
          <w:rFonts w:ascii="Times New Roman" w:eastAsia="Times New Roman" w:hAnsi="Times New Roman" w:cs="Times New Roman"/>
          <w:sz w:val="24"/>
          <w:szCs w:val="24"/>
          <w:lang w:val="ru-RU"/>
        </w:rPr>
        <w:t>Распределенная энергетика в России: потенциал развития</w:t>
      </w:r>
      <w:r w:rsidRPr="009E3EBE">
        <w:rPr>
          <w:rFonts w:ascii="Times New Roman" w:eastAsia="Times New Roman" w:hAnsi="Times New Roman" w:cs="Times New Roman"/>
          <w:sz w:val="24"/>
          <w:szCs w:val="24"/>
          <w:lang w:val="ru-RU"/>
        </w:rPr>
        <w:t>”, наиболее правдоподобной представляется модель последовательного и разумного сочетания крупной генерации и объектов малой энергетики, которая позволит обеспечить постепенную адаптацию ЕЭС страны к «энергетическому переходу»</w:t>
      </w:r>
      <w:r w:rsidR="00C8233B" w:rsidRPr="009E3EBE">
        <w:rPr>
          <w:rFonts w:ascii="Times New Roman" w:eastAsia="Times New Roman" w:hAnsi="Times New Roman" w:cs="Times New Roman"/>
          <w:sz w:val="24"/>
          <w:szCs w:val="24"/>
          <w:lang w:val="ru-RU"/>
        </w:rPr>
        <w:t xml:space="preserve"> [</w:t>
      </w:r>
      <w:r w:rsidR="00201DAC" w:rsidRPr="009E3EBE">
        <w:rPr>
          <w:rFonts w:ascii="Times New Roman" w:eastAsia="Times New Roman" w:hAnsi="Times New Roman" w:cs="Times New Roman"/>
          <w:sz w:val="24"/>
          <w:szCs w:val="24"/>
          <w:lang w:val="ru-RU"/>
        </w:rPr>
        <w:t>12</w:t>
      </w:r>
      <w:r w:rsidR="00C8233B" w:rsidRPr="009E3EBE">
        <w:rPr>
          <w:rFonts w:ascii="Times New Roman" w:eastAsia="Times New Roman" w:hAnsi="Times New Roman" w:cs="Times New Roman"/>
          <w:sz w:val="24"/>
          <w:szCs w:val="24"/>
          <w:lang w:val="ru-RU"/>
        </w:rPr>
        <w:t>].</w:t>
      </w:r>
    </w:p>
    <w:p w14:paraId="75F68E4A" w14:textId="32E0418F" w:rsidR="000F02F9" w:rsidRPr="009E3EBE" w:rsidRDefault="00AC61C3" w:rsidP="00A25CAB">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Однако известно, что ЕЭС охватывает далеко не всю территорию нашей страны, оставляя многие регионы технологически изолированными. В первую очередь, это регионы </w:t>
      </w:r>
      <w:r w:rsidRPr="009E3EBE">
        <w:rPr>
          <w:rFonts w:ascii="Times New Roman" w:eastAsia="Times New Roman" w:hAnsi="Times New Roman" w:cs="Times New Roman"/>
          <w:sz w:val="24"/>
          <w:szCs w:val="24"/>
          <w:lang w:val="ru-RU"/>
        </w:rPr>
        <w:lastRenderedPageBreak/>
        <w:t>Дальнего Востока</w:t>
      </w:r>
      <w:r w:rsidR="00856212" w:rsidRPr="009E3EBE">
        <w:rPr>
          <w:rFonts w:ascii="Times New Roman" w:eastAsia="Times New Roman" w:hAnsi="Times New Roman" w:cs="Times New Roman"/>
          <w:sz w:val="24"/>
          <w:szCs w:val="24"/>
          <w:lang w:val="ru-RU"/>
        </w:rPr>
        <w:t xml:space="preserve"> и Арктики, в которых </w:t>
      </w:r>
      <w:r w:rsidRPr="009E3EBE">
        <w:rPr>
          <w:rFonts w:ascii="Times New Roman" w:eastAsia="Times New Roman" w:hAnsi="Times New Roman" w:cs="Times New Roman"/>
          <w:sz w:val="24"/>
          <w:szCs w:val="24"/>
          <w:lang w:val="ru-RU"/>
        </w:rPr>
        <w:t>использование технологий распределенной энергетики - не вопрос оптимизации издержек, как было сказано ранее, а базовая необходимость, направленная на обеспечение энергетической безопасности</w:t>
      </w:r>
      <w:r w:rsidR="000F02F9" w:rsidRPr="009E3EBE">
        <w:rPr>
          <w:rFonts w:ascii="Times New Roman" w:eastAsia="Times New Roman" w:hAnsi="Times New Roman" w:cs="Times New Roman"/>
          <w:sz w:val="24"/>
          <w:szCs w:val="24"/>
          <w:lang w:val="ru-RU"/>
        </w:rPr>
        <w:t>, угрозу которой создают географическое расположение и суровость климата</w:t>
      </w:r>
      <w:r w:rsidR="00B44CE1" w:rsidRPr="009E3EBE">
        <w:rPr>
          <w:rFonts w:ascii="Times New Roman" w:eastAsia="Times New Roman" w:hAnsi="Times New Roman" w:cs="Times New Roman"/>
          <w:sz w:val="24"/>
          <w:szCs w:val="24"/>
          <w:lang w:val="ru-RU"/>
        </w:rPr>
        <w:t>, что подтверждает представленный ниже анализ</w:t>
      </w:r>
      <w:r w:rsidR="00AD1F21" w:rsidRPr="009E3EBE">
        <w:rPr>
          <w:rFonts w:ascii="Times New Roman" w:eastAsia="Times New Roman" w:hAnsi="Times New Roman" w:cs="Times New Roman"/>
          <w:sz w:val="24"/>
          <w:szCs w:val="24"/>
          <w:lang w:val="ru-RU"/>
        </w:rPr>
        <w:t>.</w:t>
      </w:r>
    </w:p>
    <w:p w14:paraId="68297AD6" w14:textId="7C1F8065" w:rsidR="00944C59" w:rsidRPr="009E3EBE" w:rsidRDefault="00E3246B" w:rsidP="00A25CAB">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Для оценки уровня энергетической безопасности и формировани</w:t>
      </w:r>
      <w:r w:rsidR="00856212" w:rsidRPr="009E3EBE">
        <w:rPr>
          <w:rFonts w:ascii="Times New Roman" w:eastAsia="Times New Roman" w:hAnsi="Times New Roman" w:cs="Times New Roman"/>
          <w:sz w:val="24"/>
          <w:szCs w:val="24"/>
          <w:lang w:val="ru-RU"/>
        </w:rPr>
        <w:t>я</w:t>
      </w:r>
      <w:r w:rsidRPr="009E3EBE">
        <w:rPr>
          <w:rFonts w:ascii="Times New Roman" w:eastAsia="Times New Roman" w:hAnsi="Times New Roman" w:cs="Times New Roman"/>
          <w:sz w:val="24"/>
          <w:szCs w:val="24"/>
          <w:lang w:val="ru-RU"/>
        </w:rPr>
        <w:t xml:space="preserve"> предложений по ее повышению посредством анализа ряда ключевых показателей, в рамках заявленной темы, наиболее перспективными районами являются </w:t>
      </w:r>
      <w:r w:rsidR="0049541D" w:rsidRPr="009E3EBE">
        <w:rPr>
          <w:rFonts w:ascii="Times New Roman" w:eastAsia="Times New Roman" w:hAnsi="Times New Roman" w:cs="Times New Roman"/>
          <w:sz w:val="24"/>
          <w:szCs w:val="24"/>
          <w:lang w:val="ru-RU"/>
        </w:rPr>
        <w:t>изолированные территории Республики Саха</w:t>
      </w:r>
      <w:r w:rsidR="004B2649" w:rsidRPr="009E3EBE">
        <w:rPr>
          <w:rFonts w:ascii="Times New Roman" w:eastAsia="Times New Roman" w:hAnsi="Times New Roman" w:cs="Times New Roman"/>
          <w:sz w:val="24"/>
          <w:szCs w:val="24"/>
          <w:lang w:val="ru-RU"/>
        </w:rPr>
        <w:t xml:space="preserve"> </w:t>
      </w:r>
      <w:r w:rsidR="00313C58" w:rsidRPr="009E3EBE">
        <w:rPr>
          <w:rFonts w:ascii="Times New Roman" w:eastAsia="Times New Roman" w:hAnsi="Times New Roman" w:cs="Times New Roman"/>
          <w:sz w:val="24"/>
          <w:szCs w:val="24"/>
          <w:lang w:val="ru-RU"/>
        </w:rPr>
        <w:t xml:space="preserve">(далее – РС) </w:t>
      </w:r>
      <w:r w:rsidR="004B2649" w:rsidRPr="009E3EBE">
        <w:rPr>
          <w:rFonts w:ascii="Times New Roman" w:eastAsia="Times New Roman" w:hAnsi="Times New Roman" w:cs="Times New Roman"/>
          <w:sz w:val="24"/>
          <w:szCs w:val="24"/>
          <w:lang w:val="ru-RU"/>
        </w:rPr>
        <w:t xml:space="preserve">(Анабарский, Булунский, Верхоянский, Аллаиховский, Момский </w:t>
      </w:r>
      <w:r w:rsidR="00554326" w:rsidRPr="009E3EBE">
        <w:rPr>
          <w:rFonts w:ascii="Times New Roman" w:eastAsia="Times New Roman" w:hAnsi="Times New Roman" w:cs="Times New Roman"/>
          <w:sz w:val="24"/>
          <w:szCs w:val="24"/>
          <w:lang w:val="ru-RU"/>
        </w:rPr>
        <w:t>районы</w:t>
      </w:r>
      <w:r w:rsidR="00160AE1" w:rsidRPr="009E3EBE">
        <w:rPr>
          <w:rFonts w:ascii="Times New Roman" w:eastAsia="Times New Roman" w:hAnsi="Times New Roman" w:cs="Times New Roman"/>
          <w:sz w:val="24"/>
          <w:szCs w:val="24"/>
          <w:lang w:val="ru-RU"/>
        </w:rPr>
        <w:t>, в т. ч. арктические и северные районы</w:t>
      </w:r>
      <w:r w:rsidR="004B2649" w:rsidRPr="009E3EBE">
        <w:rPr>
          <w:rFonts w:ascii="Times New Roman" w:eastAsia="Times New Roman" w:hAnsi="Times New Roman" w:cs="Times New Roman"/>
          <w:sz w:val="24"/>
          <w:szCs w:val="24"/>
          <w:lang w:val="ru-RU"/>
        </w:rPr>
        <w:t xml:space="preserve"> (</w:t>
      </w:r>
      <w:r w:rsidR="004D02CF" w:rsidRPr="009E3EBE">
        <w:rPr>
          <w:rFonts w:ascii="Times New Roman" w:eastAsia="Times New Roman" w:hAnsi="Times New Roman" w:cs="Times New Roman"/>
          <w:sz w:val="24"/>
          <w:szCs w:val="24"/>
          <w:lang w:val="ru-RU"/>
        </w:rPr>
        <w:t>т</w:t>
      </w:r>
      <w:r w:rsidR="004B2649" w:rsidRPr="009E3EBE">
        <w:rPr>
          <w:rFonts w:ascii="Times New Roman" w:eastAsia="Times New Roman" w:hAnsi="Times New Roman" w:cs="Times New Roman"/>
          <w:sz w:val="24"/>
          <w:szCs w:val="24"/>
          <w:lang w:val="ru-RU"/>
        </w:rPr>
        <w:t>аб</w:t>
      </w:r>
      <w:r w:rsidR="004D02CF" w:rsidRPr="009E3EBE">
        <w:rPr>
          <w:rFonts w:ascii="Times New Roman" w:eastAsia="Times New Roman" w:hAnsi="Times New Roman" w:cs="Times New Roman"/>
          <w:sz w:val="24"/>
          <w:szCs w:val="24"/>
          <w:lang w:val="ru-RU"/>
        </w:rPr>
        <w:t>.</w:t>
      </w:r>
      <w:r w:rsidR="004B2649" w:rsidRPr="009E3EBE">
        <w:rPr>
          <w:rFonts w:ascii="Times New Roman" w:eastAsia="Times New Roman" w:hAnsi="Times New Roman" w:cs="Times New Roman"/>
          <w:sz w:val="24"/>
          <w:szCs w:val="24"/>
          <w:lang w:val="ru-RU"/>
        </w:rPr>
        <w:t>1).</w:t>
      </w:r>
      <w:r w:rsidRPr="009E3EBE">
        <w:rPr>
          <w:rFonts w:ascii="Times New Roman" w:eastAsia="Times New Roman" w:hAnsi="Times New Roman" w:cs="Times New Roman"/>
          <w:sz w:val="24"/>
          <w:szCs w:val="24"/>
          <w:lang w:val="ru-RU"/>
        </w:rPr>
        <w:t xml:space="preserve"> </w:t>
      </w:r>
    </w:p>
    <w:p w14:paraId="49F2C37C" w14:textId="65E777DB" w:rsidR="009C30D5" w:rsidRPr="009E3EBE" w:rsidRDefault="009C30D5" w:rsidP="00B44CE1">
      <w:pPr>
        <w:spacing w:line="240" w:lineRule="auto"/>
        <w:ind w:firstLine="720"/>
        <w:contextualSpacing/>
        <w:jc w:val="right"/>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Таблица 1</w:t>
      </w:r>
    </w:p>
    <w:p w14:paraId="2D157472" w14:textId="2B01436C" w:rsidR="002B19BE" w:rsidRPr="009E3EBE" w:rsidRDefault="00E25840" w:rsidP="00B44CE1">
      <w:pPr>
        <w:spacing w:line="240" w:lineRule="auto"/>
        <w:contextualSpacing/>
        <w:jc w:val="center"/>
        <w:rPr>
          <w:rFonts w:ascii="Times New Roman" w:eastAsia="Times New Roman" w:hAnsi="Times New Roman" w:cs="Times New Roman"/>
          <w:b/>
          <w:bCs/>
          <w:sz w:val="24"/>
          <w:szCs w:val="24"/>
          <w:lang w:val="ru-RU"/>
        </w:rPr>
      </w:pPr>
      <w:r w:rsidRPr="009E3EBE">
        <w:rPr>
          <w:rFonts w:ascii="Times New Roman" w:eastAsia="Times New Roman" w:hAnsi="Times New Roman" w:cs="Times New Roman"/>
          <w:b/>
          <w:bCs/>
          <w:sz w:val="24"/>
          <w:szCs w:val="24"/>
          <w:lang w:val="ru-RU"/>
        </w:rPr>
        <w:t>Перечень показателей, характеризующих энергетическую безопасность</w:t>
      </w:r>
    </w:p>
    <w:p w14:paraId="7BEDF17C" w14:textId="5B9CE54C" w:rsidR="00E25840" w:rsidRPr="009E3EBE" w:rsidRDefault="00E25840" w:rsidP="00B44CE1">
      <w:pPr>
        <w:spacing w:line="240" w:lineRule="auto"/>
        <w:contextualSpacing/>
        <w:jc w:val="center"/>
        <w:rPr>
          <w:rFonts w:ascii="Times New Roman" w:eastAsia="Times New Roman" w:hAnsi="Times New Roman" w:cs="Times New Roman"/>
          <w:b/>
          <w:bCs/>
          <w:sz w:val="24"/>
          <w:szCs w:val="24"/>
          <w:lang w:val="ru-RU"/>
        </w:rPr>
      </w:pPr>
      <w:r w:rsidRPr="009E3EBE">
        <w:rPr>
          <w:rFonts w:ascii="Times New Roman" w:eastAsia="Times New Roman" w:hAnsi="Times New Roman" w:cs="Times New Roman"/>
          <w:b/>
          <w:bCs/>
          <w:sz w:val="24"/>
          <w:szCs w:val="24"/>
          <w:lang w:val="ru-RU"/>
        </w:rPr>
        <w:t>изолированных территорий Республики Саха</w:t>
      </w:r>
    </w:p>
    <w:tbl>
      <w:tblPr>
        <w:tblStyle w:val="TableGrid"/>
        <w:tblW w:w="9265" w:type="dxa"/>
        <w:tblLook w:val="04A0" w:firstRow="1" w:lastRow="0" w:firstColumn="1" w:lastColumn="0" w:noHBand="0" w:noVBand="1"/>
      </w:tblPr>
      <w:tblGrid>
        <w:gridCol w:w="5395"/>
        <w:gridCol w:w="3870"/>
      </w:tblGrid>
      <w:tr w:rsidR="002D3625" w:rsidRPr="009E3EBE" w14:paraId="476DD3EE" w14:textId="3DD967F3" w:rsidTr="00C8233B">
        <w:trPr>
          <w:trHeight w:val="146"/>
        </w:trPr>
        <w:tc>
          <w:tcPr>
            <w:tcW w:w="5395" w:type="dxa"/>
          </w:tcPr>
          <w:p w14:paraId="26FB077C" w14:textId="4332A410" w:rsidR="002D3625" w:rsidRPr="009E3EBE" w:rsidRDefault="002D3625" w:rsidP="00A25CAB">
            <w:pPr>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Показатель</w:t>
            </w:r>
          </w:p>
        </w:tc>
        <w:tc>
          <w:tcPr>
            <w:tcW w:w="3870" w:type="dxa"/>
          </w:tcPr>
          <w:p w14:paraId="5875A47A" w14:textId="3912A90C" w:rsidR="002D3625" w:rsidRPr="009E3EBE" w:rsidRDefault="002D3625" w:rsidP="00B44CE1">
            <w:pPr>
              <w:contextualSpacing/>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Характеристика</w:t>
            </w:r>
          </w:p>
        </w:tc>
      </w:tr>
      <w:tr w:rsidR="002D3625" w:rsidRPr="003110E7" w14:paraId="6F4B70EE" w14:textId="3433B5F0" w:rsidTr="00C8233B">
        <w:trPr>
          <w:trHeight w:val="141"/>
        </w:trPr>
        <w:tc>
          <w:tcPr>
            <w:tcW w:w="5395" w:type="dxa"/>
          </w:tcPr>
          <w:p w14:paraId="10255CE5" w14:textId="4CD6F743" w:rsidR="005C44AB" w:rsidRPr="009E3EBE" w:rsidRDefault="004B2649" w:rsidP="00A25CAB">
            <w:pPr>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Динамика выработки электроэнергии </w:t>
            </w:r>
            <w:r w:rsidR="00AD1F21" w:rsidRPr="009E3EBE">
              <w:rPr>
                <w:rFonts w:ascii="Times New Roman" w:eastAsia="Times New Roman" w:hAnsi="Times New Roman" w:cs="Times New Roman"/>
                <w:sz w:val="24"/>
                <w:szCs w:val="24"/>
                <w:lang w:val="ru-RU"/>
              </w:rPr>
              <w:t xml:space="preserve">на </w:t>
            </w:r>
            <w:r w:rsidRPr="009E3EBE">
              <w:rPr>
                <w:rFonts w:ascii="Times New Roman" w:eastAsia="Times New Roman" w:hAnsi="Times New Roman" w:cs="Times New Roman"/>
                <w:sz w:val="24"/>
                <w:szCs w:val="24"/>
                <w:lang w:val="ru-RU"/>
              </w:rPr>
              <w:t>изолированны</w:t>
            </w:r>
            <w:r w:rsidR="00AD1F21" w:rsidRPr="009E3EBE">
              <w:rPr>
                <w:rFonts w:ascii="Times New Roman" w:eastAsia="Times New Roman" w:hAnsi="Times New Roman" w:cs="Times New Roman"/>
                <w:sz w:val="24"/>
                <w:szCs w:val="24"/>
                <w:lang w:val="ru-RU"/>
              </w:rPr>
              <w:t>х</w:t>
            </w:r>
            <w:r w:rsidRPr="009E3EBE">
              <w:rPr>
                <w:rFonts w:ascii="Times New Roman" w:eastAsia="Times New Roman" w:hAnsi="Times New Roman" w:cs="Times New Roman"/>
                <w:sz w:val="24"/>
                <w:szCs w:val="24"/>
                <w:lang w:val="ru-RU"/>
              </w:rPr>
              <w:t xml:space="preserve"> территори</w:t>
            </w:r>
            <w:r w:rsidR="00AD1F21" w:rsidRPr="009E3EBE">
              <w:rPr>
                <w:rFonts w:ascii="Times New Roman" w:eastAsia="Times New Roman" w:hAnsi="Times New Roman" w:cs="Times New Roman"/>
                <w:sz w:val="24"/>
                <w:szCs w:val="24"/>
                <w:lang w:val="ru-RU"/>
              </w:rPr>
              <w:t>ях</w:t>
            </w:r>
            <w:r w:rsidRPr="009E3EBE">
              <w:rPr>
                <w:rFonts w:ascii="Times New Roman" w:eastAsia="Times New Roman" w:hAnsi="Times New Roman" w:cs="Times New Roman"/>
                <w:sz w:val="24"/>
                <w:szCs w:val="24"/>
                <w:lang w:val="ru-RU"/>
              </w:rPr>
              <w:t xml:space="preserve"> </w:t>
            </w:r>
            <w:r w:rsidR="00663399" w:rsidRPr="009E3EBE">
              <w:rPr>
                <w:rFonts w:ascii="Times New Roman" w:eastAsia="Times New Roman" w:hAnsi="Times New Roman" w:cs="Times New Roman"/>
                <w:sz w:val="24"/>
                <w:szCs w:val="24"/>
                <w:lang w:val="ru-RU"/>
              </w:rPr>
              <w:t>при помощи ДЭС</w:t>
            </w:r>
            <w:r w:rsidRPr="009E3EBE">
              <w:rPr>
                <w:rFonts w:ascii="Times New Roman" w:eastAsia="Times New Roman" w:hAnsi="Times New Roman" w:cs="Times New Roman"/>
                <w:sz w:val="24"/>
                <w:szCs w:val="24"/>
                <w:lang w:val="ru-RU"/>
              </w:rPr>
              <w:t>, млн кВт</w:t>
            </w:r>
            <w:r w:rsidR="006B6DFF" w:rsidRPr="009E3EBE">
              <w:rPr>
                <w:rFonts w:ascii="Times New Roman" w:eastAsia="Times New Roman" w:hAnsi="Times New Roman" w:cs="Times New Roman"/>
                <w:sz w:val="24"/>
                <w:szCs w:val="24"/>
                <w:lang w:val="ru-RU"/>
              </w:rPr>
              <w:t xml:space="preserve">. </w:t>
            </w:r>
            <w:r w:rsidR="005C44AB" w:rsidRPr="009E3EBE">
              <w:rPr>
                <w:rFonts w:ascii="Times New Roman" w:eastAsia="Times New Roman" w:hAnsi="Times New Roman" w:cs="Times New Roman"/>
                <w:sz w:val="24"/>
                <w:szCs w:val="24"/>
                <w:lang w:val="ru-RU"/>
              </w:rPr>
              <w:t xml:space="preserve">Ч; </w:t>
            </w:r>
          </w:p>
          <w:p w14:paraId="5B68368A" w14:textId="4FAB8B65" w:rsidR="005C44AB" w:rsidRPr="009E3EBE" w:rsidRDefault="005C44AB" w:rsidP="00A25CAB">
            <w:pPr>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в т. ч. доля в генерации ДЭС от общего энергопотребления в изолированных районах</w:t>
            </w:r>
            <w:r w:rsidR="00AD1F21" w:rsidRPr="009E3EBE">
              <w:rPr>
                <w:rFonts w:ascii="Times New Roman" w:eastAsia="Times New Roman" w:hAnsi="Times New Roman" w:cs="Times New Roman"/>
                <w:sz w:val="24"/>
                <w:szCs w:val="24"/>
                <w:lang w:val="ru-RU"/>
              </w:rPr>
              <w:t>, %</w:t>
            </w:r>
          </w:p>
        </w:tc>
        <w:tc>
          <w:tcPr>
            <w:tcW w:w="3870" w:type="dxa"/>
          </w:tcPr>
          <w:p w14:paraId="3ED774F4" w14:textId="167BC5D5" w:rsidR="002D3625" w:rsidRPr="009E3EBE" w:rsidRDefault="005C44AB" w:rsidP="00A25CAB">
            <w:pPr>
              <w:contextualSpacing/>
              <w:jc w:val="both"/>
              <w:rPr>
                <w:lang w:val="ru-RU"/>
              </w:rPr>
            </w:pPr>
            <w:r w:rsidRPr="009E3EBE">
              <w:rPr>
                <w:rFonts w:ascii="Times New Roman" w:eastAsia="Times New Roman" w:hAnsi="Times New Roman" w:cs="Times New Roman"/>
                <w:sz w:val="24"/>
                <w:szCs w:val="24"/>
                <w:lang w:val="ru-RU"/>
              </w:rPr>
              <w:t>Показывает то, насколько изолированные территории полагаются на выработку электроэнергии ДЭС</w:t>
            </w:r>
          </w:p>
        </w:tc>
      </w:tr>
      <w:tr w:rsidR="002D3625" w:rsidRPr="003110E7" w14:paraId="63DF8AFF" w14:textId="6AAE9A64" w:rsidTr="00C8233B">
        <w:trPr>
          <w:trHeight w:val="146"/>
        </w:trPr>
        <w:tc>
          <w:tcPr>
            <w:tcW w:w="5395" w:type="dxa"/>
          </w:tcPr>
          <w:p w14:paraId="3C383A85" w14:textId="7A1CFCBB" w:rsidR="002D3625" w:rsidRPr="009E3EBE" w:rsidRDefault="004B2649" w:rsidP="00A25CAB">
            <w:pPr>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Динамика потребления электроэнергии изолированными территориями</w:t>
            </w:r>
            <w:r w:rsidR="005C44AB" w:rsidRPr="009E3EBE">
              <w:rPr>
                <w:rFonts w:ascii="Times New Roman" w:eastAsia="Times New Roman" w:hAnsi="Times New Roman" w:cs="Times New Roman"/>
                <w:sz w:val="24"/>
                <w:szCs w:val="24"/>
                <w:lang w:val="ru-RU"/>
              </w:rPr>
              <w:t xml:space="preserve"> на душу населения</w:t>
            </w:r>
            <w:r w:rsidRPr="009E3EBE">
              <w:rPr>
                <w:rFonts w:ascii="Times New Roman" w:eastAsia="Times New Roman" w:hAnsi="Times New Roman" w:cs="Times New Roman"/>
                <w:sz w:val="24"/>
                <w:szCs w:val="24"/>
                <w:lang w:val="ru-RU"/>
              </w:rPr>
              <w:t>,</w:t>
            </w:r>
            <w:r w:rsidR="006B6DFF" w:rsidRPr="009E3EBE">
              <w:rPr>
                <w:rFonts w:ascii="Times New Roman" w:eastAsia="Times New Roman" w:hAnsi="Times New Roman" w:cs="Times New Roman"/>
                <w:sz w:val="24"/>
                <w:szCs w:val="24"/>
                <w:lang w:val="ru-RU"/>
              </w:rPr>
              <w:t xml:space="preserve"> млн кВт. </w:t>
            </w:r>
            <w:r w:rsidR="005C44AB" w:rsidRPr="009E3EBE">
              <w:rPr>
                <w:rFonts w:ascii="Times New Roman" w:eastAsia="Times New Roman" w:hAnsi="Times New Roman" w:cs="Times New Roman"/>
                <w:sz w:val="24"/>
                <w:szCs w:val="24"/>
                <w:lang w:val="ru-RU"/>
              </w:rPr>
              <w:t>Ч</w:t>
            </w:r>
          </w:p>
        </w:tc>
        <w:tc>
          <w:tcPr>
            <w:tcW w:w="3870" w:type="dxa"/>
          </w:tcPr>
          <w:p w14:paraId="4765E1CB" w14:textId="2CBAD2BD" w:rsidR="002D3625" w:rsidRPr="009E3EBE" w:rsidRDefault="008723B6" w:rsidP="00A25CAB">
            <w:pPr>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При значениях показателя 1.7 кВт</w:t>
            </w:r>
            <w:r w:rsidR="000D5656" w:rsidRPr="009E3EBE">
              <w:rPr>
                <w:rFonts w:ascii="Times New Roman" w:eastAsia="Times New Roman" w:hAnsi="Times New Roman" w:cs="Times New Roman"/>
                <w:sz w:val="24"/>
                <w:szCs w:val="24"/>
                <w:lang w:val="ru-RU"/>
              </w:rPr>
              <w:t>*</w:t>
            </w:r>
            <w:r w:rsidRPr="009E3EBE">
              <w:rPr>
                <w:rFonts w:ascii="Times New Roman" w:eastAsia="Times New Roman" w:hAnsi="Times New Roman" w:cs="Times New Roman"/>
                <w:sz w:val="24"/>
                <w:szCs w:val="24"/>
                <w:lang w:val="ru-RU"/>
              </w:rPr>
              <w:t xml:space="preserve"> </w:t>
            </w:r>
            <w:r w:rsidR="000D5656" w:rsidRPr="009E3EBE">
              <w:rPr>
                <w:rFonts w:ascii="Times New Roman" w:eastAsia="Times New Roman" w:hAnsi="Times New Roman" w:cs="Times New Roman"/>
                <w:sz w:val="24"/>
                <w:szCs w:val="24"/>
                <w:lang w:val="ru-RU"/>
              </w:rPr>
              <w:t>ч</w:t>
            </w:r>
            <w:r w:rsidRPr="009E3EBE">
              <w:rPr>
                <w:rFonts w:ascii="Times New Roman" w:eastAsia="Times New Roman" w:hAnsi="Times New Roman" w:cs="Times New Roman"/>
                <w:sz w:val="24"/>
                <w:szCs w:val="24"/>
                <w:lang w:val="ru-RU"/>
              </w:rPr>
              <w:t xml:space="preserve"> показатель</w:t>
            </w:r>
            <w:r w:rsidR="00AD1F21" w:rsidRPr="009E3EBE">
              <w:rPr>
                <w:rFonts w:ascii="Times New Roman" w:eastAsia="Times New Roman" w:hAnsi="Times New Roman" w:cs="Times New Roman"/>
                <w:sz w:val="24"/>
                <w:szCs w:val="24"/>
                <w:lang w:val="ru-RU"/>
              </w:rPr>
              <w:t xml:space="preserve"> находится в</w:t>
            </w:r>
            <w:r w:rsidRPr="009E3EBE">
              <w:rPr>
                <w:rFonts w:ascii="Times New Roman" w:eastAsia="Times New Roman" w:hAnsi="Times New Roman" w:cs="Times New Roman"/>
                <w:sz w:val="24"/>
                <w:szCs w:val="24"/>
                <w:lang w:val="ru-RU"/>
              </w:rPr>
              <w:t xml:space="preserve"> кризисн</w:t>
            </w:r>
            <w:r w:rsidR="00AD1F21" w:rsidRPr="009E3EBE">
              <w:rPr>
                <w:rFonts w:ascii="Times New Roman" w:eastAsia="Times New Roman" w:hAnsi="Times New Roman" w:cs="Times New Roman"/>
                <w:sz w:val="24"/>
                <w:szCs w:val="24"/>
                <w:lang w:val="ru-RU"/>
              </w:rPr>
              <w:t>ом</w:t>
            </w:r>
            <w:r w:rsidRPr="009E3EBE">
              <w:rPr>
                <w:rFonts w:ascii="Times New Roman" w:eastAsia="Times New Roman" w:hAnsi="Times New Roman" w:cs="Times New Roman"/>
                <w:sz w:val="24"/>
                <w:szCs w:val="24"/>
                <w:lang w:val="ru-RU"/>
              </w:rPr>
              <w:t xml:space="preserve"> </w:t>
            </w:r>
            <w:r w:rsidR="00AD1F21" w:rsidRPr="009E3EBE">
              <w:rPr>
                <w:rFonts w:ascii="Times New Roman" w:eastAsia="Times New Roman" w:hAnsi="Times New Roman" w:cs="Times New Roman"/>
                <w:sz w:val="24"/>
                <w:szCs w:val="24"/>
                <w:lang w:val="ru-RU"/>
              </w:rPr>
              <w:t>(критическом) состоянии</w:t>
            </w:r>
            <w:r w:rsidRPr="009E3EBE">
              <w:rPr>
                <w:rFonts w:ascii="Times New Roman" w:eastAsia="Times New Roman" w:hAnsi="Times New Roman" w:cs="Times New Roman"/>
                <w:sz w:val="24"/>
                <w:szCs w:val="24"/>
                <w:lang w:val="ru-RU"/>
              </w:rPr>
              <w:t>.</w:t>
            </w:r>
          </w:p>
        </w:tc>
      </w:tr>
      <w:tr w:rsidR="002D3625" w:rsidRPr="003110E7" w14:paraId="038C4C44" w14:textId="2A93FF11" w:rsidTr="00C8233B">
        <w:trPr>
          <w:trHeight w:val="971"/>
        </w:trPr>
        <w:tc>
          <w:tcPr>
            <w:tcW w:w="5395" w:type="dxa"/>
          </w:tcPr>
          <w:p w14:paraId="11E43DB8" w14:textId="2AB608D1" w:rsidR="002D3625" w:rsidRPr="009E3EBE" w:rsidRDefault="006B6DFF" w:rsidP="00A25CAB">
            <w:pPr>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Процентное отношение мощности агрегатов, превысивших нормативный ресурс эксплуатации, к суммарной мощности агрегатов изолированных территорий РС</w:t>
            </w:r>
            <w:r w:rsidR="007A5215" w:rsidRPr="009E3EBE">
              <w:rPr>
                <w:rFonts w:ascii="Times New Roman" w:eastAsia="Times New Roman" w:hAnsi="Times New Roman" w:cs="Times New Roman"/>
                <w:sz w:val="24"/>
                <w:szCs w:val="24"/>
                <w:lang w:val="ru-RU"/>
              </w:rPr>
              <w:t>, %</w:t>
            </w:r>
          </w:p>
        </w:tc>
        <w:tc>
          <w:tcPr>
            <w:tcW w:w="3870" w:type="dxa"/>
          </w:tcPr>
          <w:p w14:paraId="0AACEC3F" w14:textId="0348F6B6" w:rsidR="002D3625" w:rsidRPr="009E3EBE" w:rsidRDefault="004D02CF" w:rsidP="00A25CAB">
            <w:pPr>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Показывает износ основных фондов электрогенерирующих объектов малой мощности</w:t>
            </w:r>
          </w:p>
        </w:tc>
      </w:tr>
      <w:tr w:rsidR="002D3625" w:rsidRPr="003110E7" w14:paraId="25CDE5CF" w14:textId="26EFE1CA" w:rsidTr="00C8233B">
        <w:trPr>
          <w:trHeight w:val="146"/>
        </w:trPr>
        <w:tc>
          <w:tcPr>
            <w:tcW w:w="5395" w:type="dxa"/>
          </w:tcPr>
          <w:p w14:paraId="38568679" w14:textId="0433D47E" w:rsidR="002D3625" w:rsidRPr="009E3EBE" w:rsidRDefault="007A5215" w:rsidP="00A25CAB">
            <w:pPr>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Величина недополученных доходов в связи с доведением цен на электрическую энергию до базовых уровней цен на электрическую энергию, млрд руб.</w:t>
            </w:r>
          </w:p>
        </w:tc>
        <w:tc>
          <w:tcPr>
            <w:tcW w:w="3870" w:type="dxa"/>
          </w:tcPr>
          <w:p w14:paraId="5BB5BF00" w14:textId="59B67B5F" w:rsidR="002D3625" w:rsidRPr="009E3EBE" w:rsidRDefault="004D02CF" w:rsidP="00A25CAB">
            <w:pPr>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Определяет дополнительную нагрузку на бюджет региона, связанную с компенсацией выпадающих доходов</w:t>
            </w:r>
          </w:p>
        </w:tc>
      </w:tr>
      <w:tr w:rsidR="002D3625" w:rsidRPr="003110E7" w14:paraId="3BCB769A" w14:textId="77777777" w:rsidTr="00C8233B">
        <w:trPr>
          <w:trHeight w:val="42"/>
        </w:trPr>
        <w:tc>
          <w:tcPr>
            <w:tcW w:w="5395" w:type="dxa"/>
          </w:tcPr>
          <w:p w14:paraId="5627C784" w14:textId="7C4C17FB" w:rsidR="002D3625" w:rsidRPr="009E3EBE" w:rsidRDefault="002D3625" w:rsidP="00A25CAB">
            <w:pPr>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Интегральный показатель энергетической безопасности изолированных территорий </w:t>
            </w:r>
            <w:r w:rsidR="004B2649" w:rsidRPr="009E3EBE">
              <w:rPr>
                <w:rFonts w:ascii="Times New Roman" w:eastAsia="Times New Roman" w:hAnsi="Times New Roman" w:cs="Times New Roman"/>
                <w:sz w:val="24"/>
                <w:szCs w:val="24"/>
                <w:lang w:val="ru-RU"/>
              </w:rPr>
              <w:t>РС</w:t>
            </w:r>
          </w:p>
        </w:tc>
        <w:tc>
          <w:tcPr>
            <w:tcW w:w="3870" w:type="dxa"/>
          </w:tcPr>
          <w:p w14:paraId="4DA1306C" w14:textId="5DEDD4AC" w:rsidR="002D3625" w:rsidRPr="009E3EBE" w:rsidRDefault="004D02CF" w:rsidP="00A25CAB">
            <w:pPr>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Сводный показатель, определяющий </w:t>
            </w:r>
            <w:r w:rsidR="002B19BE" w:rsidRPr="009E3EBE">
              <w:rPr>
                <w:rFonts w:ascii="Times New Roman" w:eastAsia="Times New Roman" w:hAnsi="Times New Roman" w:cs="Times New Roman"/>
                <w:sz w:val="24"/>
                <w:szCs w:val="24"/>
                <w:lang w:val="ru-RU"/>
              </w:rPr>
              <w:t>энергетическую безопасность</w:t>
            </w:r>
            <w:r w:rsidRPr="009E3EBE">
              <w:rPr>
                <w:rFonts w:ascii="Times New Roman" w:eastAsia="Times New Roman" w:hAnsi="Times New Roman" w:cs="Times New Roman"/>
                <w:sz w:val="24"/>
                <w:szCs w:val="24"/>
                <w:lang w:val="ru-RU"/>
              </w:rPr>
              <w:t xml:space="preserve"> региона </w:t>
            </w:r>
            <w:r w:rsidR="000009B4" w:rsidRPr="009E3EBE">
              <w:rPr>
                <w:rFonts w:ascii="Times New Roman" w:eastAsia="Times New Roman" w:hAnsi="Times New Roman" w:cs="Times New Roman"/>
                <w:sz w:val="24"/>
                <w:szCs w:val="24"/>
                <w:lang w:val="ru-RU"/>
              </w:rPr>
              <w:t>в динамике</w:t>
            </w:r>
            <w:r w:rsidR="00AD1F21" w:rsidRPr="009E3EBE">
              <w:rPr>
                <w:rFonts w:ascii="Times New Roman" w:eastAsia="Times New Roman" w:hAnsi="Times New Roman" w:cs="Times New Roman"/>
                <w:sz w:val="24"/>
                <w:szCs w:val="24"/>
                <w:lang w:val="ru-RU"/>
              </w:rPr>
              <w:t>, т. е. по сравнению с прошлыми периодами</w:t>
            </w:r>
          </w:p>
        </w:tc>
      </w:tr>
    </w:tbl>
    <w:p w14:paraId="6F8B7D51" w14:textId="77777777" w:rsidR="002B19BE" w:rsidRPr="009E3EBE" w:rsidRDefault="002B19BE" w:rsidP="00A25CAB">
      <w:pPr>
        <w:spacing w:line="240" w:lineRule="auto"/>
        <w:contextualSpacing/>
        <w:jc w:val="both"/>
        <w:rPr>
          <w:rFonts w:ascii="Times New Roman" w:eastAsia="Times New Roman" w:hAnsi="Times New Roman" w:cs="Times New Roman"/>
          <w:sz w:val="24"/>
          <w:szCs w:val="24"/>
          <w:lang w:val="ru-RU"/>
        </w:rPr>
      </w:pPr>
    </w:p>
    <w:p w14:paraId="6F75E8CE" w14:textId="603FEBFB" w:rsidR="002B19BE" w:rsidRPr="009E3EBE" w:rsidRDefault="00E3246B" w:rsidP="00A25CAB">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Анализ первого из представленных показателей показывает, </w:t>
      </w:r>
      <w:r w:rsidR="002B19BE" w:rsidRPr="009E3EBE">
        <w:rPr>
          <w:rFonts w:ascii="Times New Roman" w:eastAsia="Times New Roman" w:hAnsi="Times New Roman" w:cs="Times New Roman"/>
          <w:sz w:val="24"/>
          <w:szCs w:val="24"/>
          <w:lang w:val="ru-RU"/>
        </w:rPr>
        <w:t xml:space="preserve">что </w:t>
      </w:r>
      <w:r w:rsidR="00663399" w:rsidRPr="009E3EBE">
        <w:rPr>
          <w:rFonts w:ascii="Times New Roman" w:eastAsia="Times New Roman" w:hAnsi="Times New Roman" w:cs="Times New Roman"/>
          <w:sz w:val="24"/>
          <w:szCs w:val="24"/>
          <w:lang w:val="ru-RU"/>
        </w:rPr>
        <w:t>большая часть электроэнергии</w:t>
      </w:r>
      <w:r w:rsidR="005C44AB" w:rsidRPr="009E3EBE">
        <w:rPr>
          <w:rFonts w:ascii="Times New Roman" w:eastAsia="Times New Roman" w:hAnsi="Times New Roman" w:cs="Times New Roman"/>
          <w:sz w:val="24"/>
          <w:szCs w:val="24"/>
          <w:lang w:val="ru-RU"/>
        </w:rPr>
        <w:t>, которая потребляется на изолированных территориях РС, вырабатывается</w:t>
      </w:r>
      <w:r w:rsidR="00F21AC7" w:rsidRPr="009E3EBE">
        <w:rPr>
          <w:rFonts w:ascii="Times New Roman" w:eastAsia="Times New Roman" w:hAnsi="Times New Roman" w:cs="Times New Roman"/>
          <w:sz w:val="24"/>
          <w:szCs w:val="24"/>
          <w:lang w:val="ru-RU"/>
        </w:rPr>
        <w:t xml:space="preserve"> </w:t>
      </w:r>
      <w:r w:rsidR="005C44AB" w:rsidRPr="009E3EBE">
        <w:rPr>
          <w:rFonts w:ascii="Times New Roman" w:eastAsia="Times New Roman" w:hAnsi="Times New Roman" w:cs="Times New Roman"/>
          <w:sz w:val="24"/>
          <w:szCs w:val="24"/>
          <w:lang w:val="ru-RU"/>
        </w:rPr>
        <w:t>при помощи дизельных электростанций</w:t>
      </w:r>
      <w:r w:rsidR="00027E5E" w:rsidRPr="009E3EBE">
        <w:rPr>
          <w:rFonts w:ascii="Times New Roman" w:eastAsia="Times New Roman" w:hAnsi="Times New Roman" w:cs="Times New Roman"/>
          <w:sz w:val="24"/>
          <w:szCs w:val="24"/>
          <w:lang w:val="ru-RU"/>
        </w:rPr>
        <w:t xml:space="preserve"> </w:t>
      </w:r>
      <w:r w:rsidR="009D23E6" w:rsidRPr="009E3EBE">
        <w:rPr>
          <w:rFonts w:ascii="Times New Roman" w:eastAsia="Times New Roman" w:hAnsi="Times New Roman" w:cs="Times New Roman"/>
          <w:sz w:val="24"/>
          <w:szCs w:val="24"/>
          <w:lang w:val="ru-RU"/>
        </w:rPr>
        <w:t>(</w:t>
      </w:r>
      <w:r w:rsidR="00313C58" w:rsidRPr="009E3EBE">
        <w:rPr>
          <w:rFonts w:ascii="Times New Roman" w:eastAsia="Times New Roman" w:hAnsi="Times New Roman" w:cs="Times New Roman"/>
          <w:sz w:val="24"/>
          <w:szCs w:val="24"/>
          <w:lang w:val="ru-RU"/>
        </w:rPr>
        <w:t xml:space="preserve">далее - </w:t>
      </w:r>
      <w:r w:rsidR="009D23E6" w:rsidRPr="009E3EBE">
        <w:rPr>
          <w:rFonts w:ascii="Times New Roman" w:eastAsia="Times New Roman" w:hAnsi="Times New Roman" w:cs="Times New Roman"/>
          <w:sz w:val="24"/>
          <w:szCs w:val="24"/>
          <w:lang w:val="ru-RU"/>
        </w:rPr>
        <w:t>ДЭС)</w:t>
      </w:r>
      <w:r w:rsidR="000009B4" w:rsidRPr="009E3EBE">
        <w:rPr>
          <w:rFonts w:ascii="Times New Roman" w:eastAsia="Times New Roman" w:hAnsi="Times New Roman" w:cs="Times New Roman"/>
          <w:sz w:val="24"/>
          <w:szCs w:val="24"/>
          <w:lang w:val="ru-RU"/>
        </w:rPr>
        <w:t xml:space="preserve"> (рис. 1).</w:t>
      </w:r>
      <w:r w:rsidR="005C44AB" w:rsidRPr="009E3EBE">
        <w:rPr>
          <w:rFonts w:ascii="Times New Roman" w:eastAsia="Times New Roman" w:hAnsi="Times New Roman" w:cs="Times New Roman"/>
          <w:sz w:val="24"/>
          <w:szCs w:val="24"/>
          <w:lang w:val="ru-RU"/>
        </w:rPr>
        <w:t xml:space="preserve"> </w:t>
      </w:r>
      <w:r w:rsidR="000009B4" w:rsidRPr="009E3EBE">
        <w:rPr>
          <w:rFonts w:ascii="Times New Roman" w:eastAsia="Times New Roman" w:hAnsi="Times New Roman" w:cs="Times New Roman"/>
          <w:sz w:val="24"/>
          <w:szCs w:val="24"/>
          <w:lang w:val="ru-RU"/>
        </w:rPr>
        <w:t xml:space="preserve">Несмотря на то, что на таких территориях существуют немногочисленные ТЭС, </w:t>
      </w:r>
      <w:r w:rsidR="00373146" w:rsidRPr="009E3EBE">
        <w:rPr>
          <w:rFonts w:ascii="Times New Roman" w:eastAsia="Times New Roman" w:hAnsi="Times New Roman" w:cs="Times New Roman"/>
          <w:sz w:val="24"/>
          <w:szCs w:val="24"/>
          <w:lang w:val="ru-RU"/>
        </w:rPr>
        <w:t xml:space="preserve">дизельные электростанции </w:t>
      </w:r>
      <w:r w:rsidR="000009B4" w:rsidRPr="009E3EBE">
        <w:rPr>
          <w:rFonts w:ascii="Times New Roman" w:eastAsia="Times New Roman" w:hAnsi="Times New Roman" w:cs="Times New Roman"/>
          <w:sz w:val="24"/>
          <w:szCs w:val="24"/>
          <w:lang w:val="ru-RU"/>
        </w:rPr>
        <w:t>оста</w:t>
      </w:r>
      <w:r w:rsidR="00373146" w:rsidRPr="009E3EBE">
        <w:rPr>
          <w:rFonts w:ascii="Times New Roman" w:eastAsia="Times New Roman" w:hAnsi="Times New Roman" w:cs="Times New Roman"/>
          <w:sz w:val="24"/>
          <w:szCs w:val="24"/>
          <w:lang w:val="ru-RU"/>
        </w:rPr>
        <w:t>ю</w:t>
      </w:r>
      <w:r w:rsidR="000009B4" w:rsidRPr="009E3EBE">
        <w:rPr>
          <w:rFonts w:ascii="Times New Roman" w:eastAsia="Times New Roman" w:hAnsi="Times New Roman" w:cs="Times New Roman"/>
          <w:sz w:val="24"/>
          <w:szCs w:val="24"/>
          <w:lang w:val="ru-RU"/>
        </w:rPr>
        <w:t>тся доминирующим типом выработки энергии. Нетрудно заметить, что прирост потребления электроэнергии обеспечивается именно за счет роста генераци</w:t>
      </w:r>
      <w:r w:rsidR="00B17101" w:rsidRPr="009E3EBE">
        <w:rPr>
          <w:rFonts w:ascii="Times New Roman" w:eastAsia="Times New Roman" w:hAnsi="Times New Roman" w:cs="Times New Roman"/>
          <w:sz w:val="24"/>
          <w:szCs w:val="24"/>
          <w:lang w:val="ru-RU"/>
        </w:rPr>
        <w:t>и</w:t>
      </w:r>
      <w:r w:rsidR="000009B4" w:rsidRPr="009E3EBE">
        <w:rPr>
          <w:rFonts w:ascii="Times New Roman" w:eastAsia="Times New Roman" w:hAnsi="Times New Roman" w:cs="Times New Roman"/>
          <w:sz w:val="24"/>
          <w:szCs w:val="24"/>
          <w:lang w:val="ru-RU"/>
        </w:rPr>
        <w:t xml:space="preserve"> при помощи ДЭС, при этом</w:t>
      </w:r>
      <w:r w:rsidR="002B19BE" w:rsidRPr="009E3EBE">
        <w:rPr>
          <w:rFonts w:ascii="Times New Roman" w:eastAsia="Times New Roman" w:hAnsi="Times New Roman" w:cs="Times New Roman"/>
          <w:sz w:val="24"/>
          <w:szCs w:val="24"/>
          <w:lang w:val="ru-RU"/>
        </w:rPr>
        <w:t xml:space="preserve"> наиболее существенный рост наблюдался в 2021 году, что обусловлено вводом децентрализованных электростанций на некоторых удаленных и труднодоступных территориях (села </w:t>
      </w:r>
      <w:proofErr w:type="spellStart"/>
      <w:r w:rsidR="002B19BE" w:rsidRPr="009E3EBE">
        <w:rPr>
          <w:rFonts w:ascii="Times New Roman" w:eastAsia="Times New Roman" w:hAnsi="Times New Roman" w:cs="Times New Roman"/>
          <w:sz w:val="24"/>
          <w:szCs w:val="24"/>
          <w:lang w:val="ru-RU"/>
        </w:rPr>
        <w:t>Кулун-Елбют</w:t>
      </w:r>
      <w:proofErr w:type="spellEnd"/>
      <w:r w:rsidR="002B19BE" w:rsidRPr="009E3EBE">
        <w:rPr>
          <w:rFonts w:ascii="Times New Roman" w:eastAsia="Times New Roman" w:hAnsi="Times New Roman" w:cs="Times New Roman"/>
          <w:sz w:val="24"/>
          <w:szCs w:val="24"/>
          <w:lang w:val="ru-RU"/>
        </w:rPr>
        <w:t xml:space="preserve">, Хонуу, </w:t>
      </w:r>
      <w:proofErr w:type="spellStart"/>
      <w:r w:rsidR="002B19BE" w:rsidRPr="009E3EBE">
        <w:rPr>
          <w:rFonts w:ascii="Times New Roman" w:eastAsia="Times New Roman" w:hAnsi="Times New Roman" w:cs="Times New Roman"/>
          <w:sz w:val="24"/>
          <w:szCs w:val="24"/>
          <w:lang w:val="ru-RU"/>
        </w:rPr>
        <w:t>Чумпу-Кытыл</w:t>
      </w:r>
      <w:proofErr w:type="spellEnd"/>
      <w:r w:rsidR="002B19BE" w:rsidRPr="009E3EBE">
        <w:rPr>
          <w:rFonts w:ascii="Times New Roman" w:eastAsia="Times New Roman" w:hAnsi="Times New Roman" w:cs="Times New Roman"/>
          <w:sz w:val="24"/>
          <w:szCs w:val="24"/>
          <w:lang w:val="ru-RU"/>
        </w:rPr>
        <w:t xml:space="preserve"> и </w:t>
      </w:r>
      <w:proofErr w:type="spellStart"/>
      <w:r w:rsidR="002B19BE" w:rsidRPr="009E3EBE">
        <w:rPr>
          <w:rFonts w:ascii="Times New Roman" w:eastAsia="Times New Roman" w:hAnsi="Times New Roman" w:cs="Times New Roman"/>
          <w:sz w:val="24"/>
          <w:szCs w:val="24"/>
          <w:lang w:val="ru-RU"/>
        </w:rPr>
        <w:t>Сасыр</w:t>
      </w:r>
      <w:proofErr w:type="spellEnd"/>
      <w:r w:rsidR="002B19BE" w:rsidRPr="009E3EBE">
        <w:rPr>
          <w:rFonts w:ascii="Times New Roman" w:eastAsia="Times New Roman" w:hAnsi="Times New Roman" w:cs="Times New Roman"/>
          <w:sz w:val="24"/>
          <w:szCs w:val="24"/>
          <w:lang w:val="ru-RU"/>
        </w:rPr>
        <w:t>)</w:t>
      </w:r>
      <w:r w:rsidR="000009B4" w:rsidRPr="009E3EBE">
        <w:rPr>
          <w:rFonts w:ascii="Times New Roman" w:eastAsia="Times New Roman" w:hAnsi="Times New Roman" w:cs="Times New Roman"/>
          <w:sz w:val="24"/>
          <w:szCs w:val="24"/>
          <w:lang w:val="ru-RU"/>
        </w:rPr>
        <w:t xml:space="preserve">. </w:t>
      </w:r>
      <w:r w:rsidR="00B17101" w:rsidRPr="009E3EBE">
        <w:rPr>
          <w:rFonts w:ascii="Times New Roman" w:eastAsia="Times New Roman" w:hAnsi="Times New Roman" w:cs="Times New Roman"/>
          <w:sz w:val="24"/>
          <w:szCs w:val="24"/>
          <w:lang w:val="ru-RU"/>
        </w:rPr>
        <w:t>К</w:t>
      </w:r>
      <w:r w:rsidR="002B19BE" w:rsidRPr="009E3EBE">
        <w:rPr>
          <w:rFonts w:ascii="Times New Roman" w:eastAsia="Times New Roman" w:hAnsi="Times New Roman" w:cs="Times New Roman"/>
          <w:sz w:val="24"/>
          <w:szCs w:val="24"/>
          <w:lang w:val="ru-RU"/>
        </w:rPr>
        <w:t>омпани</w:t>
      </w:r>
      <w:r w:rsidR="007036D2" w:rsidRPr="009E3EBE">
        <w:rPr>
          <w:rFonts w:ascii="Times New Roman" w:eastAsia="Times New Roman" w:hAnsi="Times New Roman" w:cs="Times New Roman"/>
          <w:sz w:val="24"/>
          <w:szCs w:val="24"/>
          <w:lang w:val="ru-RU"/>
        </w:rPr>
        <w:t>я</w:t>
      </w:r>
      <w:r w:rsidR="002B19BE" w:rsidRPr="009E3EBE">
        <w:rPr>
          <w:rFonts w:ascii="Times New Roman" w:eastAsia="Times New Roman" w:hAnsi="Times New Roman" w:cs="Times New Roman"/>
          <w:sz w:val="24"/>
          <w:szCs w:val="24"/>
          <w:lang w:val="ru-RU"/>
        </w:rPr>
        <w:t xml:space="preserve"> «РусГидро»</w:t>
      </w:r>
      <w:r w:rsidR="007036D2" w:rsidRPr="009E3EBE">
        <w:rPr>
          <w:rFonts w:ascii="Times New Roman" w:eastAsia="Times New Roman" w:hAnsi="Times New Roman" w:cs="Times New Roman"/>
          <w:sz w:val="24"/>
          <w:szCs w:val="24"/>
          <w:lang w:val="ru-RU"/>
        </w:rPr>
        <w:t xml:space="preserve"> (строящая большую часть ДЭС в РС) </w:t>
      </w:r>
      <w:r w:rsidR="002B19BE" w:rsidRPr="009E3EBE">
        <w:rPr>
          <w:rFonts w:ascii="Times New Roman" w:eastAsia="Times New Roman" w:hAnsi="Times New Roman" w:cs="Times New Roman"/>
          <w:sz w:val="24"/>
          <w:szCs w:val="24"/>
          <w:lang w:val="ru-RU"/>
        </w:rPr>
        <w:t xml:space="preserve">говорит о том, что </w:t>
      </w:r>
      <w:r w:rsidR="007036D2" w:rsidRPr="009E3EBE">
        <w:rPr>
          <w:rFonts w:ascii="Times New Roman" w:eastAsia="Times New Roman" w:hAnsi="Times New Roman" w:cs="Times New Roman"/>
          <w:sz w:val="24"/>
          <w:szCs w:val="24"/>
          <w:lang w:val="ru-RU"/>
        </w:rPr>
        <w:t xml:space="preserve">новые энергокомплексы на базе дизельных станций будут более энергоэффективными и </w:t>
      </w:r>
      <w:r w:rsidR="00DB3F0C" w:rsidRPr="009E3EBE">
        <w:rPr>
          <w:rFonts w:ascii="Times New Roman" w:eastAsia="Times New Roman" w:hAnsi="Times New Roman" w:cs="Times New Roman"/>
          <w:sz w:val="24"/>
          <w:szCs w:val="24"/>
          <w:lang w:val="ru-RU"/>
        </w:rPr>
        <w:t>позвол</w:t>
      </w:r>
      <w:r w:rsidR="007036D2" w:rsidRPr="009E3EBE">
        <w:rPr>
          <w:rFonts w:ascii="Times New Roman" w:eastAsia="Times New Roman" w:hAnsi="Times New Roman" w:cs="Times New Roman"/>
          <w:sz w:val="24"/>
          <w:szCs w:val="24"/>
          <w:lang w:val="ru-RU"/>
        </w:rPr>
        <w:t>ят</w:t>
      </w:r>
      <w:r w:rsidR="00DB3F0C" w:rsidRPr="009E3EBE">
        <w:rPr>
          <w:rFonts w:ascii="Times New Roman" w:eastAsia="Times New Roman" w:hAnsi="Times New Roman" w:cs="Times New Roman"/>
          <w:sz w:val="24"/>
          <w:szCs w:val="24"/>
          <w:lang w:val="ru-RU"/>
        </w:rPr>
        <w:t xml:space="preserve"> экономить </w:t>
      </w:r>
      <w:r w:rsidR="002B19BE" w:rsidRPr="009E3EBE">
        <w:rPr>
          <w:rFonts w:ascii="Times New Roman" w:eastAsia="Times New Roman" w:hAnsi="Times New Roman" w:cs="Times New Roman"/>
          <w:sz w:val="24"/>
          <w:szCs w:val="24"/>
          <w:lang w:val="ru-RU"/>
        </w:rPr>
        <w:t>980 тонн дизельного топлива</w:t>
      </w:r>
      <w:r w:rsidR="00DB3F0C" w:rsidRPr="009E3EBE">
        <w:rPr>
          <w:rFonts w:ascii="Times New Roman" w:eastAsia="Times New Roman" w:hAnsi="Times New Roman" w:cs="Times New Roman"/>
          <w:sz w:val="24"/>
          <w:szCs w:val="24"/>
          <w:lang w:val="ru-RU"/>
        </w:rPr>
        <w:t xml:space="preserve"> в год</w:t>
      </w:r>
      <w:r w:rsidR="002B19BE" w:rsidRPr="009E3EBE">
        <w:rPr>
          <w:rFonts w:ascii="Times New Roman" w:eastAsia="Times New Roman" w:hAnsi="Times New Roman" w:cs="Times New Roman"/>
          <w:sz w:val="24"/>
          <w:szCs w:val="24"/>
          <w:lang w:val="ru-RU"/>
        </w:rPr>
        <w:t xml:space="preserve">. </w:t>
      </w:r>
      <w:r w:rsidR="00B17101" w:rsidRPr="009E3EBE">
        <w:rPr>
          <w:rFonts w:ascii="Times New Roman" w:eastAsia="Times New Roman" w:hAnsi="Times New Roman" w:cs="Times New Roman"/>
          <w:sz w:val="24"/>
          <w:szCs w:val="24"/>
          <w:lang w:val="ru-RU"/>
        </w:rPr>
        <w:t>Однако д</w:t>
      </w:r>
      <w:r w:rsidR="002B19BE" w:rsidRPr="009E3EBE">
        <w:rPr>
          <w:rFonts w:ascii="Times New Roman" w:eastAsia="Times New Roman" w:hAnsi="Times New Roman" w:cs="Times New Roman"/>
          <w:sz w:val="24"/>
          <w:szCs w:val="24"/>
          <w:lang w:val="ru-RU"/>
        </w:rPr>
        <w:t xml:space="preserve">инамика показателя и </w:t>
      </w:r>
      <w:r w:rsidR="00B44CE1" w:rsidRPr="009E3EBE">
        <w:rPr>
          <w:rFonts w:ascii="Times New Roman" w:eastAsia="Times New Roman" w:hAnsi="Times New Roman" w:cs="Times New Roman"/>
          <w:sz w:val="24"/>
          <w:szCs w:val="24"/>
          <w:lang w:val="ru-RU"/>
        </w:rPr>
        <w:t xml:space="preserve">действующая система введения мощностей </w:t>
      </w:r>
      <w:r w:rsidR="002B19BE" w:rsidRPr="009E3EBE">
        <w:rPr>
          <w:rFonts w:ascii="Times New Roman" w:eastAsia="Times New Roman" w:hAnsi="Times New Roman" w:cs="Times New Roman"/>
          <w:sz w:val="24"/>
          <w:szCs w:val="24"/>
          <w:lang w:val="ru-RU"/>
        </w:rPr>
        <w:t xml:space="preserve">подтверждают, </w:t>
      </w:r>
      <w:r w:rsidR="00B44CE1" w:rsidRPr="009E3EBE">
        <w:rPr>
          <w:rFonts w:ascii="Times New Roman" w:eastAsia="Times New Roman" w:hAnsi="Times New Roman" w:cs="Times New Roman"/>
          <w:sz w:val="24"/>
          <w:szCs w:val="24"/>
          <w:lang w:val="ru-RU"/>
        </w:rPr>
        <w:t xml:space="preserve">что </w:t>
      </w:r>
      <w:r w:rsidR="002B19BE" w:rsidRPr="009E3EBE">
        <w:rPr>
          <w:rFonts w:ascii="Times New Roman" w:eastAsia="Times New Roman" w:hAnsi="Times New Roman" w:cs="Times New Roman"/>
          <w:sz w:val="24"/>
          <w:szCs w:val="24"/>
          <w:lang w:val="ru-RU"/>
        </w:rPr>
        <w:t>существенными остаются угрозы:</w:t>
      </w:r>
    </w:p>
    <w:p w14:paraId="19712BFC" w14:textId="5830DAF8" w:rsidR="002B19BE" w:rsidRPr="009E3EBE" w:rsidRDefault="007036D2" w:rsidP="00A25CAB">
      <w:pPr>
        <w:pStyle w:val="ListParagraph"/>
        <w:numPr>
          <w:ilvl w:val="0"/>
          <w:numId w:val="11"/>
        </w:numPr>
        <w:spacing w:line="240" w:lineRule="auto"/>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крайне сильной зависимости от </w:t>
      </w:r>
      <w:proofErr w:type="spellStart"/>
      <w:r w:rsidRPr="009E3EBE">
        <w:rPr>
          <w:rFonts w:ascii="Times New Roman" w:eastAsia="Times New Roman" w:hAnsi="Times New Roman" w:cs="Times New Roman"/>
          <w:sz w:val="24"/>
          <w:szCs w:val="24"/>
          <w:lang w:val="ru-RU"/>
        </w:rPr>
        <w:t>электрогенерации</w:t>
      </w:r>
      <w:proofErr w:type="spellEnd"/>
      <w:r w:rsidRPr="009E3EBE">
        <w:rPr>
          <w:rFonts w:ascii="Times New Roman" w:eastAsia="Times New Roman" w:hAnsi="Times New Roman" w:cs="Times New Roman"/>
          <w:sz w:val="24"/>
          <w:szCs w:val="24"/>
          <w:lang w:val="ru-RU"/>
        </w:rPr>
        <w:t xml:space="preserve"> одним типом станции, ДЭС</w:t>
      </w:r>
      <w:r w:rsidR="002B19BE" w:rsidRPr="009E3EBE">
        <w:rPr>
          <w:rFonts w:ascii="Times New Roman" w:eastAsia="Times New Roman" w:hAnsi="Times New Roman" w:cs="Times New Roman"/>
          <w:sz w:val="24"/>
          <w:szCs w:val="24"/>
          <w:lang w:val="ru-RU"/>
        </w:rPr>
        <w:t>;</w:t>
      </w:r>
    </w:p>
    <w:p w14:paraId="25B133D9" w14:textId="1D8CA93E" w:rsidR="002B19BE" w:rsidRPr="009E3EBE" w:rsidRDefault="007036D2" w:rsidP="00A25CAB">
      <w:pPr>
        <w:pStyle w:val="ListParagraph"/>
        <w:numPr>
          <w:ilvl w:val="0"/>
          <w:numId w:val="11"/>
        </w:numPr>
        <w:spacing w:line="240" w:lineRule="auto"/>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невозможности быстрого обновления генерирующей инфраструктуры;</w:t>
      </w:r>
    </w:p>
    <w:p w14:paraId="1A1EC262" w14:textId="365D72EF" w:rsidR="002B19BE" w:rsidRPr="009E3EBE" w:rsidRDefault="002B19BE" w:rsidP="00A25CAB">
      <w:pPr>
        <w:pStyle w:val="ListParagraph"/>
        <w:numPr>
          <w:ilvl w:val="0"/>
          <w:numId w:val="11"/>
        </w:numPr>
        <w:spacing w:line="240" w:lineRule="auto"/>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нехватки </w:t>
      </w:r>
      <w:r w:rsidR="007036D2" w:rsidRPr="009E3EBE">
        <w:rPr>
          <w:rFonts w:ascii="Times New Roman" w:eastAsia="Times New Roman" w:hAnsi="Times New Roman" w:cs="Times New Roman"/>
          <w:sz w:val="24"/>
          <w:szCs w:val="24"/>
          <w:lang w:val="ru-RU"/>
        </w:rPr>
        <w:t xml:space="preserve">иных </w:t>
      </w:r>
      <w:r w:rsidRPr="009E3EBE">
        <w:rPr>
          <w:rFonts w:ascii="Times New Roman" w:eastAsia="Times New Roman" w:hAnsi="Times New Roman" w:cs="Times New Roman"/>
          <w:sz w:val="24"/>
          <w:szCs w:val="24"/>
          <w:lang w:val="ru-RU"/>
        </w:rPr>
        <w:t>источников генерации</w:t>
      </w:r>
      <w:r w:rsidR="007036D2" w:rsidRPr="009E3EBE">
        <w:rPr>
          <w:rFonts w:ascii="Times New Roman" w:eastAsia="Times New Roman" w:hAnsi="Times New Roman" w:cs="Times New Roman"/>
          <w:sz w:val="24"/>
          <w:szCs w:val="24"/>
          <w:lang w:val="ru-RU"/>
        </w:rPr>
        <w:t>.</w:t>
      </w:r>
    </w:p>
    <w:p w14:paraId="7EE8F559" w14:textId="1AA7D257" w:rsidR="00D80415" w:rsidRPr="009E3EBE" w:rsidRDefault="00A25CAB" w:rsidP="00A25CAB">
      <w:pPr>
        <w:spacing w:line="240" w:lineRule="auto"/>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noProof/>
          <w:sz w:val="24"/>
          <w:szCs w:val="24"/>
          <w:lang w:val="ru-RU"/>
        </w:rPr>
        <w:lastRenderedPageBreak/>
        <w:drawing>
          <wp:inline distT="0" distB="0" distL="0" distR="0" wp14:anchorId="3BAD586F" wp14:editId="09490FDE">
            <wp:extent cx="5876925" cy="3317358"/>
            <wp:effectExtent l="0" t="0" r="9525" b="1651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F9DC66" w14:textId="77777777" w:rsidR="00663399" w:rsidRPr="009E3EBE" w:rsidRDefault="006E7186" w:rsidP="00A25CAB">
      <w:pPr>
        <w:spacing w:line="240" w:lineRule="auto"/>
        <w:contextualSpacing/>
        <w:jc w:val="center"/>
        <w:rPr>
          <w:rFonts w:ascii="Times New Roman" w:eastAsia="Times New Roman" w:hAnsi="Times New Roman" w:cs="Times New Roman"/>
          <w:b/>
          <w:bCs/>
          <w:i/>
          <w:iCs/>
          <w:sz w:val="24"/>
          <w:szCs w:val="24"/>
          <w:lang w:val="ru-RU"/>
        </w:rPr>
      </w:pPr>
      <w:r w:rsidRPr="009E3EBE">
        <w:rPr>
          <w:rFonts w:ascii="Times New Roman" w:eastAsia="Times New Roman" w:hAnsi="Times New Roman" w:cs="Times New Roman"/>
          <w:b/>
          <w:bCs/>
          <w:i/>
          <w:iCs/>
          <w:sz w:val="24"/>
          <w:szCs w:val="24"/>
          <w:lang w:val="ru-RU"/>
        </w:rPr>
        <w:t xml:space="preserve">Рис.1. Динамика выработки электроэнергии </w:t>
      </w:r>
      <w:r w:rsidR="00663399" w:rsidRPr="009E3EBE">
        <w:rPr>
          <w:rFonts w:ascii="Times New Roman" w:eastAsia="Times New Roman" w:hAnsi="Times New Roman" w:cs="Times New Roman"/>
          <w:b/>
          <w:bCs/>
          <w:i/>
          <w:iCs/>
          <w:sz w:val="24"/>
          <w:szCs w:val="24"/>
          <w:lang w:val="ru-RU"/>
        </w:rPr>
        <w:t xml:space="preserve">на ДЭС в </w:t>
      </w:r>
    </w:p>
    <w:p w14:paraId="298018FD" w14:textId="0B3ED0EB" w:rsidR="006E7186" w:rsidRPr="009E3EBE" w:rsidRDefault="006E7186" w:rsidP="00A25CAB">
      <w:pPr>
        <w:spacing w:line="240" w:lineRule="auto"/>
        <w:contextualSpacing/>
        <w:jc w:val="center"/>
        <w:rPr>
          <w:rFonts w:ascii="Times New Roman" w:eastAsia="Times New Roman" w:hAnsi="Times New Roman" w:cs="Times New Roman"/>
          <w:b/>
          <w:bCs/>
          <w:i/>
          <w:iCs/>
          <w:sz w:val="24"/>
          <w:szCs w:val="24"/>
          <w:lang w:val="ru-RU"/>
        </w:rPr>
      </w:pPr>
      <w:r w:rsidRPr="009E3EBE">
        <w:rPr>
          <w:rFonts w:ascii="Times New Roman" w:eastAsia="Times New Roman" w:hAnsi="Times New Roman" w:cs="Times New Roman"/>
          <w:b/>
          <w:bCs/>
          <w:i/>
          <w:iCs/>
          <w:sz w:val="24"/>
          <w:szCs w:val="24"/>
          <w:lang w:val="ru-RU"/>
        </w:rPr>
        <w:t>изолированны</w:t>
      </w:r>
      <w:r w:rsidR="00663399" w:rsidRPr="009E3EBE">
        <w:rPr>
          <w:rFonts w:ascii="Times New Roman" w:eastAsia="Times New Roman" w:hAnsi="Times New Roman" w:cs="Times New Roman"/>
          <w:b/>
          <w:bCs/>
          <w:i/>
          <w:iCs/>
          <w:sz w:val="24"/>
          <w:szCs w:val="24"/>
          <w:lang w:val="ru-RU"/>
        </w:rPr>
        <w:t>х</w:t>
      </w:r>
      <w:r w:rsidRPr="009E3EBE">
        <w:rPr>
          <w:rFonts w:ascii="Times New Roman" w:eastAsia="Times New Roman" w:hAnsi="Times New Roman" w:cs="Times New Roman"/>
          <w:b/>
          <w:bCs/>
          <w:i/>
          <w:iCs/>
          <w:sz w:val="24"/>
          <w:szCs w:val="24"/>
          <w:lang w:val="ru-RU"/>
        </w:rPr>
        <w:t xml:space="preserve"> </w:t>
      </w:r>
      <w:r w:rsidR="005C44AB" w:rsidRPr="009E3EBE">
        <w:rPr>
          <w:rFonts w:ascii="Times New Roman" w:eastAsia="Times New Roman" w:hAnsi="Times New Roman" w:cs="Times New Roman"/>
          <w:b/>
          <w:bCs/>
          <w:i/>
          <w:iCs/>
          <w:sz w:val="24"/>
          <w:szCs w:val="24"/>
          <w:lang w:val="ru-RU"/>
        </w:rPr>
        <w:t>территориях РС</w:t>
      </w:r>
      <w:r w:rsidR="00663399" w:rsidRPr="009E3EBE">
        <w:rPr>
          <w:rFonts w:ascii="Times New Roman" w:eastAsia="Times New Roman" w:hAnsi="Times New Roman" w:cs="Times New Roman"/>
          <w:b/>
          <w:bCs/>
          <w:i/>
          <w:iCs/>
          <w:sz w:val="24"/>
          <w:szCs w:val="24"/>
          <w:lang w:val="ru-RU"/>
        </w:rPr>
        <w:t xml:space="preserve">, </w:t>
      </w:r>
      <w:r w:rsidR="005C44AB" w:rsidRPr="009E3EBE">
        <w:rPr>
          <w:rFonts w:ascii="Times New Roman" w:eastAsia="Times New Roman" w:hAnsi="Times New Roman" w:cs="Times New Roman"/>
          <w:b/>
          <w:bCs/>
          <w:i/>
          <w:iCs/>
          <w:sz w:val="24"/>
          <w:szCs w:val="24"/>
          <w:lang w:val="ru-RU"/>
        </w:rPr>
        <w:t>2017–2021</w:t>
      </w:r>
      <w:r w:rsidR="00663399" w:rsidRPr="009E3EBE">
        <w:rPr>
          <w:rFonts w:ascii="Times New Roman" w:eastAsia="Times New Roman" w:hAnsi="Times New Roman" w:cs="Times New Roman"/>
          <w:b/>
          <w:bCs/>
          <w:i/>
          <w:iCs/>
          <w:sz w:val="24"/>
          <w:szCs w:val="24"/>
          <w:lang w:val="ru-RU"/>
        </w:rPr>
        <w:t xml:space="preserve"> гг. </w:t>
      </w:r>
    </w:p>
    <w:p w14:paraId="33B4CB16" w14:textId="127A620A" w:rsidR="004D02CF" w:rsidRPr="009E3EBE" w:rsidRDefault="00C8233B" w:rsidP="00C8233B">
      <w:pPr>
        <w:spacing w:line="240" w:lineRule="auto"/>
        <w:contextualSpacing/>
        <w:jc w:val="center"/>
        <w:rPr>
          <w:rFonts w:ascii="Times New Roman" w:eastAsia="Times New Roman" w:hAnsi="Times New Roman" w:cs="Times New Roman"/>
          <w:sz w:val="20"/>
          <w:szCs w:val="20"/>
          <w:lang w:val="ru-RU"/>
        </w:rPr>
      </w:pPr>
      <w:r w:rsidRPr="009E3EBE">
        <w:rPr>
          <w:rFonts w:ascii="Times New Roman" w:eastAsia="Times New Roman" w:hAnsi="Times New Roman" w:cs="Times New Roman"/>
          <w:sz w:val="20"/>
          <w:szCs w:val="20"/>
          <w:lang w:val="ru-RU"/>
        </w:rPr>
        <w:t>Источник: составлено по материалам [</w:t>
      </w:r>
      <w:r w:rsidR="00201DAC" w:rsidRPr="009E3EBE">
        <w:rPr>
          <w:rFonts w:ascii="Times New Roman" w:eastAsia="Times New Roman" w:hAnsi="Times New Roman" w:cs="Times New Roman"/>
          <w:sz w:val="20"/>
          <w:szCs w:val="20"/>
          <w:lang w:val="ru-RU"/>
        </w:rPr>
        <w:t>4</w:t>
      </w:r>
      <w:r w:rsidRPr="009E3EBE">
        <w:rPr>
          <w:rFonts w:ascii="Times New Roman" w:eastAsia="Times New Roman" w:hAnsi="Times New Roman" w:cs="Times New Roman"/>
          <w:sz w:val="20"/>
          <w:szCs w:val="20"/>
          <w:lang w:val="ru-RU"/>
        </w:rPr>
        <w:t>]</w:t>
      </w:r>
    </w:p>
    <w:p w14:paraId="42178315" w14:textId="0681CCEA" w:rsidR="00A25CAB" w:rsidRPr="009E3EBE" w:rsidRDefault="008723B6" w:rsidP="00B17101">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Обратной стороной производства электроэнергии является ее потребление. Здесь важно оценить, насколько близок уровень фактического суточного потребления электроэнергии к</w:t>
      </w:r>
      <w:r w:rsidR="004F055F" w:rsidRPr="009E3EBE">
        <w:rPr>
          <w:rFonts w:ascii="Times New Roman" w:eastAsia="Times New Roman" w:hAnsi="Times New Roman" w:cs="Times New Roman"/>
          <w:sz w:val="24"/>
          <w:szCs w:val="24"/>
          <w:lang w:val="ru-RU"/>
        </w:rPr>
        <w:t xml:space="preserve"> критическому значению</w:t>
      </w:r>
      <w:r w:rsidR="00DE14E8" w:rsidRPr="009E3EBE">
        <w:rPr>
          <w:rFonts w:ascii="Times New Roman" w:eastAsia="Times New Roman" w:hAnsi="Times New Roman" w:cs="Times New Roman"/>
          <w:sz w:val="24"/>
          <w:szCs w:val="24"/>
          <w:lang w:val="ru-RU"/>
        </w:rPr>
        <w:t>, рассчитанному на основе</w:t>
      </w:r>
      <w:r w:rsidR="006C4B20" w:rsidRPr="009E3EBE">
        <w:rPr>
          <w:rFonts w:ascii="Times New Roman" w:eastAsia="Times New Roman" w:hAnsi="Times New Roman" w:cs="Times New Roman"/>
          <w:sz w:val="24"/>
          <w:szCs w:val="24"/>
          <w:lang w:val="ru-RU"/>
        </w:rPr>
        <w:t xml:space="preserve"> </w:t>
      </w:r>
      <w:r w:rsidR="006C4B20" w:rsidRPr="009E3EBE">
        <w:rPr>
          <w:rFonts w:ascii="Times New Roman" w:hAnsi="Times New Roman" w:cs="Times New Roman"/>
          <w:sz w:val="24"/>
          <w:szCs w:val="24"/>
          <w:lang w:val="ru-RU"/>
        </w:rPr>
        <w:t xml:space="preserve">нормативов потребления коммунальных услуг по РС </w:t>
      </w:r>
      <w:r w:rsidR="00201DAC" w:rsidRPr="009E3EBE">
        <w:rPr>
          <w:rFonts w:ascii="Times New Roman" w:eastAsia="Times New Roman" w:hAnsi="Times New Roman" w:cs="Times New Roman"/>
          <w:sz w:val="24"/>
          <w:szCs w:val="24"/>
          <w:lang w:val="ru-RU"/>
        </w:rPr>
        <w:t>[3],</w:t>
      </w:r>
      <w:r w:rsidR="00C8233B" w:rsidRPr="009E3EBE">
        <w:rPr>
          <w:rFonts w:ascii="Times New Roman" w:eastAsia="Times New Roman" w:hAnsi="Times New Roman" w:cs="Times New Roman"/>
          <w:sz w:val="24"/>
          <w:szCs w:val="24"/>
          <w:lang w:val="ru-RU"/>
        </w:rPr>
        <w:t>[</w:t>
      </w:r>
      <w:r w:rsidR="00201DAC" w:rsidRPr="009E3EBE">
        <w:rPr>
          <w:rFonts w:ascii="Times New Roman" w:eastAsia="Times New Roman" w:hAnsi="Times New Roman" w:cs="Times New Roman"/>
          <w:sz w:val="24"/>
          <w:szCs w:val="24"/>
          <w:lang w:val="ru-RU"/>
        </w:rPr>
        <w:t>13</w:t>
      </w:r>
      <w:r w:rsidR="00C8233B" w:rsidRPr="009E3EBE">
        <w:rPr>
          <w:rFonts w:ascii="Times New Roman" w:eastAsia="Times New Roman" w:hAnsi="Times New Roman" w:cs="Times New Roman"/>
          <w:sz w:val="24"/>
          <w:szCs w:val="24"/>
          <w:lang w:val="ru-RU"/>
        </w:rPr>
        <w:t xml:space="preserve">]. </w:t>
      </w:r>
      <w:r w:rsidR="00A25CAB" w:rsidRPr="009E3EBE">
        <w:rPr>
          <w:rFonts w:ascii="Times New Roman" w:eastAsia="Times New Roman" w:hAnsi="Times New Roman" w:cs="Times New Roman"/>
          <w:sz w:val="24"/>
          <w:szCs w:val="24"/>
          <w:lang w:val="ru-RU"/>
        </w:rPr>
        <w:t xml:space="preserve">За исследуемый период объем </w:t>
      </w:r>
      <w:r w:rsidR="00DE14E8" w:rsidRPr="009E3EBE">
        <w:rPr>
          <w:rFonts w:ascii="Times New Roman" w:eastAsia="Times New Roman" w:hAnsi="Times New Roman" w:cs="Times New Roman"/>
          <w:sz w:val="24"/>
          <w:szCs w:val="24"/>
          <w:lang w:val="ru-RU"/>
        </w:rPr>
        <w:t xml:space="preserve">суточного </w:t>
      </w:r>
      <w:r w:rsidR="00A25CAB" w:rsidRPr="009E3EBE">
        <w:rPr>
          <w:rFonts w:ascii="Times New Roman" w:eastAsia="Times New Roman" w:hAnsi="Times New Roman" w:cs="Times New Roman"/>
          <w:sz w:val="24"/>
          <w:szCs w:val="24"/>
          <w:lang w:val="ru-RU"/>
        </w:rPr>
        <w:t xml:space="preserve">потребления </w:t>
      </w:r>
      <w:r w:rsidR="00B90D24" w:rsidRPr="009E3EBE">
        <w:rPr>
          <w:rFonts w:ascii="Times New Roman" w:eastAsia="Times New Roman" w:hAnsi="Times New Roman" w:cs="Times New Roman"/>
          <w:sz w:val="24"/>
          <w:szCs w:val="24"/>
          <w:lang w:val="ru-RU"/>
        </w:rPr>
        <w:t xml:space="preserve">электроэнергии на душу населения </w:t>
      </w:r>
      <w:r w:rsidR="00A25CAB" w:rsidRPr="009E3EBE">
        <w:rPr>
          <w:rFonts w:ascii="Times New Roman" w:eastAsia="Times New Roman" w:hAnsi="Times New Roman" w:cs="Times New Roman"/>
          <w:sz w:val="24"/>
          <w:szCs w:val="24"/>
          <w:lang w:val="ru-RU"/>
        </w:rPr>
        <w:t xml:space="preserve">вырос примерно на </w:t>
      </w:r>
      <w:r w:rsidR="00DE14E8" w:rsidRPr="009E3EBE">
        <w:rPr>
          <w:rFonts w:ascii="Times New Roman" w:eastAsia="Times New Roman" w:hAnsi="Times New Roman" w:cs="Times New Roman"/>
          <w:sz w:val="24"/>
          <w:szCs w:val="24"/>
          <w:lang w:val="ru-RU"/>
        </w:rPr>
        <w:t>5</w:t>
      </w:r>
      <w:r w:rsidR="00A25CAB" w:rsidRPr="009E3EBE">
        <w:rPr>
          <w:rFonts w:ascii="Times New Roman" w:eastAsia="Times New Roman" w:hAnsi="Times New Roman" w:cs="Times New Roman"/>
          <w:sz w:val="24"/>
          <w:szCs w:val="24"/>
          <w:lang w:val="ru-RU"/>
        </w:rPr>
        <w:t>% (</w:t>
      </w:r>
      <w:r w:rsidR="00572E5A" w:rsidRPr="009E3EBE">
        <w:rPr>
          <w:rFonts w:ascii="Times New Roman" w:eastAsia="Times New Roman" w:hAnsi="Times New Roman" w:cs="Times New Roman"/>
          <w:sz w:val="24"/>
          <w:szCs w:val="24"/>
          <w:lang w:val="ru-RU"/>
        </w:rPr>
        <w:t>р</w:t>
      </w:r>
      <w:r w:rsidR="00A25CAB" w:rsidRPr="009E3EBE">
        <w:rPr>
          <w:rFonts w:ascii="Times New Roman" w:eastAsia="Times New Roman" w:hAnsi="Times New Roman" w:cs="Times New Roman"/>
          <w:sz w:val="24"/>
          <w:szCs w:val="24"/>
          <w:lang w:val="ru-RU"/>
        </w:rPr>
        <w:t xml:space="preserve">ис. 2). </w:t>
      </w:r>
      <w:r w:rsidR="00B17101" w:rsidRPr="009E3EBE">
        <w:rPr>
          <w:rFonts w:ascii="Times New Roman" w:eastAsia="Times New Roman" w:hAnsi="Times New Roman" w:cs="Times New Roman"/>
          <w:sz w:val="24"/>
          <w:szCs w:val="24"/>
          <w:lang w:val="ru-RU"/>
        </w:rPr>
        <w:t xml:space="preserve">Но </w:t>
      </w:r>
      <w:r w:rsidR="00DE14E8" w:rsidRPr="009E3EBE">
        <w:rPr>
          <w:rFonts w:ascii="Times New Roman" w:eastAsia="Times New Roman" w:hAnsi="Times New Roman" w:cs="Times New Roman"/>
          <w:sz w:val="24"/>
          <w:szCs w:val="24"/>
          <w:lang w:val="ru-RU"/>
        </w:rPr>
        <w:t xml:space="preserve">необходимо понимать, что это усредненный показатель по всем изолированным территориям, соответственно, во многих регионах показатель будет ниже </w:t>
      </w:r>
      <w:r w:rsidR="004F055F" w:rsidRPr="009E3EBE">
        <w:rPr>
          <w:rFonts w:ascii="Times New Roman" w:eastAsia="Times New Roman" w:hAnsi="Times New Roman" w:cs="Times New Roman"/>
          <w:sz w:val="24"/>
          <w:szCs w:val="24"/>
          <w:lang w:val="ru-RU"/>
        </w:rPr>
        <w:t xml:space="preserve">критического </w:t>
      </w:r>
      <w:r w:rsidR="00DE14E8" w:rsidRPr="009E3EBE">
        <w:rPr>
          <w:rFonts w:ascii="Times New Roman" w:eastAsia="Times New Roman" w:hAnsi="Times New Roman" w:cs="Times New Roman"/>
          <w:sz w:val="24"/>
          <w:szCs w:val="24"/>
          <w:lang w:val="ru-RU"/>
        </w:rPr>
        <w:t xml:space="preserve">значения. </w:t>
      </w:r>
      <w:r w:rsidR="00A25CAB" w:rsidRPr="009E3EBE">
        <w:rPr>
          <w:rFonts w:ascii="Times New Roman" w:eastAsia="Times New Roman" w:hAnsi="Times New Roman" w:cs="Times New Roman"/>
          <w:sz w:val="24"/>
          <w:szCs w:val="24"/>
          <w:lang w:val="ru-RU"/>
        </w:rPr>
        <w:t>Основными потребителями электроэнергии в изолированных территориях являются население и коммунально-бытовые потребители, их доля составляет примерно 65%. Население большинства изолированных территорий (например, Верхоянского и Булунского улуса) снижается с 2017 года, но душевое потребление электроэнергии растет.</w:t>
      </w:r>
      <w:r w:rsidR="00DE14E8" w:rsidRPr="009E3EBE">
        <w:rPr>
          <w:rFonts w:ascii="Times New Roman" w:eastAsia="Times New Roman" w:hAnsi="Times New Roman" w:cs="Times New Roman"/>
          <w:sz w:val="24"/>
          <w:szCs w:val="24"/>
          <w:lang w:val="ru-RU"/>
        </w:rPr>
        <w:t xml:space="preserve"> Тем не менее</w:t>
      </w:r>
      <w:r w:rsidR="00A25CAB" w:rsidRPr="009E3EBE">
        <w:rPr>
          <w:rFonts w:ascii="Times New Roman" w:eastAsia="Times New Roman" w:hAnsi="Times New Roman" w:cs="Times New Roman"/>
          <w:sz w:val="24"/>
          <w:szCs w:val="24"/>
          <w:lang w:val="ru-RU"/>
        </w:rPr>
        <w:t xml:space="preserve">, </w:t>
      </w:r>
      <w:r w:rsidR="00DE14E8" w:rsidRPr="009E3EBE">
        <w:rPr>
          <w:rFonts w:ascii="Times New Roman" w:eastAsia="Times New Roman" w:hAnsi="Times New Roman" w:cs="Times New Roman"/>
          <w:sz w:val="24"/>
          <w:szCs w:val="24"/>
          <w:lang w:val="ru-RU"/>
        </w:rPr>
        <w:t xml:space="preserve">близкое к </w:t>
      </w:r>
      <w:r w:rsidR="004F055F" w:rsidRPr="009E3EBE">
        <w:rPr>
          <w:rFonts w:ascii="Times New Roman" w:eastAsia="Times New Roman" w:hAnsi="Times New Roman" w:cs="Times New Roman"/>
          <w:sz w:val="24"/>
          <w:szCs w:val="24"/>
          <w:lang w:val="ru-RU"/>
        </w:rPr>
        <w:t xml:space="preserve">критическому </w:t>
      </w:r>
      <w:r w:rsidR="00DE14E8" w:rsidRPr="009E3EBE">
        <w:rPr>
          <w:rFonts w:ascii="Times New Roman" w:eastAsia="Times New Roman" w:hAnsi="Times New Roman" w:cs="Times New Roman"/>
          <w:sz w:val="24"/>
          <w:szCs w:val="24"/>
          <w:lang w:val="ru-RU"/>
        </w:rPr>
        <w:t xml:space="preserve">значение говорит нам о том, что </w:t>
      </w:r>
      <w:r w:rsidR="00A25CAB" w:rsidRPr="009E3EBE">
        <w:rPr>
          <w:rFonts w:ascii="Times New Roman" w:eastAsia="Times New Roman" w:hAnsi="Times New Roman" w:cs="Times New Roman"/>
          <w:sz w:val="24"/>
          <w:szCs w:val="24"/>
          <w:lang w:val="ru-RU"/>
        </w:rPr>
        <w:t>на территориях, изолированных от единой энергетической системы, актуальной остается угроза недостаточной обеспеченности</w:t>
      </w:r>
      <w:r w:rsidR="00DE14E8" w:rsidRPr="009E3EBE">
        <w:rPr>
          <w:rFonts w:ascii="Times New Roman" w:eastAsia="Times New Roman" w:hAnsi="Times New Roman" w:cs="Times New Roman"/>
          <w:sz w:val="24"/>
          <w:szCs w:val="24"/>
          <w:lang w:val="ru-RU"/>
        </w:rPr>
        <w:t xml:space="preserve"> электроэнергией</w:t>
      </w:r>
      <w:r w:rsidR="00A25CAB" w:rsidRPr="009E3EBE">
        <w:rPr>
          <w:rFonts w:ascii="Times New Roman" w:eastAsia="Times New Roman" w:hAnsi="Times New Roman" w:cs="Times New Roman"/>
          <w:sz w:val="24"/>
          <w:szCs w:val="24"/>
          <w:lang w:val="ru-RU"/>
        </w:rPr>
        <w:t>.</w:t>
      </w:r>
    </w:p>
    <w:p w14:paraId="38F33D13" w14:textId="77777777" w:rsidR="000D5656" w:rsidRPr="009E3EBE" w:rsidRDefault="000D5656" w:rsidP="00B17101">
      <w:pPr>
        <w:spacing w:line="240" w:lineRule="auto"/>
        <w:ind w:firstLine="720"/>
        <w:contextualSpacing/>
        <w:jc w:val="both"/>
        <w:rPr>
          <w:rFonts w:ascii="Times New Roman" w:eastAsia="Times New Roman" w:hAnsi="Times New Roman" w:cs="Times New Roman"/>
          <w:sz w:val="24"/>
          <w:szCs w:val="24"/>
          <w:lang w:val="ru-RU"/>
        </w:rPr>
      </w:pPr>
    </w:p>
    <w:p w14:paraId="5C673562" w14:textId="17BA9A82" w:rsidR="007A5215" w:rsidRPr="009E3EBE" w:rsidRDefault="004F59CE" w:rsidP="00A25CAB">
      <w:pPr>
        <w:spacing w:line="240" w:lineRule="auto"/>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noProof/>
          <w:sz w:val="24"/>
          <w:szCs w:val="24"/>
          <w:lang w:val="ru-RU"/>
        </w:rPr>
        <w:drawing>
          <wp:inline distT="0" distB="0" distL="0" distR="0" wp14:anchorId="5EC00F8C" wp14:editId="3CF9EB24">
            <wp:extent cx="5915025" cy="2181225"/>
            <wp:effectExtent l="0" t="0" r="9525" b="9525"/>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2687C3" w14:textId="37B9B945" w:rsidR="00F0774A" w:rsidRPr="009E3EBE" w:rsidRDefault="006E7186" w:rsidP="00572E5A">
      <w:pPr>
        <w:spacing w:line="240" w:lineRule="auto"/>
        <w:contextualSpacing/>
        <w:jc w:val="center"/>
        <w:rPr>
          <w:rFonts w:ascii="Times New Roman" w:eastAsia="Times New Roman" w:hAnsi="Times New Roman" w:cs="Times New Roman"/>
          <w:b/>
          <w:bCs/>
          <w:i/>
          <w:iCs/>
          <w:sz w:val="24"/>
          <w:szCs w:val="24"/>
          <w:lang w:val="ru-RU"/>
        </w:rPr>
      </w:pPr>
      <w:r w:rsidRPr="009E3EBE">
        <w:rPr>
          <w:rFonts w:ascii="Times New Roman" w:eastAsia="Times New Roman" w:hAnsi="Times New Roman" w:cs="Times New Roman"/>
          <w:b/>
          <w:bCs/>
          <w:i/>
          <w:iCs/>
          <w:sz w:val="24"/>
          <w:szCs w:val="24"/>
          <w:lang w:val="ru-RU"/>
        </w:rPr>
        <w:t xml:space="preserve">Рис.2. Динамика </w:t>
      </w:r>
      <w:r w:rsidR="008723B6" w:rsidRPr="009E3EBE">
        <w:rPr>
          <w:rFonts w:ascii="Times New Roman" w:eastAsia="Times New Roman" w:hAnsi="Times New Roman" w:cs="Times New Roman"/>
          <w:b/>
          <w:bCs/>
          <w:i/>
          <w:iCs/>
          <w:sz w:val="24"/>
          <w:szCs w:val="24"/>
          <w:lang w:val="ru-RU"/>
        </w:rPr>
        <w:t xml:space="preserve">суточного </w:t>
      </w:r>
      <w:r w:rsidRPr="009E3EBE">
        <w:rPr>
          <w:rFonts w:ascii="Times New Roman" w:eastAsia="Times New Roman" w:hAnsi="Times New Roman" w:cs="Times New Roman"/>
          <w:b/>
          <w:bCs/>
          <w:i/>
          <w:iCs/>
          <w:sz w:val="24"/>
          <w:szCs w:val="24"/>
          <w:lang w:val="ru-RU"/>
        </w:rPr>
        <w:t xml:space="preserve">потребления электроэнергии </w:t>
      </w:r>
      <w:r w:rsidR="00572E5A" w:rsidRPr="009E3EBE">
        <w:rPr>
          <w:rFonts w:ascii="Times New Roman" w:eastAsia="Times New Roman" w:hAnsi="Times New Roman" w:cs="Times New Roman"/>
          <w:b/>
          <w:bCs/>
          <w:i/>
          <w:iCs/>
          <w:sz w:val="24"/>
          <w:szCs w:val="24"/>
          <w:lang w:val="ru-RU"/>
        </w:rPr>
        <w:t xml:space="preserve">на душу населения в </w:t>
      </w:r>
      <w:r w:rsidRPr="009E3EBE">
        <w:rPr>
          <w:rFonts w:ascii="Times New Roman" w:eastAsia="Times New Roman" w:hAnsi="Times New Roman" w:cs="Times New Roman"/>
          <w:b/>
          <w:bCs/>
          <w:i/>
          <w:iCs/>
          <w:sz w:val="24"/>
          <w:szCs w:val="24"/>
          <w:lang w:val="ru-RU"/>
        </w:rPr>
        <w:t>изолированны</w:t>
      </w:r>
      <w:r w:rsidR="00572E5A" w:rsidRPr="009E3EBE">
        <w:rPr>
          <w:rFonts w:ascii="Times New Roman" w:eastAsia="Times New Roman" w:hAnsi="Times New Roman" w:cs="Times New Roman"/>
          <w:b/>
          <w:bCs/>
          <w:i/>
          <w:iCs/>
          <w:sz w:val="24"/>
          <w:szCs w:val="24"/>
          <w:lang w:val="ru-RU"/>
        </w:rPr>
        <w:t>х</w:t>
      </w:r>
      <w:r w:rsidRPr="009E3EBE">
        <w:rPr>
          <w:rFonts w:ascii="Times New Roman" w:eastAsia="Times New Roman" w:hAnsi="Times New Roman" w:cs="Times New Roman"/>
          <w:b/>
          <w:bCs/>
          <w:i/>
          <w:iCs/>
          <w:sz w:val="24"/>
          <w:szCs w:val="24"/>
          <w:lang w:val="ru-RU"/>
        </w:rPr>
        <w:t xml:space="preserve"> территориями РС</w:t>
      </w:r>
      <w:r w:rsidR="00572E5A" w:rsidRPr="009E3EBE">
        <w:rPr>
          <w:rFonts w:ascii="Times New Roman" w:eastAsia="Times New Roman" w:hAnsi="Times New Roman" w:cs="Times New Roman"/>
          <w:b/>
          <w:bCs/>
          <w:i/>
          <w:iCs/>
          <w:sz w:val="24"/>
          <w:szCs w:val="24"/>
          <w:lang w:val="ru-RU"/>
        </w:rPr>
        <w:t xml:space="preserve"> за 2017–2021 гг., кВт*ч</w:t>
      </w:r>
    </w:p>
    <w:p w14:paraId="6B056EF8" w14:textId="38006D22" w:rsidR="00DE14E8" w:rsidRPr="009E3EBE" w:rsidRDefault="00C8233B" w:rsidP="00C8233B">
      <w:pPr>
        <w:spacing w:line="240" w:lineRule="auto"/>
        <w:contextualSpacing/>
        <w:jc w:val="center"/>
        <w:rPr>
          <w:rFonts w:ascii="Times New Roman" w:eastAsia="Times New Roman" w:hAnsi="Times New Roman" w:cs="Times New Roman"/>
          <w:sz w:val="20"/>
          <w:szCs w:val="20"/>
          <w:lang w:val="ru-RU"/>
        </w:rPr>
      </w:pPr>
      <w:r w:rsidRPr="009E3EBE">
        <w:rPr>
          <w:rFonts w:ascii="Times New Roman" w:eastAsia="Times New Roman" w:hAnsi="Times New Roman" w:cs="Times New Roman"/>
          <w:sz w:val="20"/>
          <w:szCs w:val="20"/>
          <w:lang w:val="ru-RU"/>
        </w:rPr>
        <w:t>Источник: составлено по материалам [</w:t>
      </w:r>
      <w:r w:rsidR="00201DAC" w:rsidRPr="009E3EBE">
        <w:rPr>
          <w:rFonts w:ascii="Times New Roman" w:eastAsia="Times New Roman" w:hAnsi="Times New Roman" w:cs="Times New Roman"/>
          <w:sz w:val="20"/>
          <w:szCs w:val="20"/>
          <w:lang w:val="ru-RU"/>
        </w:rPr>
        <w:t>4</w:t>
      </w:r>
      <w:r w:rsidRPr="009E3EBE">
        <w:rPr>
          <w:rFonts w:ascii="Times New Roman" w:eastAsia="Times New Roman" w:hAnsi="Times New Roman" w:cs="Times New Roman"/>
          <w:sz w:val="20"/>
          <w:szCs w:val="20"/>
          <w:lang w:val="ru-RU"/>
        </w:rPr>
        <w:t>]</w:t>
      </w:r>
    </w:p>
    <w:p w14:paraId="710D9446" w14:textId="5EF5BA53" w:rsidR="00604A99" w:rsidRPr="009E3EBE" w:rsidRDefault="00A25CAB" w:rsidP="00A25CAB">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lastRenderedPageBreak/>
        <w:t xml:space="preserve">Износ оборудования существующих малых электростанций в изолированных территориях </w:t>
      </w:r>
      <w:r w:rsidR="007036D2" w:rsidRPr="009E3EBE">
        <w:rPr>
          <w:rFonts w:ascii="Times New Roman" w:eastAsia="Times New Roman" w:hAnsi="Times New Roman" w:cs="Times New Roman"/>
          <w:sz w:val="24"/>
          <w:szCs w:val="24"/>
          <w:lang w:val="ru-RU"/>
        </w:rPr>
        <w:t xml:space="preserve">также </w:t>
      </w:r>
      <w:r w:rsidRPr="009E3EBE">
        <w:rPr>
          <w:rFonts w:ascii="Times New Roman" w:eastAsia="Times New Roman" w:hAnsi="Times New Roman" w:cs="Times New Roman"/>
          <w:sz w:val="24"/>
          <w:szCs w:val="24"/>
          <w:lang w:val="ru-RU"/>
        </w:rPr>
        <w:t>находится на высоком уровне, приближаясь к критическим значениям (</w:t>
      </w:r>
      <w:r w:rsidR="00DE14E8" w:rsidRPr="009E3EBE">
        <w:rPr>
          <w:rFonts w:ascii="Times New Roman" w:eastAsia="Times New Roman" w:hAnsi="Times New Roman" w:cs="Times New Roman"/>
          <w:sz w:val="24"/>
          <w:szCs w:val="24"/>
          <w:lang w:val="ru-RU"/>
        </w:rPr>
        <w:t>р</w:t>
      </w:r>
      <w:r w:rsidRPr="009E3EBE">
        <w:rPr>
          <w:rFonts w:ascii="Times New Roman" w:eastAsia="Times New Roman" w:hAnsi="Times New Roman" w:cs="Times New Roman"/>
          <w:sz w:val="24"/>
          <w:szCs w:val="24"/>
          <w:lang w:val="ru-RU"/>
        </w:rPr>
        <w:t xml:space="preserve">ис. 3) Несмотря на то, что в 2021 г. мы видели снижение данного показателя (преимущественно за счет модернизации ДЭС в </w:t>
      </w:r>
      <w:proofErr w:type="spellStart"/>
      <w:r w:rsidRPr="009E3EBE">
        <w:rPr>
          <w:rFonts w:ascii="Times New Roman" w:eastAsia="Times New Roman" w:hAnsi="Times New Roman" w:cs="Times New Roman"/>
          <w:sz w:val="24"/>
          <w:szCs w:val="24"/>
          <w:lang w:val="ru-RU"/>
        </w:rPr>
        <w:t>Усть</w:t>
      </w:r>
      <w:proofErr w:type="spellEnd"/>
      <w:r w:rsidRPr="009E3EBE">
        <w:rPr>
          <w:rFonts w:ascii="Times New Roman" w:eastAsia="Times New Roman" w:hAnsi="Times New Roman" w:cs="Times New Roman"/>
          <w:sz w:val="24"/>
          <w:szCs w:val="24"/>
          <w:lang w:val="ru-RU"/>
        </w:rPr>
        <w:t xml:space="preserve"> – Янском улусе, где износ достигал 90%), проблема все еще остается крайне актуальной и создает серьезные угрозы энергетической безопасности в виде частых аварий, крайне ограниченного энергопотребления (до 12 – 14 ч. вынужденного отсутствия электричества в поселках) и пр. Вместе с тем, сложившаяся ситуация создает отличную возможность не только простого обновления оборудования, но также установления принципиально новых, более энергоемких комплексов, в том числе работающих на </w:t>
      </w:r>
      <w:r w:rsidR="004F0217" w:rsidRPr="009E3EBE">
        <w:rPr>
          <w:rFonts w:ascii="Times New Roman" w:eastAsia="Times New Roman" w:hAnsi="Times New Roman" w:cs="Times New Roman"/>
          <w:sz w:val="24"/>
          <w:szCs w:val="24"/>
          <w:lang w:val="ru-RU"/>
        </w:rPr>
        <w:t xml:space="preserve">возобновляемых источниках энергии (далее – </w:t>
      </w:r>
      <w:r w:rsidRPr="009E3EBE">
        <w:rPr>
          <w:rFonts w:ascii="Times New Roman" w:eastAsia="Times New Roman" w:hAnsi="Times New Roman" w:cs="Times New Roman"/>
          <w:sz w:val="24"/>
          <w:szCs w:val="24"/>
          <w:lang w:val="ru-RU"/>
        </w:rPr>
        <w:t>ВИЭ</w:t>
      </w:r>
      <w:r w:rsidR="004F0217" w:rsidRPr="009E3EBE">
        <w:rPr>
          <w:rFonts w:ascii="Times New Roman" w:eastAsia="Times New Roman" w:hAnsi="Times New Roman" w:cs="Times New Roman"/>
          <w:sz w:val="24"/>
          <w:szCs w:val="24"/>
          <w:lang w:val="ru-RU"/>
        </w:rPr>
        <w:t>)</w:t>
      </w:r>
      <w:r w:rsidR="004F0217" w:rsidRPr="009E3EBE">
        <w:rPr>
          <w:rFonts w:ascii="Times New Roman" w:eastAsia="Times New Roman" w:hAnsi="Times New Roman" w:cs="Times New Roman"/>
          <w:color w:val="FF0000"/>
          <w:sz w:val="24"/>
          <w:szCs w:val="24"/>
          <w:lang w:val="ru-RU"/>
        </w:rPr>
        <w:t>.</w:t>
      </w:r>
    </w:p>
    <w:p w14:paraId="48BAD694" w14:textId="77777777" w:rsidR="00A25CAB" w:rsidRPr="009E3EBE" w:rsidRDefault="00A25CAB" w:rsidP="00A25CAB">
      <w:pPr>
        <w:spacing w:line="240" w:lineRule="auto"/>
        <w:ind w:firstLine="720"/>
        <w:contextualSpacing/>
        <w:jc w:val="both"/>
        <w:rPr>
          <w:rFonts w:ascii="Times New Roman" w:eastAsia="Times New Roman" w:hAnsi="Times New Roman" w:cs="Times New Roman"/>
          <w:sz w:val="24"/>
          <w:szCs w:val="24"/>
          <w:lang w:val="ru-RU"/>
        </w:rPr>
      </w:pPr>
    </w:p>
    <w:p w14:paraId="272016D2" w14:textId="5C154E67" w:rsidR="007A5215" w:rsidRPr="009E3EBE" w:rsidRDefault="007A5215" w:rsidP="00A25CAB">
      <w:pPr>
        <w:spacing w:line="240" w:lineRule="auto"/>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noProof/>
          <w:sz w:val="24"/>
          <w:szCs w:val="24"/>
          <w:lang w:val="ru-RU"/>
        </w:rPr>
        <w:drawing>
          <wp:inline distT="0" distB="0" distL="0" distR="0" wp14:anchorId="5D379CA8" wp14:editId="3996AFC1">
            <wp:extent cx="5886450" cy="1930400"/>
            <wp:effectExtent l="0" t="0" r="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6DA999" w14:textId="2615F185" w:rsidR="00D77A69" w:rsidRPr="009E3EBE" w:rsidRDefault="00D77A69" w:rsidP="00994927">
      <w:pPr>
        <w:spacing w:line="240" w:lineRule="auto"/>
        <w:contextualSpacing/>
        <w:jc w:val="center"/>
        <w:rPr>
          <w:rFonts w:ascii="Times New Roman" w:eastAsia="Times New Roman" w:hAnsi="Times New Roman" w:cs="Times New Roman"/>
          <w:b/>
          <w:bCs/>
          <w:i/>
          <w:iCs/>
          <w:sz w:val="24"/>
          <w:szCs w:val="24"/>
          <w:lang w:val="ru-RU"/>
        </w:rPr>
      </w:pPr>
      <w:r w:rsidRPr="009E3EBE">
        <w:rPr>
          <w:rFonts w:ascii="Times New Roman" w:eastAsia="Times New Roman" w:hAnsi="Times New Roman" w:cs="Times New Roman"/>
          <w:b/>
          <w:bCs/>
          <w:i/>
          <w:iCs/>
          <w:sz w:val="24"/>
          <w:szCs w:val="24"/>
          <w:lang w:val="ru-RU"/>
        </w:rPr>
        <w:t>Рис. 3.</w:t>
      </w:r>
      <w:r w:rsidR="00FC4846" w:rsidRPr="009E3EBE">
        <w:rPr>
          <w:rFonts w:ascii="Times New Roman" w:hAnsi="Times New Roman" w:cs="Times New Roman"/>
          <w:b/>
          <w:bCs/>
          <w:i/>
          <w:iCs/>
          <w:sz w:val="24"/>
          <w:szCs w:val="24"/>
          <w:lang w:val="ru-RU"/>
        </w:rPr>
        <w:t xml:space="preserve"> </w:t>
      </w:r>
      <w:r w:rsidR="00FC4846" w:rsidRPr="009E3EBE">
        <w:rPr>
          <w:rFonts w:ascii="Times New Roman" w:eastAsia="Times New Roman" w:hAnsi="Times New Roman" w:cs="Times New Roman"/>
          <w:b/>
          <w:bCs/>
          <w:i/>
          <w:iCs/>
          <w:sz w:val="24"/>
          <w:szCs w:val="24"/>
          <w:lang w:val="ru-RU"/>
        </w:rPr>
        <w:t>Процентное отношение мощности агрегатов, превысивших нормативный ресурс эксплуатации, к суммарной мощности агрегатов изолированных территорий РС</w:t>
      </w:r>
      <w:r w:rsidR="004F59CE" w:rsidRPr="009E3EBE">
        <w:rPr>
          <w:rFonts w:ascii="Times New Roman" w:eastAsia="Times New Roman" w:hAnsi="Times New Roman" w:cs="Times New Roman"/>
          <w:b/>
          <w:bCs/>
          <w:i/>
          <w:iCs/>
          <w:sz w:val="24"/>
          <w:szCs w:val="24"/>
          <w:lang w:val="ru-RU"/>
        </w:rPr>
        <w:t xml:space="preserve"> за </w:t>
      </w:r>
      <w:r w:rsidR="00550F1E" w:rsidRPr="009E3EBE">
        <w:rPr>
          <w:rFonts w:ascii="Times New Roman" w:eastAsia="Times New Roman" w:hAnsi="Times New Roman" w:cs="Times New Roman"/>
          <w:b/>
          <w:bCs/>
          <w:i/>
          <w:iCs/>
          <w:sz w:val="24"/>
          <w:szCs w:val="24"/>
          <w:lang w:val="ru-RU"/>
        </w:rPr>
        <w:t>2017–2021 гг.</w:t>
      </w:r>
      <w:r w:rsidR="004F59CE" w:rsidRPr="009E3EBE">
        <w:rPr>
          <w:rFonts w:ascii="Times New Roman" w:eastAsia="Times New Roman" w:hAnsi="Times New Roman" w:cs="Times New Roman"/>
          <w:b/>
          <w:bCs/>
          <w:i/>
          <w:iCs/>
          <w:sz w:val="24"/>
          <w:szCs w:val="24"/>
          <w:lang w:val="ru-RU"/>
        </w:rPr>
        <w:t>, %</w:t>
      </w:r>
    </w:p>
    <w:p w14:paraId="3956EC6C" w14:textId="342BC14E" w:rsidR="004F59CE" w:rsidRPr="009E3EBE" w:rsidRDefault="00572BD4" w:rsidP="00572BD4">
      <w:pPr>
        <w:spacing w:line="240" w:lineRule="auto"/>
        <w:contextualSpacing/>
        <w:jc w:val="center"/>
        <w:rPr>
          <w:rFonts w:ascii="Times New Roman" w:eastAsia="Times New Roman" w:hAnsi="Times New Roman" w:cs="Times New Roman"/>
          <w:sz w:val="20"/>
          <w:szCs w:val="20"/>
          <w:lang w:val="ru-RU"/>
        </w:rPr>
      </w:pPr>
      <w:r w:rsidRPr="009E3EBE">
        <w:rPr>
          <w:rFonts w:ascii="Times New Roman" w:eastAsia="Times New Roman" w:hAnsi="Times New Roman" w:cs="Times New Roman"/>
          <w:sz w:val="20"/>
          <w:szCs w:val="20"/>
          <w:lang w:val="ru-RU"/>
        </w:rPr>
        <w:t>Источник: составлено по материалам [</w:t>
      </w:r>
      <w:r w:rsidR="00201DAC" w:rsidRPr="009E3EBE">
        <w:rPr>
          <w:rFonts w:ascii="Times New Roman" w:eastAsia="Times New Roman" w:hAnsi="Times New Roman" w:cs="Times New Roman"/>
          <w:sz w:val="20"/>
          <w:szCs w:val="20"/>
          <w:lang w:val="ru-RU"/>
        </w:rPr>
        <w:t>4</w:t>
      </w:r>
      <w:r w:rsidRPr="009E3EBE">
        <w:rPr>
          <w:rFonts w:ascii="Times New Roman" w:eastAsia="Times New Roman" w:hAnsi="Times New Roman" w:cs="Times New Roman"/>
          <w:sz w:val="20"/>
          <w:szCs w:val="20"/>
          <w:lang w:val="ru-RU"/>
        </w:rPr>
        <w:t>]</w:t>
      </w:r>
    </w:p>
    <w:p w14:paraId="5D8E3C05" w14:textId="0F4CDEA5" w:rsidR="00DE14E8" w:rsidRPr="009E3EBE" w:rsidRDefault="00E3246B" w:rsidP="00DE14E8">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Анализ финансового показателя показывает, </w:t>
      </w:r>
      <w:r w:rsidR="00DE14E8" w:rsidRPr="009E3EBE">
        <w:rPr>
          <w:rFonts w:ascii="Times New Roman" w:eastAsia="Times New Roman" w:hAnsi="Times New Roman" w:cs="Times New Roman"/>
          <w:sz w:val="24"/>
          <w:szCs w:val="24"/>
          <w:lang w:val="ru-RU"/>
        </w:rPr>
        <w:t>что о</w:t>
      </w:r>
      <w:r w:rsidR="00A25CAB" w:rsidRPr="009E3EBE">
        <w:rPr>
          <w:rFonts w:ascii="Times New Roman" w:eastAsia="Times New Roman" w:hAnsi="Times New Roman" w:cs="Times New Roman"/>
          <w:sz w:val="24"/>
          <w:szCs w:val="24"/>
          <w:lang w:val="ru-RU"/>
        </w:rPr>
        <w:t>бслуживание небольших электростанций в изолированных регионах, транспортировка топлива для них (преимущественно дизельного для ДЭС) – процесс, который требует значительных</w:t>
      </w:r>
      <w:r w:rsidR="00B90D24" w:rsidRPr="009E3EBE">
        <w:rPr>
          <w:rFonts w:ascii="Times New Roman" w:eastAsia="Times New Roman" w:hAnsi="Times New Roman" w:cs="Times New Roman"/>
          <w:sz w:val="24"/>
          <w:szCs w:val="24"/>
          <w:lang w:val="ru-RU"/>
        </w:rPr>
        <w:t xml:space="preserve"> денежных</w:t>
      </w:r>
      <w:r w:rsidR="00A25CAB" w:rsidRPr="009E3EBE">
        <w:rPr>
          <w:rFonts w:ascii="Times New Roman" w:eastAsia="Times New Roman" w:hAnsi="Times New Roman" w:cs="Times New Roman"/>
          <w:sz w:val="24"/>
          <w:szCs w:val="24"/>
          <w:lang w:val="ru-RU"/>
        </w:rPr>
        <w:t xml:space="preserve"> вложений. В связи с этим, цена на конечный продукт, электроэнергию, увеличивается в разы, пропорционально увеличивая тарифы как для населения, так и для предприятий. Однако правительство Республики Саха применяет практику предоставления субсидий на величину недополученных доходов для энергетических компаний, снижая тарифы на электроэнергию до базового уровня (рис.</w:t>
      </w:r>
      <w:r w:rsidR="00DE14E8" w:rsidRPr="009E3EBE">
        <w:rPr>
          <w:rFonts w:ascii="Times New Roman" w:eastAsia="Times New Roman" w:hAnsi="Times New Roman" w:cs="Times New Roman"/>
          <w:sz w:val="24"/>
          <w:szCs w:val="24"/>
          <w:lang w:val="ru-RU"/>
        </w:rPr>
        <w:t xml:space="preserve"> 4</w:t>
      </w:r>
      <w:r w:rsidR="00A25CAB" w:rsidRPr="009E3EBE">
        <w:rPr>
          <w:rFonts w:ascii="Times New Roman" w:eastAsia="Times New Roman" w:hAnsi="Times New Roman" w:cs="Times New Roman"/>
          <w:sz w:val="24"/>
          <w:szCs w:val="24"/>
          <w:lang w:val="ru-RU"/>
        </w:rPr>
        <w:t xml:space="preserve">). Очевидно, что это создает дополнительную нагрузку на региональный бюджет: величина субсидий составляет порядка 3.5–4% от расходов бюджета Республики Саха, а за последние 5 лет ее размер увеличился на 1 млрд руб. </w:t>
      </w:r>
    </w:p>
    <w:p w14:paraId="7D3D09CA" w14:textId="3BA5AA97" w:rsidR="00D77A69" w:rsidRPr="009E3EBE" w:rsidRDefault="00D77A69" w:rsidP="00DE14E8">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  </w:t>
      </w:r>
    </w:p>
    <w:p w14:paraId="56F5B5B6" w14:textId="2962AAC6" w:rsidR="007A5215" w:rsidRPr="009E3EBE" w:rsidRDefault="007A5215" w:rsidP="00A25CAB">
      <w:pPr>
        <w:spacing w:line="240" w:lineRule="auto"/>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noProof/>
          <w:sz w:val="24"/>
          <w:szCs w:val="24"/>
          <w:lang w:val="ru-RU"/>
        </w:rPr>
        <w:drawing>
          <wp:inline distT="0" distB="0" distL="0" distR="0" wp14:anchorId="274C78C5" wp14:editId="080D3F42">
            <wp:extent cx="5886450" cy="1996440"/>
            <wp:effectExtent l="0" t="0" r="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015E15" w14:textId="641A03F0" w:rsidR="00B0090A" w:rsidRPr="009E3EBE" w:rsidRDefault="00B0090A" w:rsidP="00A25CAB">
      <w:pPr>
        <w:spacing w:line="240" w:lineRule="auto"/>
        <w:contextualSpacing/>
        <w:jc w:val="center"/>
        <w:rPr>
          <w:rFonts w:ascii="Times New Roman" w:eastAsia="Times New Roman" w:hAnsi="Times New Roman" w:cs="Times New Roman"/>
          <w:b/>
          <w:bCs/>
          <w:i/>
          <w:iCs/>
          <w:sz w:val="24"/>
          <w:szCs w:val="24"/>
          <w:lang w:val="ru-RU"/>
        </w:rPr>
      </w:pPr>
      <w:r w:rsidRPr="009E3EBE">
        <w:rPr>
          <w:rFonts w:ascii="Times New Roman" w:eastAsia="Times New Roman" w:hAnsi="Times New Roman" w:cs="Times New Roman"/>
          <w:b/>
          <w:bCs/>
          <w:i/>
          <w:iCs/>
          <w:sz w:val="24"/>
          <w:szCs w:val="24"/>
          <w:lang w:val="ru-RU"/>
        </w:rPr>
        <w:t>Рис. 4. Величина недополученных доходов в связи с доведением цен на электрическую энергию до базовых уровней цен на электрическую энергию</w:t>
      </w:r>
      <w:r w:rsidR="004D02CF" w:rsidRPr="009E3EBE">
        <w:rPr>
          <w:rFonts w:ascii="Times New Roman" w:eastAsia="Times New Roman" w:hAnsi="Times New Roman" w:cs="Times New Roman"/>
          <w:b/>
          <w:bCs/>
          <w:i/>
          <w:iCs/>
          <w:sz w:val="24"/>
          <w:szCs w:val="24"/>
          <w:lang w:val="ru-RU"/>
        </w:rPr>
        <w:t>, млрд. руб.</w:t>
      </w:r>
    </w:p>
    <w:p w14:paraId="294A6ABF" w14:textId="4E0B9F55" w:rsidR="00A25CAB" w:rsidRPr="009E3EBE" w:rsidRDefault="00572BD4" w:rsidP="00572BD4">
      <w:pPr>
        <w:spacing w:line="240" w:lineRule="auto"/>
        <w:contextualSpacing/>
        <w:jc w:val="center"/>
        <w:rPr>
          <w:rFonts w:ascii="Times New Roman" w:eastAsia="Times New Roman" w:hAnsi="Times New Roman" w:cs="Times New Roman"/>
          <w:sz w:val="20"/>
          <w:szCs w:val="20"/>
          <w:lang w:val="ru-RU"/>
        </w:rPr>
      </w:pPr>
      <w:r w:rsidRPr="009E3EBE">
        <w:rPr>
          <w:rFonts w:ascii="Times New Roman" w:eastAsia="Times New Roman" w:hAnsi="Times New Roman" w:cs="Times New Roman"/>
          <w:sz w:val="20"/>
          <w:szCs w:val="20"/>
          <w:lang w:val="ru-RU"/>
        </w:rPr>
        <w:t>Источник: составлено по материалам [</w:t>
      </w:r>
      <w:r w:rsidR="00201DAC" w:rsidRPr="009E3EBE">
        <w:rPr>
          <w:rFonts w:ascii="Times New Roman" w:eastAsia="Times New Roman" w:hAnsi="Times New Roman" w:cs="Times New Roman"/>
          <w:sz w:val="20"/>
          <w:szCs w:val="20"/>
          <w:lang w:val="ru-RU"/>
        </w:rPr>
        <w:t>4</w:t>
      </w:r>
      <w:r w:rsidRPr="009E3EBE">
        <w:rPr>
          <w:rFonts w:ascii="Times New Roman" w:eastAsia="Times New Roman" w:hAnsi="Times New Roman" w:cs="Times New Roman"/>
          <w:sz w:val="20"/>
          <w:szCs w:val="20"/>
          <w:lang w:val="ru-RU"/>
        </w:rPr>
        <w:t>][</w:t>
      </w:r>
      <w:r w:rsidR="00201DAC" w:rsidRPr="009E3EBE">
        <w:rPr>
          <w:rFonts w:ascii="Times New Roman" w:eastAsia="Times New Roman" w:hAnsi="Times New Roman" w:cs="Times New Roman"/>
          <w:sz w:val="20"/>
          <w:szCs w:val="20"/>
          <w:lang w:val="ru-RU"/>
        </w:rPr>
        <w:t>8</w:t>
      </w:r>
      <w:r w:rsidRPr="009E3EBE">
        <w:rPr>
          <w:rFonts w:ascii="Times New Roman" w:eastAsia="Times New Roman" w:hAnsi="Times New Roman" w:cs="Times New Roman"/>
          <w:sz w:val="20"/>
          <w:szCs w:val="20"/>
          <w:lang w:val="ru-RU"/>
        </w:rPr>
        <w:t>]</w:t>
      </w:r>
    </w:p>
    <w:p w14:paraId="46176D7A" w14:textId="6A9AA134" w:rsidR="00D46DD1" w:rsidRPr="009E3EBE" w:rsidRDefault="00387819" w:rsidP="00D46DD1">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lastRenderedPageBreak/>
        <w:t>Для комплексной оценки рассчит</w:t>
      </w:r>
      <w:r w:rsidR="008311B4" w:rsidRPr="009E3EBE">
        <w:rPr>
          <w:rFonts w:ascii="Times New Roman" w:eastAsia="Times New Roman" w:hAnsi="Times New Roman" w:cs="Times New Roman"/>
          <w:sz w:val="24"/>
          <w:szCs w:val="24"/>
          <w:lang w:val="ru-RU"/>
        </w:rPr>
        <w:t>ывается</w:t>
      </w:r>
      <w:r w:rsidRPr="009E3EBE">
        <w:rPr>
          <w:rFonts w:ascii="Times New Roman" w:eastAsia="Times New Roman" w:hAnsi="Times New Roman" w:cs="Times New Roman"/>
          <w:sz w:val="24"/>
          <w:szCs w:val="24"/>
          <w:lang w:val="ru-RU"/>
        </w:rPr>
        <w:t xml:space="preserve"> интегральный показатель энергетической безопасности н</w:t>
      </w:r>
      <w:r w:rsidR="00A25CAB" w:rsidRPr="009E3EBE">
        <w:rPr>
          <w:rFonts w:ascii="Times New Roman" w:eastAsia="Times New Roman" w:hAnsi="Times New Roman" w:cs="Times New Roman"/>
          <w:sz w:val="24"/>
          <w:szCs w:val="24"/>
          <w:lang w:val="ru-RU"/>
        </w:rPr>
        <w:t>а основе метода весовых коэффициентов</w:t>
      </w:r>
      <w:r w:rsidR="00572BD4" w:rsidRPr="009E3EBE">
        <w:rPr>
          <w:rFonts w:ascii="Times New Roman" w:eastAsia="Times New Roman" w:hAnsi="Times New Roman" w:cs="Times New Roman"/>
          <w:sz w:val="24"/>
          <w:szCs w:val="24"/>
          <w:lang w:val="ru-RU"/>
        </w:rPr>
        <w:t xml:space="preserve"> [</w:t>
      </w:r>
      <w:r w:rsidR="00201DAC" w:rsidRPr="009E3EBE">
        <w:rPr>
          <w:rFonts w:ascii="Times New Roman" w:eastAsia="Times New Roman" w:hAnsi="Times New Roman" w:cs="Times New Roman"/>
          <w:sz w:val="24"/>
          <w:szCs w:val="24"/>
          <w:lang w:val="ru-RU"/>
        </w:rPr>
        <w:t>9</w:t>
      </w:r>
      <w:r w:rsidR="008311B4" w:rsidRPr="009E3EBE">
        <w:rPr>
          <w:rFonts w:ascii="Times New Roman" w:eastAsia="Times New Roman" w:hAnsi="Times New Roman" w:cs="Times New Roman"/>
          <w:sz w:val="24"/>
          <w:szCs w:val="24"/>
          <w:lang w:val="ru-RU"/>
        </w:rPr>
        <w:t>]</w:t>
      </w:r>
      <w:r w:rsidRPr="009E3EBE">
        <w:rPr>
          <w:rFonts w:ascii="Times New Roman" w:eastAsia="Times New Roman" w:hAnsi="Times New Roman" w:cs="Times New Roman"/>
          <w:sz w:val="24"/>
          <w:szCs w:val="24"/>
          <w:lang w:val="ru-RU"/>
        </w:rPr>
        <w:t>.</w:t>
      </w:r>
      <w:r w:rsidR="00A25CAB" w:rsidRPr="009E3EBE">
        <w:rPr>
          <w:rFonts w:ascii="Times New Roman" w:eastAsia="Times New Roman" w:hAnsi="Times New Roman" w:cs="Times New Roman"/>
          <w:sz w:val="24"/>
          <w:szCs w:val="24"/>
          <w:lang w:val="ru-RU"/>
        </w:rPr>
        <w:t xml:space="preserve"> </w:t>
      </w:r>
      <w:r w:rsidR="00D46DD1" w:rsidRPr="009E3EBE">
        <w:rPr>
          <w:rFonts w:ascii="Times New Roman" w:eastAsia="Times New Roman" w:hAnsi="Times New Roman" w:cs="Times New Roman"/>
          <w:sz w:val="24"/>
          <w:szCs w:val="24"/>
          <w:lang w:val="ru-RU"/>
        </w:rPr>
        <w:t xml:space="preserve">Ценность метода состоит в прослеживании изменения энергетической безопасности именно в динамике, относительно прошлых периодов. Для расчета интегрального показателя были использованы </w:t>
      </w:r>
      <w:r w:rsidR="00856212" w:rsidRPr="009E3EBE">
        <w:rPr>
          <w:rFonts w:ascii="Times New Roman" w:eastAsia="Times New Roman" w:hAnsi="Times New Roman" w:cs="Times New Roman"/>
          <w:sz w:val="24"/>
          <w:szCs w:val="24"/>
          <w:lang w:val="ru-RU"/>
        </w:rPr>
        <w:t>формулы (1), (2) и (3):</w:t>
      </w:r>
    </w:p>
    <w:p w14:paraId="74972B8B" w14:textId="0BCFC281" w:rsidR="004F0217" w:rsidRPr="009E3EBE" w:rsidRDefault="004F0217" w:rsidP="004F055F">
      <w:pPr>
        <w:spacing w:line="240" w:lineRule="auto"/>
        <w:ind w:firstLine="720"/>
        <w:contextualSpacing/>
        <w:jc w:val="both"/>
        <w:rPr>
          <w:rFonts w:ascii="Times New Roman" w:eastAsia="Times New Roman" w:hAnsi="Times New Roman" w:cs="Times New Roman"/>
          <w:sz w:val="24"/>
          <w:szCs w:val="24"/>
          <w:lang w:val="ru-RU"/>
        </w:rPr>
      </w:pPr>
    </w:p>
    <w:p w14:paraId="24C3D49D" w14:textId="551C92EC" w:rsidR="007B08E2" w:rsidRPr="009E3EBE" w:rsidRDefault="00000000" w:rsidP="007B08E2">
      <w:pPr>
        <w:spacing w:line="240" w:lineRule="auto"/>
        <w:ind w:firstLine="720"/>
        <w:contextualSpacing/>
        <w:jc w:val="both"/>
        <w:rPr>
          <w:rFonts w:ascii="Times New Roman" w:eastAsia="Times New Roman" w:hAnsi="Times New Roman" w:cs="Times New Roman"/>
          <w:sz w:val="24"/>
          <w:szCs w:val="24"/>
          <w:lang w:val="ru-RU"/>
        </w:rPr>
      </w:pPr>
      <m:oMathPara>
        <m:oMath>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w</m:t>
              </m:r>
            </m:e>
            <m:sub>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i</m:t>
                  </m:r>
                </m:e>
                <m:sub>
                  <m:r>
                    <w:rPr>
                      <w:rFonts w:ascii="Cambria Math" w:eastAsia="Times New Roman" w:hAnsi="Cambria Math" w:cs="Times New Roman"/>
                      <w:sz w:val="24"/>
                      <w:szCs w:val="24"/>
                      <w:lang w:val="ru-RU"/>
                    </w:rPr>
                    <m:t>j</m:t>
                  </m:r>
                </m:sub>
              </m:sSub>
            </m:sub>
          </m:sSub>
          <m:r>
            <w:rPr>
              <w:rFonts w:ascii="Cambria Math" w:eastAsia="Times New Roman" w:hAnsi="Cambria Math" w:cs="Times New Roman"/>
              <w:sz w:val="24"/>
              <w:szCs w:val="24"/>
              <w:lang w:val="ru-RU"/>
            </w:rPr>
            <m:t xml:space="preserve">= </m:t>
          </m:r>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2</m:t>
              </m:r>
              <m:d>
                <m:dPr>
                  <m:ctrlPr>
                    <w:rPr>
                      <w:rFonts w:ascii="Cambria Math" w:eastAsia="Times New Roman" w:hAnsi="Cambria Math" w:cs="Times New Roman"/>
                      <w:i/>
                      <w:sz w:val="24"/>
                      <w:szCs w:val="24"/>
                      <w:lang w:val="ru-RU"/>
                    </w:rPr>
                  </m:ctrlPr>
                </m:dPr>
                <m:e>
                  <m:r>
                    <w:rPr>
                      <w:rFonts w:ascii="Cambria Math" w:eastAsia="Times New Roman" w:hAnsi="Cambria Math" w:cs="Times New Roman"/>
                      <w:sz w:val="24"/>
                      <w:szCs w:val="24"/>
                      <w:lang w:val="en-US"/>
                    </w:rPr>
                    <m:t>n</m:t>
                  </m:r>
                  <m:r>
                    <w:rPr>
                      <w:rFonts w:ascii="Cambria Math" w:eastAsia="Times New Roman" w:hAnsi="Cambria Math" w:cs="Times New Roman"/>
                      <w:sz w:val="24"/>
                      <w:szCs w:val="24"/>
                      <w:lang w:val="ru-RU"/>
                    </w:rPr>
                    <m:t>-</m:t>
                  </m:r>
                  <m:r>
                    <w:rPr>
                      <w:rFonts w:ascii="Cambria Math" w:eastAsia="Times New Roman" w:hAnsi="Cambria Math" w:cs="Times New Roman"/>
                      <w:sz w:val="24"/>
                      <w:szCs w:val="24"/>
                      <w:lang w:val="en-US"/>
                    </w:rPr>
                    <m:t>j</m:t>
                  </m:r>
                  <m:r>
                    <w:rPr>
                      <w:rFonts w:ascii="Cambria Math" w:eastAsia="Times New Roman" w:hAnsi="Cambria Math" w:cs="Times New Roman"/>
                      <w:sz w:val="24"/>
                      <w:szCs w:val="24"/>
                      <w:lang w:val="ru-RU"/>
                    </w:rPr>
                    <m:t>+1</m:t>
                  </m:r>
                  <m:ctrlPr>
                    <w:rPr>
                      <w:rFonts w:ascii="Cambria Math" w:eastAsia="Times New Roman" w:hAnsi="Cambria Math" w:cs="Times New Roman"/>
                      <w:i/>
                      <w:sz w:val="24"/>
                      <w:szCs w:val="24"/>
                      <w:lang w:val="en-US"/>
                    </w:rPr>
                  </m:ctrlPr>
                </m:e>
              </m:d>
            </m:num>
            <m:den>
              <m:r>
                <w:rPr>
                  <w:rFonts w:ascii="Cambria Math" w:eastAsia="Times New Roman" w:hAnsi="Cambria Math" w:cs="Times New Roman"/>
                  <w:sz w:val="24"/>
                  <w:szCs w:val="24"/>
                  <w:lang w:val="ru-RU"/>
                </w:rPr>
                <m:t>n</m:t>
              </m:r>
              <m:d>
                <m:dPr>
                  <m:ctrlPr>
                    <w:rPr>
                      <w:rFonts w:ascii="Cambria Math" w:eastAsia="Times New Roman" w:hAnsi="Cambria Math" w:cs="Times New Roman"/>
                      <w:i/>
                      <w:sz w:val="24"/>
                      <w:szCs w:val="24"/>
                      <w:lang w:val="ru-RU"/>
                    </w:rPr>
                  </m:ctrlPr>
                </m:dPr>
                <m:e>
                  <m:r>
                    <w:rPr>
                      <w:rFonts w:ascii="Cambria Math" w:eastAsia="Times New Roman" w:hAnsi="Cambria Math" w:cs="Times New Roman"/>
                      <w:sz w:val="24"/>
                      <w:szCs w:val="24"/>
                      <w:lang w:val="ru-RU"/>
                    </w:rPr>
                    <m:t>n+1</m:t>
                  </m:r>
                </m:e>
              </m:d>
            </m:den>
          </m:f>
          <m:r>
            <w:rPr>
              <w:rFonts w:ascii="Cambria Math" w:eastAsia="Times New Roman" w:hAnsi="Cambria Math" w:cs="Times New Roman"/>
              <w:sz w:val="24"/>
              <w:szCs w:val="24"/>
              <w:lang w:val="ru-RU"/>
            </w:rPr>
            <m:t xml:space="preserve">= </m:t>
          </m:r>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2</m:t>
              </m:r>
              <m:d>
                <m:dPr>
                  <m:ctrlPr>
                    <w:rPr>
                      <w:rFonts w:ascii="Cambria Math" w:eastAsia="Times New Roman" w:hAnsi="Cambria Math" w:cs="Times New Roman"/>
                      <w:i/>
                      <w:sz w:val="24"/>
                      <w:szCs w:val="24"/>
                      <w:lang w:val="ru-RU"/>
                    </w:rPr>
                  </m:ctrlPr>
                </m:dPr>
                <m:e>
                  <m:r>
                    <w:rPr>
                      <w:rFonts w:ascii="Cambria Math" w:eastAsia="Times New Roman" w:hAnsi="Cambria Math" w:cs="Times New Roman"/>
                      <w:sz w:val="24"/>
                      <w:szCs w:val="24"/>
                      <w:lang w:val="ru-RU"/>
                    </w:rPr>
                    <m:t>4-</m:t>
                  </m:r>
                  <m:r>
                    <w:rPr>
                      <w:rFonts w:ascii="Cambria Math" w:eastAsia="Times New Roman" w:hAnsi="Cambria Math" w:cs="Times New Roman"/>
                      <w:sz w:val="24"/>
                      <w:szCs w:val="24"/>
                      <w:lang w:val="en-US"/>
                    </w:rPr>
                    <m:t>j</m:t>
                  </m:r>
                  <m:r>
                    <w:rPr>
                      <w:rFonts w:ascii="Cambria Math" w:eastAsia="Times New Roman" w:hAnsi="Cambria Math" w:cs="Times New Roman"/>
                      <w:sz w:val="24"/>
                      <w:szCs w:val="24"/>
                      <w:lang w:val="ru-RU"/>
                    </w:rPr>
                    <m:t>+1</m:t>
                  </m:r>
                  <m:ctrlPr>
                    <w:rPr>
                      <w:rFonts w:ascii="Cambria Math" w:eastAsia="Times New Roman" w:hAnsi="Cambria Math" w:cs="Times New Roman"/>
                      <w:i/>
                      <w:sz w:val="24"/>
                      <w:szCs w:val="24"/>
                      <w:lang w:val="en-US"/>
                    </w:rPr>
                  </m:ctrlPr>
                </m:e>
              </m:d>
            </m:num>
            <m:den>
              <m:r>
                <w:rPr>
                  <w:rFonts w:ascii="Cambria Math" w:eastAsia="Times New Roman" w:hAnsi="Cambria Math" w:cs="Times New Roman"/>
                  <w:sz w:val="24"/>
                  <w:szCs w:val="24"/>
                  <w:lang w:val="ru-RU"/>
                </w:rPr>
                <m:t>4</m:t>
              </m:r>
              <m:d>
                <m:dPr>
                  <m:ctrlPr>
                    <w:rPr>
                      <w:rFonts w:ascii="Cambria Math" w:eastAsia="Times New Roman" w:hAnsi="Cambria Math" w:cs="Times New Roman"/>
                      <w:i/>
                      <w:sz w:val="24"/>
                      <w:szCs w:val="24"/>
                      <w:lang w:val="ru-RU"/>
                    </w:rPr>
                  </m:ctrlPr>
                </m:dPr>
                <m:e>
                  <m:r>
                    <w:rPr>
                      <w:rFonts w:ascii="Cambria Math" w:eastAsia="Times New Roman" w:hAnsi="Cambria Math" w:cs="Times New Roman"/>
                      <w:sz w:val="24"/>
                      <w:szCs w:val="24"/>
                      <w:lang w:val="ru-RU"/>
                    </w:rPr>
                    <m:t>4+1</m:t>
                  </m:r>
                </m:e>
              </m:d>
            </m:den>
          </m:f>
          <m:r>
            <w:rPr>
              <w:rFonts w:ascii="Cambria Math" w:eastAsia="Times New Roman" w:hAnsi="Cambria Math" w:cs="Times New Roman"/>
              <w:sz w:val="24"/>
              <w:szCs w:val="24"/>
              <w:lang w:val="ru-RU"/>
            </w:rPr>
            <m:t xml:space="preserve">= </m:t>
          </m:r>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10-2</m:t>
              </m:r>
              <m:r>
                <w:rPr>
                  <w:rFonts w:ascii="Cambria Math" w:eastAsia="Times New Roman" w:hAnsi="Cambria Math" w:cs="Times New Roman"/>
                  <w:sz w:val="24"/>
                  <w:szCs w:val="24"/>
                  <w:lang w:val="en-US"/>
                </w:rPr>
                <m:t>j</m:t>
              </m:r>
            </m:num>
            <m:den>
              <m:r>
                <w:rPr>
                  <w:rFonts w:ascii="Cambria Math" w:eastAsia="Times New Roman" w:hAnsi="Cambria Math" w:cs="Times New Roman"/>
                  <w:sz w:val="24"/>
                  <w:szCs w:val="24"/>
                  <w:lang w:val="ru-RU"/>
                </w:rPr>
                <m:t>20</m:t>
              </m:r>
            </m:den>
          </m:f>
          <m:r>
            <w:rPr>
              <w:rFonts w:ascii="Cambria Math" w:eastAsia="Times New Roman" w:hAnsi="Cambria Math" w:cs="Times New Roman"/>
              <w:sz w:val="24"/>
              <w:szCs w:val="24"/>
              <w:lang w:val="ru-RU"/>
            </w:rPr>
            <m:t>(1)</m:t>
          </m:r>
        </m:oMath>
      </m:oMathPara>
    </w:p>
    <w:p w14:paraId="69AEB934" w14:textId="1E8B5EA0" w:rsidR="007B08E2" w:rsidRPr="009E3EBE" w:rsidRDefault="00000000" w:rsidP="007B08E2">
      <w:pPr>
        <w:spacing w:line="240" w:lineRule="auto"/>
        <w:ind w:firstLine="720"/>
        <w:contextualSpacing/>
        <w:jc w:val="both"/>
        <w:rPr>
          <w:rFonts w:ascii="Times New Roman" w:eastAsia="Times New Roman" w:hAnsi="Times New Roman" w:cs="Times New Roman"/>
          <w:i/>
          <w:sz w:val="24"/>
          <w:szCs w:val="24"/>
          <w:lang w:val="ru-RU"/>
        </w:rPr>
      </w:pPr>
      <m:oMathPara>
        <m:oMath>
          <m:sSub>
            <m:sSubPr>
              <m:ctrlPr>
                <w:rPr>
                  <w:rFonts w:ascii="Cambria Math" w:eastAsia="Times New Roman" w:hAnsi="Cambria Math" w:cs="Times New Roman"/>
                  <w:i/>
                  <w:sz w:val="24"/>
                  <w:szCs w:val="24"/>
                  <w:lang w:val="ru-RU"/>
                </w:rPr>
              </m:ctrlPr>
            </m:sSubPr>
            <m:e>
              <m:acc>
                <m:accPr>
                  <m:chr m:val="̅"/>
                  <m:ctrlPr>
                    <w:rPr>
                      <w:rFonts w:ascii="Cambria Math" w:eastAsia="Times New Roman" w:hAnsi="Cambria Math" w:cs="Times New Roman"/>
                      <w:i/>
                      <w:sz w:val="24"/>
                      <w:szCs w:val="24"/>
                      <w:lang w:val="ru-RU"/>
                    </w:rPr>
                  </m:ctrlPr>
                </m:accPr>
                <m:e>
                  <m:r>
                    <w:rPr>
                      <w:rFonts w:ascii="Cambria Math" w:eastAsia="Times New Roman" w:hAnsi="Cambria Math" w:cs="Times New Roman"/>
                      <w:sz w:val="24"/>
                      <w:szCs w:val="24"/>
                      <w:lang w:val="ru-RU"/>
                    </w:rPr>
                    <m:t>x</m:t>
                  </m:r>
                </m:e>
              </m:acc>
            </m:e>
            <m:sub>
              <m:r>
                <w:rPr>
                  <w:rFonts w:ascii="Cambria Math" w:eastAsia="Times New Roman" w:hAnsi="Cambria Math" w:cs="Times New Roman"/>
                  <w:sz w:val="24"/>
                  <w:szCs w:val="24"/>
                  <w:lang w:val="ru-RU"/>
                </w:rPr>
                <m:t>i</m:t>
              </m:r>
            </m:sub>
          </m:sSub>
          <m:r>
            <w:rPr>
              <w:rFonts w:ascii="Cambria Math" w:eastAsia="Times New Roman" w:hAnsi="Cambria Math" w:cs="Times New Roman"/>
              <w:sz w:val="24"/>
              <w:szCs w:val="24"/>
              <w:lang w:val="ru-RU"/>
            </w:rPr>
            <m:t xml:space="preserve">= </m:t>
          </m:r>
          <m:f>
            <m:fPr>
              <m:ctrlPr>
                <w:rPr>
                  <w:rFonts w:ascii="Cambria Math" w:eastAsia="Times New Roman" w:hAnsi="Cambria Math" w:cs="Times New Roman"/>
                  <w:i/>
                  <w:sz w:val="24"/>
                  <w:szCs w:val="24"/>
                  <w:lang w:val="ru-RU"/>
                </w:rPr>
              </m:ctrlPr>
            </m:fPr>
            <m:num>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i</m:t>
                  </m:r>
                </m:sub>
              </m:sSub>
            </m:num>
            <m:den>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i max</m:t>
                  </m:r>
                </m:sub>
              </m:sSub>
            </m:den>
          </m:f>
          <m:r>
            <w:rPr>
              <w:rFonts w:ascii="Cambria Math" w:eastAsia="Times New Roman" w:hAnsi="Cambria Math" w:cs="Times New Roman"/>
              <w:sz w:val="24"/>
              <w:szCs w:val="24"/>
              <w:lang w:val="ru-RU"/>
            </w:rPr>
            <m:t xml:space="preserve"> для </m:t>
          </m:r>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1,2</m:t>
              </m:r>
            </m:sub>
          </m:sSub>
          <m:r>
            <w:rPr>
              <w:rFonts w:ascii="Cambria Math" w:eastAsia="Times New Roman" w:hAnsi="Cambria Math" w:cs="Times New Roman"/>
              <w:sz w:val="24"/>
              <w:szCs w:val="24"/>
              <w:lang w:val="ru-RU"/>
            </w:rPr>
            <m:t xml:space="preserve"> ; </m:t>
          </m:r>
          <m:sSub>
            <m:sSubPr>
              <m:ctrlPr>
                <w:rPr>
                  <w:rFonts w:ascii="Cambria Math" w:eastAsia="Times New Roman" w:hAnsi="Cambria Math" w:cs="Times New Roman"/>
                  <w:i/>
                  <w:sz w:val="24"/>
                  <w:szCs w:val="24"/>
                  <w:lang w:val="ru-RU"/>
                </w:rPr>
              </m:ctrlPr>
            </m:sSubPr>
            <m:e>
              <m:acc>
                <m:accPr>
                  <m:chr m:val="̅"/>
                  <m:ctrlPr>
                    <w:rPr>
                      <w:rFonts w:ascii="Cambria Math" w:eastAsia="Times New Roman" w:hAnsi="Cambria Math" w:cs="Times New Roman"/>
                      <w:i/>
                      <w:sz w:val="24"/>
                      <w:szCs w:val="24"/>
                      <w:lang w:val="ru-RU"/>
                    </w:rPr>
                  </m:ctrlPr>
                </m:accPr>
                <m:e>
                  <m:r>
                    <w:rPr>
                      <w:rFonts w:ascii="Cambria Math" w:eastAsia="Times New Roman" w:hAnsi="Cambria Math" w:cs="Times New Roman"/>
                      <w:sz w:val="24"/>
                      <w:szCs w:val="24"/>
                      <w:lang w:val="ru-RU"/>
                    </w:rPr>
                    <m:t>x</m:t>
                  </m:r>
                </m:e>
              </m:acc>
            </m:e>
            <m:sub>
              <m:r>
                <w:rPr>
                  <w:rFonts w:ascii="Cambria Math" w:eastAsia="Times New Roman" w:hAnsi="Cambria Math" w:cs="Times New Roman"/>
                  <w:sz w:val="24"/>
                  <w:szCs w:val="24"/>
                  <w:lang w:val="ru-RU"/>
                </w:rPr>
                <m:t>i</m:t>
              </m:r>
            </m:sub>
          </m:sSub>
          <m:r>
            <w:rPr>
              <w:rFonts w:ascii="Cambria Math" w:eastAsia="Times New Roman" w:hAnsi="Cambria Math" w:cs="Times New Roman"/>
              <w:sz w:val="24"/>
              <w:szCs w:val="24"/>
              <w:lang w:val="ru-RU"/>
            </w:rPr>
            <m:t xml:space="preserve">= </m:t>
          </m:r>
          <m:f>
            <m:fPr>
              <m:ctrlPr>
                <w:rPr>
                  <w:rFonts w:ascii="Cambria Math" w:eastAsia="Times New Roman" w:hAnsi="Cambria Math" w:cs="Times New Roman"/>
                  <w:i/>
                  <w:sz w:val="24"/>
                  <w:szCs w:val="24"/>
                  <w:lang w:val="ru-RU"/>
                </w:rPr>
              </m:ctrlPr>
            </m:fPr>
            <m:num>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i m</m:t>
                  </m:r>
                  <m:r>
                    <w:rPr>
                      <w:rFonts w:ascii="Cambria Math" w:eastAsia="Times New Roman" w:hAnsi="Cambria Math" w:cs="Times New Roman"/>
                      <w:sz w:val="24"/>
                      <w:szCs w:val="24"/>
                      <w:lang w:val="en-US"/>
                    </w:rPr>
                    <m:t>in</m:t>
                  </m:r>
                </m:sub>
              </m:sSub>
            </m:num>
            <m:den>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i</m:t>
                  </m:r>
                </m:sub>
              </m:sSub>
            </m:den>
          </m:f>
          <m:r>
            <w:rPr>
              <w:rFonts w:ascii="Cambria Math" w:eastAsia="Times New Roman" w:hAnsi="Cambria Math" w:cs="Times New Roman"/>
              <w:sz w:val="24"/>
              <w:szCs w:val="24"/>
              <w:lang w:val="ru-RU"/>
            </w:rPr>
            <m:t xml:space="preserve"> для </m:t>
          </m:r>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3,4</m:t>
              </m:r>
            </m:sub>
          </m:sSub>
          <m:r>
            <w:rPr>
              <w:rFonts w:ascii="Cambria Math" w:eastAsia="Times New Roman" w:hAnsi="Cambria Math" w:cs="Times New Roman"/>
              <w:sz w:val="24"/>
              <w:szCs w:val="24"/>
              <w:lang w:val="ru-RU"/>
            </w:rPr>
            <m:t xml:space="preserve"> (2) </m:t>
          </m:r>
        </m:oMath>
      </m:oMathPara>
    </w:p>
    <w:p w14:paraId="6F0400D7" w14:textId="6E2DA7A1" w:rsidR="007B08E2" w:rsidRPr="009E3EBE" w:rsidRDefault="007B08E2" w:rsidP="007B08E2">
      <w:pPr>
        <w:spacing w:line="240" w:lineRule="auto"/>
        <w:ind w:firstLine="720"/>
        <w:contextualSpacing/>
        <w:jc w:val="both"/>
        <w:rPr>
          <w:rFonts w:ascii="Times New Roman" w:eastAsia="Times New Roman" w:hAnsi="Times New Roman" w:cs="Times New Roman"/>
          <w:sz w:val="24"/>
          <w:szCs w:val="24"/>
          <w:lang w:val="ru-RU"/>
        </w:rPr>
      </w:pPr>
      <m:oMathPara>
        <m:oMath>
          <m:r>
            <w:rPr>
              <w:rFonts w:ascii="Cambria Math" w:eastAsia="Times New Roman" w:hAnsi="Cambria Math" w:cs="Times New Roman"/>
              <w:sz w:val="24"/>
              <w:szCs w:val="24"/>
              <w:lang w:val="ru-RU"/>
            </w:rPr>
            <m:t xml:space="preserve">I= </m:t>
          </m:r>
          <m:nary>
            <m:naryPr>
              <m:chr m:val="∑"/>
              <m:limLoc m:val="subSup"/>
              <m:ctrlPr>
                <w:rPr>
                  <w:rFonts w:ascii="Cambria Math" w:eastAsia="Times New Roman" w:hAnsi="Cambria Math" w:cs="Times New Roman"/>
                  <w:i/>
                  <w:sz w:val="24"/>
                  <w:szCs w:val="24"/>
                  <w:lang w:val="ru-RU"/>
                </w:rPr>
              </m:ctrlPr>
            </m:naryPr>
            <m:sub>
              <m:r>
                <w:rPr>
                  <w:rFonts w:ascii="Cambria Math" w:eastAsia="Times New Roman" w:hAnsi="Cambria Math" w:cs="Times New Roman"/>
                  <w:sz w:val="24"/>
                  <w:szCs w:val="24"/>
                  <w:lang w:val="ru-RU"/>
                </w:rPr>
                <m:t>i=1</m:t>
              </m:r>
            </m:sub>
            <m:sup>
              <m:r>
                <w:rPr>
                  <w:rFonts w:ascii="Cambria Math" w:eastAsia="Times New Roman" w:hAnsi="Cambria Math" w:cs="Times New Roman"/>
                  <w:sz w:val="24"/>
                  <w:szCs w:val="24"/>
                  <w:lang w:val="ru-RU"/>
                </w:rPr>
                <m:t>4</m:t>
              </m:r>
            </m:sup>
            <m:e>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w</m:t>
                  </m:r>
                </m:e>
                <m:sub>
                  <m:r>
                    <w:rPr>
                      <w:rFonts w:ascii="Cambria Math" w:eastAsia="Times New Roman" w:hAnsi="Cambria Math" w:cs="Times New Roman"/>
                      <w:sz w:val="24"/>
                      <w:szCs w:val="24"/>
                      <w:lang w:val="ru-RU"/>
                    </w:rPr>
                    <m:t>i</m:t>
                  </m:r>
                </m:sub>
              </m:sSub>
              <m:sSub>
                <m:sSubPr>
                  <m:ctrlPr>
                    <w:rPr>
                      <w:rFonts w:ascii="Cambria Math" w:eastAsia="Times New Roman" w:hAnsi="Cambria Math" w:cs="Times New Roman"/>
                      <w:i/>
                      <w:sz w:val="24"/>
                      <w:szCs w:val="24"/>
                      <w:lang w:val="ru-RU"/>
                    </w:rPr>
                  </m:ctrlPr>
                </m:sSubPr>
                <m:e>
                  <m:acc>
                    <m:accPr>
                      <m:chr m:val="̅"/>
                      <m:ctrlPr>
                        <w:rPr>
                          <w:rFonts w:ascii="Cambria Math" w:eastAsia="Times New Roman" w:hAnsi="Cambria Math" w:cs="Times New Roman"/>
                          <w:i/>
                          <w:sz w:val="24"/>
                          <w:szCs w:val="24"/>
                          <w:lang w:val="ru-RU"/>
                        </w:rPr>
                      </m:ctrlPr>
                    </m:accPr>
                    <m:e>
                      <m:r>
                        <w:rPr>
                          <w:rFonts w:ascii="Cambria Math" w:eastAsia="Times New Roman" w:hAnsi="Cambria Math" w:cs="Times New Roman"/>
                          <w:sz w:val="24"/>
                          <w:szCs w:val="24"/>
                          <w:lang w:val="ru-RU"/>
                        </w:rPr>
                        <m:t>x</m:t>
                      </m:r>
                    </m:e>
                  </m:acc>
                </m:e>
                <m:sub>
                  <m:r>
                    <w:rPr>
                      <w:rFonts w:ascii="Cambria Math" w:eastAsia="Times New Roman" w:hAnsi="Cambria Math" w:cs="Times New Roman"/>
                      <w:sz w:val="24"/>
                      <w:szCs w:val="24"/>
                      <w:lang w:val="ru-RU"/>
                    </w:rPr>
                    <m:t>i</m:t>
                  </m:r>
                </m:sub>
              </m:sSub>
            </m:e>
          </m:nary>
          <m:r>
            <w:rPr>
              <w:rFonts w:ascii="Cambria Math" w:eastAsia="Times New Roman" w:hAnsi="Cambria Math" w:cs="Times New Roman"/>
              <w:sz w:val="24"/>
              <w:szCs w:val="24"/>
              <w:lang w:val="ru-RU"/>
            </w:rPr>
            <m:t xml:space="preserve">, </m:t>
          </m:r>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w</m:t>
              </m:r>
            </m:e>
            <m:sub>
              <m:r>
                <w:rPr>
                  <w:rFonts w:ascii="Cambria Math" w:eastAsia="Times New Roman" w:hAnsi="Cambria Math" w:cs="Times New Roman"/>
                  <w:sz w:val="24"/>
                  <w:szCs w:val="24"/>
                  <w:lang w:val="ru-RU"/>
                </w:rPr>
                <m:t>i</m:t>
              </m:r>
            </m:sub>
          </m:sSub>
          <m:r>
            <w:rPr>
              <w:rFonts w:ascii="Cambria Math" w:eastAsia="Times New Roman" w:hAnsi="Cambria Math" w:cs="Times New Roman"/>
              <w:sz w:val="24"/>
              <w:szCs w:val="24"/>
              <w:lang w:val="ru-RU"/>
            </w:rPr>
            <m:t xml:space="preserve">≥0, </m:t>
          </m:r>
          <m:nary>
            <m:naryPr>
              <m:chr m:val="∑"/>
              <m:limLoc m:val="undOvr"/>
              <m:subHide m:val="1"/>
              <m:supHide m:val="1"/>
              <m:ctrlPr>
                <w:rPr>
                  <w:rFonts w:ascii="Cambria Math" w:eastAsia="Times New Roman" w:hAnsi="Cambria Math" w:cs="Times New Roman"/>
                  <w:i/>
                  <w:sz w:val="24"/>
                  <w:szCs w:val="24"/>
                  <w:lang w:val="ru-RU"/>
                </w:rPr>
              </m:ctrlPr>
            </m:naryPr>
            <m:sub/>
            <m:sup/>
            <m:e>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w</m:t>
                  </m:r>
                </m:e>
                <m:sub>
                  <m:r>
                    <w:rPr>
                      <w:rFonts w:ascii="Cambria Math" w:eastAsia="Times New Roman" w:hAnsi="Cambria Math" w:cs="Times New Roman"/>
                      <w:sz w:val="24"/>
                      <w:szCs w:val="24"/>
                      <w:lang w:val="ru-RU"/>
                    </w:rPr>
                    <m:t>i</m:t>
                  </m:r>
                </m:sub>
              </m:sSub>
            </m:e>
          </m:nary>
          <m:r>
            <w:rPr>
              <w:rFonts w:ascii="Cambria Math" w:eastAsia="Times New Roman" w:hAnsi="Cambria Math" w:cs="Times New Roman"/>
              <w:sz w:val="24"/>
              <w:szCs w:val="24"/>
              <w:lang w:val="ru-RU"/>
            </w:rPr>
            <m:t>=1 (3)</m:t>
          </m:r>
        </m:oMath>
      </m:oMathPara>
    </w:p>
    <w:p w14:paraId="52C00C20" w14:textId="07A1291A" w:rsidR="006338BE" w:rsidRPr="009E3EBE" w:rsidRDefault="006338BE" w:rsidP="004F055F">
      <w:pPr>
        <w:spacing w:line="240" w:lineRule="auto"/>
        <w:ind w:firstLine="720"/>
        <w:contextualSpacing/>
        <w:jc w:val="both"/>
        <w:rPr>
          <w:rFonts w:ascii="Times New Roman" w:eastAsia="Times New Roman" w:hAnsi="Times New Roman" w:cs="Times New Roman"/>
          <w:sz w:val="24"/>
          <w:szCs w:val="24"/>
          <w:lang w:val="ru-RU"/>
        </w:rPr>
      </w:pPr>
    </w:p>
    <w:p w14:paraId="4D37FC66" w14:textId="47824D0E" w:rsidR="007B08E2" w:rsidRPr="009E3EBE" w:rsidRDefault="007B08E2" w:rsidP="007B08E2">
      <w:pPr>
        <w:spacing w:line="240" w:lineRule="auto"/>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где </w:t>
      </w:r>
      <m:oMath>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w</m:t>
            </m:r>
          </m:e>
          <m:sub>
            <m:r>
              <w:rPr>
                <w:rFonts w:ascii="Cambria Math" w:eastAsia="Times New Roman" w:hAnsi="Cambria Math" w:cs="Times New Roman"/>
                <w:sz w:val="24"/>
                <w:szCs w:val="24"/>
                <w:lang w:val="ru-RU"/>
              </w:rPr>
              <m:t>i</m:t>
            </m:r>
          </m:sub>
        </m:sSub>
      </m:oMath>
      <w:r w:rsidRPr="009E3EBE">
        <w:rPr>
          <w:rFonts w:ascii="Times New Roman" w:eastAsia="Times New Roman" w:hAnsi="Times New Roman" w:cs="Times New Roman"/>
          <w:sz w:val="24"/>
          <w:szCs w:val="24"/>
          <w:lang w:val="ru-RU"/>
        </w:rPr>
        <w:t xml:space="preserve"> - весовой коэффициент, отражающий степень значимости индикатора;</w:t>
      </w:r>
    </w:p>
    <w:p w14:paraId="77DAAEE4" w14:textId="77777777" w:rsidR="007B08E2" w:rsidRPr="009E3EBE" w:rsidRDefault="007B08E2" w:rsidP="007B08E2">
      <w:pPr>
        <w:spacing w:line="240" w:lineRule="auto"/>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en-US"/>
        </w:rPr>
        <w:t>j</w:t>
      </w:r>
      <w:r w:rsidRPr="009E3EBE">
        <w:rPr>
          <w:rFonts w:ascii="Times New Roman" w:eastAsia="Times New Roman" w:hAnsi="Times New Roman" w:cs="Times New Roman"/>
          <w:sz w:val="24"/>
          <w:szCs w:val="24"/>
          <w:lang w:val="ru-RU"/>
        </w:rPr>
        <w:t xml:space="preserve"> – номер индикатора в ранжировании по убыванию значимости;</w:t>
      </w:r>
    </w:p>
    <w:p w14:paraId="1B7458DE" w14:textId="5664B451" w:rsidR="007B08E2" w:rsidRPr="009E3EBE" w:rsidRDefault="007B08E2" w:rsidP="007B08E2">
      <w:pPr>
        <w:spacing w:line="240" w:lineRule="auto"/>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en-US"/>
        </w:rPr>
        <w:t>n</w:t>
      </w:r>
      <w:r w:rsidRPr="009E3EBE">
        <w:rPr>
          <w:rFonts w:ascii="Times New Roman" w:eastAsia="Times New Roman" w:hAnsi="Times New Roman" w:cs="Times New Roman"/>
          <w:sz w:val="24"/>
          <w:szCs w:val="24"/>
          <w:lang w:val="ru-RU"/>
        </w:rPr>
        <w:t xml:space="preserve"> – количество </w:t>
      </w:r>
      <w:proofErr w:type="gramStart"/>
      <w:r w:rsidRPr="009E3EBE">
        <w:rPr>
          <w:rFonts w:ascii="Times New Roman" w:eastAsia="Times New Roman" w:hAnsi="Times New Roman" w:cs="Times New Roman"/>
          <w:sz w:val="24"/>
          <w:szCs w:val="24"/>
          <w:lang w:val="ru-RU"/>
        </w:rPr>
        <w:t>индикаторов</w:t>
      </w:r>
      <w:r w:rsidR="00856212" w:rsidRPr="009E3EBE">
        <w:rPr>
          <w:rFonts w:ascii="Times New Roman" w:eastAsia="Times New Roman" w:hAnsi="Times New Roman" w:cs="Times New Roman"/>
          <w:sz w:val="24"/>
          <w:szCs w:val="24"/>
          <w:lang w:val="ru-RU"/>
        </w:rPr>
        <w:t>;</w:t>
      </w:r>
      <w:proofErr w:type="gramEnd"/>
    </w:p>
    <w:p w14:paraId="39A27529" w14:textId="21CB2998" w:rsidR="007B08E2" w:rsidRPr="009E3EBE" w:rsidRDefault="00000000" w:rsidP="007B08E2">
      <w:pPr>
        <w:spacing w:line="240" w:lineRule="auto"/>
        <w:contextualSpacing/>
        <w:jc w:val="both"/>
        <w:rPr>
          <w:rFonts w:ascii="Times New Roman" w:eastAsia="Times New Roman" w:hAnsi="Times New Roman" w:cs="Times New Roman"/>
          <w:sz w:val="24"/>
          <w:szCs w:val="24"/>
          <w:lang w:val="ru-RU"/>
        </w:rPr>
      </w:pPr>
      <m:oMath>
        <m:sSub>
          <m:sSubPr>
            <m:ctrlPr>
              <w:rPr>
                <w:rFonts w:ascii="Cambria Math" w:eastAsia="Times New Roman" w:hAnsi="Cambria Math" w:cs="Times New Roman"/>
                <w:i/>
                <w:sz w:val="24"/>
                <w:szCs w:val="24"/>
                <w:lang w:val="ru-RU"/>
              </w:rPr>
            </m:ctrlPr>
          </m:sSubPr>
          <m:e>
            <m:acc>
              <m:accPr>
                <m:chr m:val="̅"/>
                <m:ctrlPr>
                  <w:rPr>
                    <w:rFonts w:ascii="Cambria Math" w:eastAsia="Times New Roman" w:hAnsi="Cambria Math" w:cs="Times New Roman"/>
                    <w:i/>
                    <w:sz w:val="24"/>
                    <w:szCs w:val="24"/>
                    <w:lang w:val="ru-RU"/>
                  </w:rPr>
                </m:ctrlPr>
              </m:accPr>
              <m:e>
                <m:r>
                  <w:rPr>
                    <w:rFonts w:ascii="Cambria Math" w:eastAsia="Times New Roman" w:hAnsi="Cambria Math" w:cs="Times New Roman"/>
                    <w:sz w:val="24"/>
                    <w:szCs w:val="24"/>
                    <w:lang w:val="ru-RU"/>
                  </w:rPr>
                  <m:t>x</m:t>
                </m:r>
              </m:e>
            </m:acc>
          </m:e>
          <m:sub>
            <m:r>
              <w:rPr>
                <w:rFonts w:ascii="Cambria Math" w:eastAsia="Times New Roman" w:hAnsi="Cambria Math" w:cs="Times New Roman"/>
                <w:sz w:val="24"/>
                <w:szCs w:val="24"/>
                <w:lang w:val="ru-RU"/>
              </w:rPr>
              <m:t>i</m:t>
            </m:r>
          </m:sub>
        </m:sSub>
      </m:oMath>
      <w:r w:rsidR="007B08E2" w:rsidRPr="009E3EBE">
        <w:rPr>
          <w:rFonts w:ascii="Times New Roman" w:eastAsia="Times New Roman" w:hAnsi="Times New Roman" w:cs="Times New Roman"/>
          <w:sz w:val="24"/>
          <w:szCs w:val="24"/>
          <w:lang w:val="ru-RU"/>
        </w:rPr>
        <w:t xml:space="preserve"> – нормированное значение индикатора</w:t>
      </w:r>
      <w:r w:rsidR="00856212" w:rsidRPr="009E3EBE">
        <w:rPr>
          <w:rFonts w:ascii="Times New Roman" w:eastAsia="Times New Roman" w:hAnsi="Times New Roman" w:cs="Times New Roman"/>
          <w:sz w:val="24"/>
          <w:szCs w:val="24"/>
          <w:lang w:val="ru-RU"/>
        </w:rPr>
        <w:t>.</w:t>
      </w:r>
    </w:p>
    <w:p w14:paraId="59271350" w14:textId="21AAFCC1" w:rsidR="007B08E2" w:rsidRPr="009E3EBE" w:rsidRDefault="007B08E2" w:rsidP="007B08E2">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Показатели были </w:t>
      </w:r>
      <w:proofErr w:type="spellStart"/>
      <w:r w:rsidRPr="009E3EBE">
        <w:rPr>
          <w:rFonts w:ascii="Times New Roman" w:eastAsia="Times New Roman" w:hAnsi="Times New Roman" w:cs="Times New Roman"/>
          <w:sz w:val="24"/>
          <w:szCs w:val="24"/>
          <w:lang w:val="ru-RU"/>
        </w:rPr>
        <w:t>проранжированы</w:t>
      </w:r>
      <w:proofErr w:type="spellEnd"/>
      <w:r w:rsidRPr="009E3EBE">
        <w:rPr>
          <w:rFonts w:ascii="Times New Roman" w:eastAsia="Times New Roman" w:hAnsi="Times New Roman" w:cs="Times New Roman"/>
          <w:sz w:val="24"/>
          <w:szCs w:val="24"/>
          <w:lang w:val="ru-RU"/>
        </w:rPr>
        <w:t xml:space="preserve"> и им были присвоены следующие веса: </w:t>
      </w:r>
      <m:oMath>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w</m:t>
            </m:r>
          </m:e>
          <m:sub>
            <m:r>
              <w:rPr>
                <w:rFonts w:ascii="Cambria Math" w:eastAsia="Times New Roman" w:hAnsi="Cambria Math" w:cs="Times New Roman"/>
                <w:sz w:val="24"/>
                <w:szCs w:val="24"/>
                <w:lang w:val="ru-RU"/>
              </w:rPr>
              <m:t>1</m:t>
            </m:r>
          </m:sub>
        </m:sSub>
        <m:r>
          <w:rPr>
            <w:rFonts w:ascii="Cambria Math" w:eastAsia="Times New Roman" w:hAnsi="Cambria Math" w:cs="Times New Roman"/>
            <w:sz w:val="24"/>
            <w:szCs w:val="24"/>
            <w:lang w:val="ru-RU"/>
          </w:rPr>
          <m:t xml:space="preserve">=0,3; </m:t>
        </m:r>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w</m:t>
            </m:r>
          </m:e>
          <m:sub>
            <m:r>
              <w:rPr>
                <w:rFonts w:ascii="Cambria Math" w:eastAsia="Times New Roman" w:hAnsi="Cambria Math" w:cs="Times New Roman"/>
                <w:sz w:val="24"/>
                <w:szCs w:val="24"/>
                <w:lang w:val="ru-RU"/>
              </w:rPr>
              <m:t>2</m:t>
            </m:r>
          </m:sub>
        </m:sSub>
        <m:r>
          <w:rPr>
            <w:rFonts w:ascii="Cambria Math" w:eastAsia="Times New Roman" w:hAnsi="Cambria Math" w:cs="Times New Roman"/>
            <w:sz w:val="24"/>
            <w:szCs w:val="24"/>
            <w:lang w:val="ru-RU"/>
          </w:rPr>
          <m:t xml:space="preserve">=0,4; </m:t>
        </m:r>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w</m:t>
            </m:r>
          </m:e>
          <m:sub>
            <m:r>
              <w:rPr>
                <w:rFonts w:ascii="Cambria Math" w:eastAsia="Times New Roman" w:hAnsi="Cambria Math" w:cs="Times New Roman"/>
                <w:sz w:val="24"/>
                <w:szCs w:val="24"/>
                <w:lang w:val="ru-RU"/>
              </w:rPr>
              <m:t>3</m:t>
            </m:r>
          </m:sub>
        </m:sSub>
        <m:r>
          <w:rPr>
            <w:rFonts w:ascii="Cambria Math" w:eastAsia="Times New Roman" w:hAnsi="Cambria Math" w:cs="Times New Roman"/>
            <w:sz w:val="24"/>
            <w:szCs w:val="24"/>
            <w:lang w:val="ru-RU"/>
          </w:rPr>
          <m:t xml:space="preserve">=0,2; </m:t>
        </m:r>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w</m:t>
            </m:r>
          </m:e>
          <m:sub>
            <m:r>
              <w:rPr>
                <w:rFonts w:ascii="Cambria Math" w:eastAsia="Times New Roman" w:hAnsi="Cambria Math" w:cs="Times New Roman"/>
                <w:sz w:val="24"/>
                <w:szCs w:val="24"/>
                <w:lang w:val="ru-RU"/>
              </w:rPr>
              <m:t>4</m:t>
            </m:r>
          </m:sub>
        </m:sSub>
        <m:r>
          <w:rPr>
            <w:rFonts w:ascii="Cambria Math" w:eastAsia="Times New Roman" w:hAnsi="Cambria Math" w:cs="Times New Roman"/>
            <w:sz w:val="24"/>
            <w:szCs w:val="24"/>
            <w:lang w:val="ru-RU"/>
          </w:rPr>
          <m:t xml:space="preserve">=0,1. </m:t>
        </m:r>
      </m:oMath>
      <w:r w:rsidRPr="009E3EBE">
        <w:rPr>
          <w:rFonts w:ascii="Times New Roman" w:eastAsia="Times New Roman" w:hAnsi="Times New Roman" w:cs="Times New Roman"/>
          <w:sz w:val="24"/>
          <w:szCs w:val="24"/>
          <w:lang w:val="ru-RU"/>
        </w:rPr>
        <w:t>Рассмотрим расчет интегрального показателя на примере 2017 года.</w:t>
      </w:r>
      <w:r w:rsidR="00D46DD1" w:rsidRPr="009E3EBE">
        <w:rPr>
          <w:rFonts w:ascii="Times New Roman" w:eastAsia="Times New Roman" w:hAnsi="Times New Roman" w:cs="Times New Roman"/>
          <w:sz w:val="24"/>
          <w:szCs w:val="24"/>
          <w:lang w:val="ru-RU"/>
        </w:rPr>
        <w:t xml:space="preserve"> Для последующих периодов расчет проводился аналогичным способом.</w:t>
      </w:r>
    </w:p>
    <w:p w14:paraId="704F93C7" w14:textId="12E04E60" w:rsidR="00D46DD1" w:rsidRPr="009E3EBE" w:rsidRDefault="00000000" w:rsidP="001B7DCC">
      <w:pPr>
        <w:spacing w:line="240" w:lineRule="auto"/>
        <w:ind w:firstLine="720"/>
        <w:contextualSpacing/>
        <w:jc w:val="both"/>
        <w:rPr>
          <w:rFonts w:ascii="Times New Roman" w:eastAsia="Times New Roman" w:hAnsi="Times New Roman" w:cs="Times New Roman"/>
          <w:sz w:val="24"/>
          <w:szCs w:val="24"/>
          <w:lang w:val="ru-RU"/>
        </w:rPr>
      </w:pPr>
      <m:oMathPara>
        <m:oMath>
          <m:sSub>
            <m:sSubPr>
              <m:ctrlPr>
                <w:rPr>
                  <w:rFonts w:ascii="Cambria Math" w:eastAsia="Times New Roman" w:hAnsi="Cambria Math" w:cs="Times New Roman"/>
                  <w:i/>
                  <w:sz w:val="24"/>
                  <w:szCs w:val="24"/>
                  <w:lang w:val="ru-RU"/>
                </w:rPr>
              </m:ctrlPr>
            </m:sSubPr>
            <m:e>
              <m:acc>
                <m:accPr>
                  <m:chr m:val="̅"/>
                  <m:ctrlPr>
                    <w:rPr>
                      <w:rFonts w:ascii="Cambria Math" w:eastAsia="Times New Roman" w:hAnsi="Cambria Math" w:cs="Times New Roman"/>
                      <w:i/>
                      <w:sz w:val="24"/>
                      <w:szCs w:val="24"/>
                      <w:lang w:val="ru-RU"/>
                    </w:rPr>
                  </m:ctrlPr>
                </m:accPr>
                <m:e>
                  <m:r>
                    <w:rPr>
                      <w:rFonts w:ascii="Cambria Math" w:eastAsia="Times New Roman" w:hAnsi="Cambria Math" w:cs="Times New Roman"/>
                      <w:sz w:val="24"/>
                      <w:szCs w:val="24"/>
                      <w:lang w:val="ru-RU"/>
                    </w:rPr>
                    <m:t>x</m:t>
                  </m:r>
                </m:e>
              </m:acc>
            </m:e>
            <m:sub>
              <m:r>
                <w:rPr>
                  <w:rFonts w:ascii="Cambria Math" w:eastAsia="Times New Roman" w:hAnsi="Cambria Math" w:cs="Times New Roman"/>
                  <w:sz w:val="24"/>
                  <w:szCs w:val="24"/>
                  <w:lang w:val="ru-RU"/>
                </w:rPr>
                <m:t>1</m:t>
              </m:r>
            </m:sub>
          </m:sSub>
          <m:r>
            <w:rPr>
              <w:rFonts w:ascii="Cambria Math" w:eastAsia="Times New Roman" w:hAnsi="Cambria Math" w:cs="Times New Roman"/>
              <w:sz w:val="24"/>
              <w:szCs w:val="24"/>
              <w:lang w:val="ru-RU"/>
            </w:rPr>
            <m:t xml:space="preserve">= </m:t>
          </m:r>
          <m:f>
            <m:fPr>
              <m:ctrlPr>
                <w:rPr>
                  <w:rFonts w:ascii="Cambria Math" w:eastAsia="Times New Roman" w:hAnsi="Cambria Math" w:cs="Times New Roman"/>
                  <w:i/>
                  <w:sz w:val="24"/>
                  <w:szCs w:val="24"/>
                  <w:lang w:val="ru-RU"/>
                </w:rPr>
              </m:ctrlPr>
            </m:fPr>
            <m:num>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1</m:t>
                  </m:r>
                </m:sub>
              </m:sSub>
            </m:num>
            <m:den>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1 max</m:t>
                  </m:r>
                </m:sub>
              </m:sSub>
            </m:den>
          </m:f>
          <m:r>
            <w:rPr>
              <w:rFonts w:ascii="Cambria Math" w:eastAsia="Times New Roman" w:hAnsi="Cambria Math" w:cs="Times New Roman"/>
              <w:sz w:val="24"/>
              <w:szCs w:val="24"/>
              <w:lang w:val="ru-RU"/>
            </w:rPr>
            <m:t xml:space="preserve">= </m:t>
          </m:r>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753,6</m:t>
              </m:r>
            </m:num>
            <m:den>
              <m:r>
                <w:rPr>
                  <w:rFonts w:ascii="Cambria Math" w:eastAsia="Times New Roman" w:hAnsi="Cambria Math" w:cs="Times New Roman"/>
                  <w:sz w:val="24"/>
                  <w:szCs w:val="24"/>
                  <w:lang w:val="ru-RU"/>
                </w:rPr>
                <m:t>1073,3</m:t>
              </m:r>
            </m:den>
          </m:f>
          <m:r>
            <w:rPr>
              <w:rFonts w:ascii="Cambria Math" w:eastAsia="Times New Roman" w:hAnsi="Cambria Math" w:cs="Times New Roman"/>
              <w:sz w:val="24"/>
              <w:szCs w:val="24"/>
              <w:lang w:val="ru-RU"/>
            </w:rPr>
            <m:t xml:space="preserve">=0,7;  </m:t>
          </m:r>
          <m:sSub>
            <m:sSubPr>
              <m:ctrlPr>
                <w:rPr>
                  <w:rFonts w:ascii="Cambria Math" w:eastAsia="Times New Roman" w:hAnsi="Cambria Math" w:cs="Times New Roman"/>
                  <w:i/>
                  <w:sz w:val="24"/>
                  <w:szCs w:val="24"/>
                  <w:lang w:val="ru-RU"/>
                </w:rPr>
              </m:ctrlPr>
            </m:sSubPr>
            <m:e>
              <m:acc>
                <m:accPr>
                  <m:chr m:val="̅"/>
                  <m:ctrlPr>
                    <w:rPr>
                      <w:rFonts w:ascii="Cambria Math" w:eastAsia="Times New Roman" w:hAnsi="Cambria Math" w:cs="Times New Roman"/>
                      <w:i/>
                      <w:sz w:val="24"/>
                      <w:szCs w:val="24"/>
                      <w:lang w:val="ru-RU"/>
                    </w:rPr>
                  </m:ctrlPr>
                </m:accPr>
                <m:e>
                  <m:r>
                    <w:rPr>
                      <w:rFonts w:ascii="Cambria Math" w:eastAsia="Times New Roman" w:hAnsi="Cambria Math" w:cs="Times New Roman"/>
                      <w:sz w:val="24"/>
                      <w:szCs w:val="24"/>
                      <w:lang w:val="ru-RU"/>
                    </w:rPr>
                    <m:t>x</m:t>
                  </m:r>
                </m:e>
              </m:acc>
            </m:e>
            <m:sub>
              <m:r>
                <w:rPr>
                  <w:rFonts w:ascii="Cambria Math" w:eastAsia="Times New Roman" w:hAnsi="Cambria Math" w:cs="Times New Roman"/>
                  <w:sz w:val="24"/>
                  <w:szCs w:val="24"/>
                  <w:lang w:val="ru-RU"/>
                </w:rPr>
                <m:t>2</m:t>
              </m:r>
            </m:sub>
          </m:sSub>
          <m:r>
            <w:rPr>
              <w:rFonts w:ascii="Cambria Math" w:eastAsia="Times New Roman" w:hAnsi="Cambria Math" w:cs="Times New Roman"/>
              <w:sz w:val="24"/>
              <w:szCs w:val="24"/>
              <w:lang w:val="ru-RU"/>
            </w:rPr>
            <m:t>=</m:t>
          </m:r>
          <m:f>
            <m:fPr>
              <m:ctrlPr>
                <w:rPr>
                  <w:rFonts w:ascii="Cambria Math" w:eastAsia="Times New Roman" w:hAnsi="Cambria Math" w:cs="Times New Roman"/>
                  <w:i/>
                  <w:sz w:val="24"/>
                  <w:szCs w:val="24"/>
                  <w:lang w:val="ru-RU"/>
                </w:rPr>
              </m:ctrlPr>
            </m:fPr>
            <m:num>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2</m:t>
                  </m:r>
                </m:sub>
              </m:sSub>
            </m:num>
            <m:den>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2 max</m:t>
                  </m:r>
                </m:sub>
              </m:sSub>
            </m:den>
          </m:f>
          <m:r>
            <w:rPr>
              <w:rFonts w:ascii="Cambria Math" w:eastAsia="Times New Roman" w:hAnsi="Cambria Math" w:cs="Times New Roman"/>
              <w:sz w:val="24"/>
              <w:szCs w:val="24"/>
              <w:lang w:val="ru-RU"/>
            </w:rPr>
            <m:t xml:space="preserve">= </m:t>
          </m:r>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2,09</m:t>
              </m:r>
            </m:num>
            <m:den>
              <m:r>
                <w:rPr>
                  <w:rFonts w:ascii="Cambria Math" w:eastAsia="Times New Roman" w:hAnsi="Cambria Math" w:cs="Times New Roman"/>
                  <w:sz w:val="24"/>
                  <w:szCs w:val="24"/>
                  <w:lang w:val="ru-RU"/>
                </w:rPr>
                <m:t>2,19</m:t>
              </m:r>
            </m:den>
          </m:f>
          <m:r>
            <w:rPr>
              <w:rFonts w:ascii="Cambria Math" w:eastAsia="Times New Roman" w:hAnsi="Cambria Math" w:cs="Times New Roman"/>
              <w:sz w:val="24"/>
              <w:szCs w:val="24"/>
              <w:lang w:val="ru-RU"/>
            </w:rPr>
            <m:t>=0,95;</m:t>
          </m:r>
        </m:oMath>
      </m:oMathPara>
    </w:p>
    <w:p w14:paraId="48AC55C6" w14:textId="792FF697" w:rsidR="001B7DCC" w:rsidRPr="009E3EBE" w:rsidRDefault="001B7DCC" w:rsidP="001B7DCC">
      <w:pPr>
        <w:spacing w:line="240" w:lineRule="auto"/>
        <w:ind w:firstLine="720"/>
        <w:contextualSpacing/>
        <w:jc w:val="both"/>
        <w:rPr>
          <w:rFonts w:ascii="Times New Roman" w:eastAsia="Times New Roman" w:hAnsi="Times New Roman" w:cs="Times New Roman"/>
          <w:i/>
          <w:sz w:val="24"/>
          <w:szCs w:val="24"/>
          <w:lang w:val="ru-RU"/>
        </w:rPr>
      </w:pPr>
      <m:oMathPara>
        <m:oMath>
          <m:r>
            <w:rPr>
              <w:rFonts w:ascii="Cambria Math" w:eastAsia="Times New Roman" w:hAnsi="Cambria Math" w:cs="Times New Roman"/>
              <w:sz w:val="24"/>
              <w:szCs w:val="24"/>
              <w:lang w:val="ru-RU"/>
            </w:rPr>
            <m:t xml:space="preserve"> </m:t>
          </m:r>
          <m:sSub>
            <m:sSubPr>
              <m:ctrlPr>
                <w:rPr>
                  <w:rFonts w:ascii="Cambria Math" w:eastAsia="Times New Roman" w:hAnsi="Cambria Math" w:cs="Times New Roman"/>
                  <w:i/>
                  <w:sz w:val="24"/>
                  <w:szCs w:val="24"/>
                  <w:lang w:val="ru-RU"/>
                </w:rPr>
              </m:ctrlPr>
            </m:sSubPr>
            <m:e>
              <m:acc>
                <m:accPr>
                  <m:chr m:val="̅"/>
                  <m:ctrlPr>
                    <w:rPr>
                      <w:rFonts w:ascii="Cambria Math" w:eastAsia="Times New Roman" w:hAnsi="Cambria Math" w:cs="Times New Roman"/>
                      <w:i/>
                      <w:sz w:val="24"/>
                      <w:szCs w:val="24"/>
                      <w:lang w:val="ru-RU"/>
                    </w:rPr>
                  </m:ctrlPr>
                </m:accPr>
                <m:e>
                  <m:r>
                    <w:rPr>
                      <w:rFonts w:ascii="Cambria Math" w:eastAsia="Times New Roman" w:hAnsi="Cambria Math" w:cs="Times New Roman"/>
                      <w:sz w:val="24"/>
                      <w:szCs w:val="24"/>
                      <w:lang w:val="en-US"/>
                    </w:rPr>
                    <m:t>x</m:t>
                  </m:r>
                </m:e>
              </m:acc>
            </m:e>
            <m:sub>
              <m:r>
                <w:rPr>
                  <w:rFonts w:ascii="Cambria Math" w:eastAsia="Times New Roman" w:hAnsi="Cambria Math" w:cs="Times New Roman"/>
                  <w:sz w:val="24"/>
                  <w:szCs w:val="24"/>
                  <w:lang w:val="ru-RU"/>
                </w:rPr>
                <m:t>3</m:t>
              </m:r>
            </m:sub>
          </m:sSub>
          <m:r>
            <w:rPr>
              <w:rFonts w:ascii="Cambria Math" w:eastAsia="Times New Roman" w:hAnsi="Cambria Math" w:cs="Times New Roman"/>
              <w:sz w:val="24"/>
              <w:szCs w:val="24"/>
              <w:lang w:val="ru-RU"/>
            </w:rPr>
            <m:t>=</m:t>
          </m:r>
          <m:f>
            <m:fPr>
              <m:ctrlPr>
                <w:rPr>
                  <w:rFonts w:ascii="Cambria Math" w:eastAsia="Times New Roman" w:hAnsi="Cambria Math" w:cs="Times New Roman"/>
                  <w:i/>
                  <w:sz w:val="24"/>
                  <w:szCs w:val="24"/>
                  <w:lang w:val="ru-RU"/>
                </w:rPr>
              </m:ctrlPr>
            </m:fPr>
            <m:num>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3 m</m:t>
                  </m:r>
                  <m:r>
                    <w:rPr>
                      <w:rFonts w:ascii="Cambria Math" w:eastAsia="Times New Roman" w:hAnsi="Cambria Math" w:cs="Times New Roman"/>
                      <w:sz w:val="24"/>
                      <w:szCs w:val="24"/>
                      <w:lang w:val="en-US"/>
                    </w:rPr>
                    <m:t>in</m:t>
                  </m:r>
                </m:sub>
              </m:sSub>
            </m:num>
            <m:den>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3</m:t>
                  </m:r>
                </m:sub>
              </m:sSub>
            </m:den>
          </m:f>
          <m:r>
            <w:rPr>
              <w:rFonts w:ascii="Cambria Math" w:eastAsia="Times New Roman" w:hAnsi="Cambria Math" w:cs="Times New Roman"/>
              <w:sz w:val="24"/>
              <w:szCs w:val="24"/>
              <w:lang w:val="ru-RU"/>
            </w:rPr>
            <m:t xml:space="preserve">= </m:t>
          </m:r>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29,3</m:t>
              </m:r>
            </m:num>
            <m:den>
              <m:r>
                <w:rPr>
                  <w:rFonts w:ascii="Cambria Math" w:eastAsia="Times New Roman" w:hAnsi="Cambria Math" w:cs="Times New Roman"/>
                  <w:sz w:val="24"/>
                  <w:szCs w:val="24"/>
                  <w:lang w:val="ru-RU"/>
                </w:rPr>
                <m:t>51,3</m:t>
              </m:r>
            </m:den>
          </m:f>
          <m:r>
            <w:rPr>
              <w:rFonts w:ascii="Cambria Math" w:eastAsia="Times New Roman" w:hAnsi="Cambria Math" w:cs="Times New Roman"/>
              <w:sz w:val="24"/>
              <w:szCs w:val="24"/>
              <w:lang w:val="ru-RU"/>
            </w:rPr>
            <m:t xml:space="preserve">=0,57; </m:t>
          </m:r>
          <m:sSub>
            <m:sSubPr>
              <m:ctrlPr>
                <w:rPr>
                  <w:rFonts w:ascii="Cambria Math" w:eastAsia="Times New Roman" w:hAnsi="Cambria Math" w:cs="Times New Roman"/>
                  <w:i/>
                  <w:sz w:val="24"/>
                  <w:szCs w:val="24"/>
                  <w:lang w:val="ru-RU"/>
                </w:rPr>
              </m:ctrlPr>
            </m:sSubPr>
            <m:e>
              <m:acc>
                <m:accPr>
                  <m:chr m:val="̅"/>
                  <m:ctrlPr>
                    <w:rPr>
                      <w:rFonts w:ascii="Cambria Math" w:eastAsia="Times New Roman" w:hAnsi="Cambria Math" w:cs="Times New Roman"/>
                      <w:i/>
                      <w:sz w:val="24"/>
                      <w:szCs w:val="24"/>
                      <w:lang w:val="ru-RU"/>
                    </w:rPr>
                  </m:ctrlPr>
                </m:accPr>
                <m:e>
                  <m:r>
                    <w:rPr>
                      <w:rFonts w:ascii="Cambria Math" w:eastAsia="Times New Roman" w:hAnsi="Cambria Math" w:cs="Times New Roman"/>
                      <w:sz w:val="24"/>
                      <w:szCs w:val="24"/>
                      <w:lang w:val="ru-RU"/>
                    </w:rPr>
                    <m:t>x</m:t>
                  </m:r>
                </m:e>
              </m:acc>
            </m:e>
            <m:sub>
              <m:r>
                <w:rPr>
                  <w:rFonts w:ascii="Cambria Math" w:eastAsia="Times New Roman" w:hAnsi="Cambria Math" w:cs="Times New Roman"/>
                  <w:sz w:val="24"/>
                  <w:szCs w:val="24"/>
                  <w:lang w:val="ru-RU"/>
                </w:rPr>
                <m:t>4</m:t>
              </m:r>
            </m:sub>
          </m:sSub>
          <m:r>
            <w:rPr>
              <w:rFonts w:ascii="Cambria Math" w:eastAsia="Times New Roman" w:hAnsi="Cambria Math" w:cs="Times New Roman"/>
              <w:sz w:val="24"/>
              <w:szCs w:val="24"/>
              <w:lang w:val="ru-RU"/>
            </w:rPr>
            <m:t>=</m:t>
          </m:r>
          <m:f>
            <m:fPr>
              <m:ctrlPr>
                <w:rPr>
                  <w:rFonts w:ascii="Cambria Math" w:eastAsia="Times New Roman" w:hAnsi="Cambria Math" w:cs="Times New Roman"/>
                  <w:i/>
                  <w:sz w:val="24"/>
                  <w:szCs w:val="24"/>
                  <w:lang w:val="ru-RU"/>
                </w:rPr>
              </m:ctrlPr>
            </m:fPr>
            <m:num>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4 m</m:t>
                  </m:r>
                  <m:r>
                    <w:rPr>
                      <w:rFonts w:ascii="Cambria Math" w:eastAsia="Times New Roman" w:hAnsi="Cambria Math" w:cs="Times New Roman"/>
                      <w:sz w:val="24"/>
                      <w:szCs w:val="24"/>
                      <w:lang w:val="en-US"/>
                    </w:rPr>
                    <m:t>in</m:t>
                  </m:r>
                </m:sub>
              </m:sSub>
            </m:num>
            <m:den>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x</m:t>
                  </m:r>
                </m:e>
                <m:sub>
                  <m:r>
                    <w:rPr>
                      <w:rFonts w:ascii="Cambria Math" w:eastAsia="Times New Roman" w:hAnsi="Cambria Math" w:cs="Times New Roman"/>
                      <w:sz w:val="24"/>
                      <w:szCs w:val="24"/>
                      <w:lang w:val="ru-RU"/>
                    </w:rPr>
                    <m:t>4</m:t>
                  </m:r>
                </m:sub>
              </m:sSub>
            </m:den>
          </m:f>
          <m:r>
            <w:rPr>
              <w:rFonts w:ascii="Cambria Math" w:eastAsia="Times New Roman" w:hAnsi="Cambria Math" w:cs="Times New Roman"/>
              <w:sz w:val="24"/>
              <w:szCs w:val="24"/>
              <w:lang w:val="ru-RU"/>
            </w:rPr>
            <m:t xml:space="preserve">= </m:t>
          </m:r>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8,643</m:t>
              </m:r>
            </m:num>
            <m:den>
              <m:r>
                <w:rPr>
                  <w:rFonts w:ascii="Cambria Math" w:eastAsia="Times New Roman" w:hAnsi="Cambria Math" w:cs="Times New Roman"/>
                  <w:sz w:val="24"/>
                  <w:szCs w:val="24"/>
                  <w:lang w:val="ru-RU"/>
                </w:rPr>
                <m:t>8,643</m:t>
              </m:r>
            </m:den>
          </m:f>
          <m:r>
            <w:rPr>
              <w:rFonts w:ascii="Cambria Math" w:eastAsia="Times New Roman" w:hAnsi="Cambria Math" w:cs="Times New Roman"/>
              <w:sz w:val="24"/>
              <w:szCs w:val="24"/>
              <w:lang w:val="ru-RU"/>
            </w:rPr>
            <m:t>=1</m:t>
          </m:r>
        </m:oMath>
      </m:oMathPara>
    </w:p>
    <w:p w14:paraId="159BA306" w14:textId="30723CF1" w:rsidR="007B08E2" w:rsidRPr="009E3EBE" w:rsidRDefault="001B7DCC" w:rsidP="00D46DD1">
      <w:pPr>
        <w:spacing w:line="240" w:lineRule="auto"/>
        <w:ind w:firstLine="720"/>
        <w:contextualSpacing/>
        <w:jc w:val="both"/>
        <w:rPr>
          <w:rFonts w:ascii="Times New Roman" w:eastAsia="Times New Roman" w:hAnsi="Times New Roman" w:cs="Times New Roman"/>
          <w:sz w:val="24"/>
          <w:szCs w:val="24"/>
          <w:lang w:val="ru-RU"/>
        </w:rPr>
      </w:pPr>
      <m:oMathPara>
        <m:oMath>
          <m:r>
            <w:rPr>
              <w:rFonts w:ascii="Cambria Math" w:eastAsia="Times New Roman" w:hAnsi="Cambria Math" w:cs="Times New Roman"/>
              <w:sz w:val="24"/>
              <w:szCs w:val="24"/>
              <w:lang w:val="ru-RU"/>
            </w:rPr>
            <m:t xml:space="preserve">I= </m:t>
          </m:r>
          <m:nary>
            <m:naryPr>
              <m:chr m:val="∑"/>
              <m:limLoc m:val="subSup"/>
              <m:ctrlPr>
                <w:rPr>
                  <w:rFonts w:ascii="Cambria Math" w:eastAsia="Times New Roman" w:hAnsi="Cambria Math" w:cs="Times New Roman"/>
                  <w:i/>
                  <w:sz w:val="24"/>
                  <w:szCs w:val="24"/>
                  <w:lang w:val="ru-RU"/>
                </w:rPr>
              </m:ctrlPr>
            </m:naryPr>
            <m:sub>
              <m:r>
                <w:rPr>
                  <w:rFonts w:ascii="Cambria Math" w:eastAsia="Times New Roman" w:hAnsi="Cambria Math" w:cs="Times New Roman"/>
                  <w:sz w:val="24"/>
                  <w:szCs w:val="24"/>
                  <w:lang w:val="ru-RU"/>
                </w:rPr>
                <m:t>i=1</m:t>
              </m:r>
            </m:sub>
            <m:sup>
              <m:r>
                <w:rPr>
                  <w:rFonts w:ascii="Cambria Math" w:eastAsia="Times New Roman" w:hAnsi="Cambria Math" w:cs="Times New Roman"/>
                  <w:sz w:val="24"/>
                  <w:szCs w:val="24"/>
                  <w:lang w:val="ru-RU"/>
                </w:rPr>
                <m:t>4</m:t>
              </m:r>
            </m:sup>
            <m:e>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w</m:t>
                  </m:r>
                </m:e>
                <m:sub>
                  <m:r>
                    <w:rPr>
                      <w:rFonts w:ascii="Cambria Math" w:eastAsia="Times New Roman" w:hAnsi="Cambria Math" w:cs="Times New Roman"/>
                      <w:sz w:val="24"/>
                      <w:szCs w:val="24"/>
                      <w:lang w:val="ru-RU"/>
                    </w:rPr>
                    <m:t>i</m:t>
                  </m:r>
                </m:sub>
              </m:sSub>
              <m:sSub>
                <m:sSubPr>
                  <m:ctrlPr>
                    <w:rPr>
                      <w:rFonts w:ascii="Cambria Math" w:eastAsia="Times New Roman" w:hAnsi="Cambria Math" w:cs="Times New Roman"/>
                      <w:i/>
                      <w:sz w:val="24"/>
                      <w:szCs w:val="24"/>
                      <w:lang w:val="ru-RU"/>
                    </w:rPr>
                  </m:ctrlPr>
                </m:sSubPr>
                <m:e>
                  <m:acc>
                    <m:accPr>
                      <m:chr m:val="̅"/>
                      <m:ctrlPr>
                        <w:rPr>
                          <w:rFonts w:ascii="Cambria Math" w:eastAsia="Times New Roman" w:hAnsi="Cambria Math" w:cs="Times New Roman"/>
                          <w:i/>
                          <w:sz w:val="24"/>
                          <w:szCs w:val="24"/>
                          <w:lang w:val="ru-RU"/>
                        </w:rPr>
                      </m:ctrlPr>
                    </m:accPr>
                    <m:e>
                      <m:r>
                        <w:rPr>
                          <w:rFonts w:ascii="Cambria Math" w:eastAsia="Times New Roman" w:hAnsi="Cambria Math" w:cs="Times New Roman"/>
                          <w:sz w:val="24"/>
                          <w:szCs w:val="24"/>
                          <w:lang w:val="ru-RU"/>
                        </w:rPr>
                        <m:t>x</m:t>
                      </m:r>
                    </m:e>
                  </m:acc>
                </m:e>
                <m:sub>
                  <m:r>
                    <w:rPr>
                      <w:rFonts w:ascii="Cambria Math" w:eastAsia="Times New Roman" w:hAnsi="Cambria Math" w:cs="Times New Roman"/>
                      <w:sz w:val="24"/>
                      <w:szCs w:val="24"/>
                      <w:lang w:val="ru-RU"/>
                    </w:rPr>
                    <m:t>i</m:t>
                  </m:r>
                </m:sub>
              </m:sSub>
            </m:e>
          </m:nary>
          <m:r>
            <w:rPr>
              <w:rFonts w:ascii="Cambria Math" w:eastAsia="Times New Roman" w:hAnsi="Cambria Math" w:cs="Times New Roman"/>
              <w:sz w:val="24"/>
              <w:szCs w:val="24"/>
              <w:lang w:val="ru-RU"/>
            </w:rPr>
            <m:t xml:space="preserve">=0,7*0,3+0,95*0,4+0,57*0,2+1*0,1=0,8066 </m:t>
          </m:r>
        </m:oMath>
      </m:oMathPara>
    </w:p>
    <w:p w14:paraId="7EC5B4EC" w14:textId="2F1045DE" w:rsidR="00D46DD1" w:rsidRPr="009E3EBE" w:rsidRDefault="00D46DD1" w:rsidP="00D46DD1">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На данный момент сложилась позитивная динамика: за исследуемый период энергетическая безопасность изолированных территорий постепенно увеличивается. Но, с другой стороны, уровень безопасности все еще остается недостаточным, и все названные раннее угрозы остаются актуальными.</w:t>
      </w:r>
    </w:p>
    <w:p w14:paraId="653AD376" w14:textId="77777777" w:rsidR="004F055F" w:rsidRPr="009E3EBE" w:rsidRDefault="004F055F" w:rsidP="004F055F">
      <w:pPr>
        <w:spacing w:line="240" w:lineRule="auto"/>
        <w:ind w:firstLine="720"/>
        <w:contextualSpacing/>
        <w:jc w:val="both"/>
        <w:rPr>
          <w:rFonts w:ascii="Times New Roman" w:eastAsia="Times New Roman" w:hAnsi="Times New Roman" w:cs="Times New Roman"/>
          <w:sz w:val="24"/>
          <w:szCs w:val="24"/>
          <w:lang w:val="ru-RU"/>
        </w:rPr>
      </w:pPr>
    </w:p>
    <w:p w14:paraId="3E7B3B76" w14:textId="1CCF322E" w:rsidR="002875B3" w:rsidRPr="009E3EBE" w:rsidRDefault="002B19BE" w:rsidP="00A25CAB">
      <w:pPr>
        <w:spacing w:line="240" w:lineRule="auto"/>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noProof/>
          <w:sz w:val="24"/>
          <w:szCs w:val="24"/>
          <w:lang w:val="ru-RU"/>
        </w:rPr>
        <w:drawing>
          <wp:inline distT="0" distB="0" distL="0" distR="0" wp14:anchorId="1F71DD57" wp14:editId="79F65489">
            <wp:extent cx="5915025" cy="2067339"/>
            <wp:effectExtent l="0" t="0" r="9525" b="9525"/>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52EA95" w14:textId="77777777" w:rsidR="00550F1E" w:rsidRPr="009E3EBE" w:rsidRDefault="002875B3" w:rsidP="00164463">
      <w:pPr>
        <w:spacing w:line="240" w:lineRule="auto"/>
        <w:contextualSpacing/>
        <w:jc w:val="center"/>
        <w:rPr>
          <w:rFonts w:ascii="Times New Roman" w:eastAsia="Times New Roman" w:hAnsi="Times New Roman" w:cs="Times New Roman"/>
          <w:b/>
          <w:bCs/>
          <w:i/>
          <w:iCs/>
          <w:sz w:val="24"/>
          <w:szCs w:val="24"/>
          <w:lang w:val="ru-RU"/>
        </w:rPr>
      </w:pPr>
      <w:r w:rsidRPr="009E3EBE">
        <w:rPr>
          <w:rFonts w:ascii="Times New Roman" w:eastAsia="Times New Roman" w:hAnsi="Times New Roman" w:cs="Times New Roman"/>
          <w:b/>
          <w:bCs/>
          <w:i/>
          <w:iCs/>
          <w:sz w:val="24"/>
          <w:szCs w:val="24"/>
          <w:lang w:val="ru-RU"/>
        </w:rPr>
        <w:t xml:space="preserve">Рис. </w:t>
      </w:r>
      <w:r w:rsidR="00327B22" w:rsidRPr="009E3EBE">
        <w:rPr>
          <w:rFonts w:ascii="Times New Roman" w:eastAsia="Times New Roman" w:hAnsi="Times New Roman" w:cs="Times New Roman"/>
          <w:b/>
          <w:bCs/>
          <w:i/>
          <w:iCs/>
          <w:sz w:val="24"/>
          <w:szCs w:val="24"/>
          <w:lang w:val="ru-RU"/>
        </w:rPr>
        <w:t>5</w:t>
      </w:r>
      <w:r w:rsidRPr="009E3EBE">
        <w:rPr>
          <w:rFonts w:ascii="Times New Roman" w:eastAsia="Times New Roman" w:hAnsi="Times New Roman" w:cs="Times New Roman"/>
          <w:b/>
          <w:bCs/>
          <w:i/>
          <w:iCs/>
          <w:sz w:val="24"/>
          <w:szCs w:val="24"/>
          <w:lang w:val="ru-RU"/>
        </w:rPr>
        <w:t xml:space="preserve">. </w:t>
      </w:r>
      <w:r w:rsidR="00327B22" w:rsidRPr="009E3EBE">
        <w:rPr>
          <w:rFonts w:ascii="Times New Roman" w:eastAsia="Times New Roman" w:hAnsi="Times New Roman" w:cs="Times New Roman"/>
          <w:b/>
          <w:bCs/>
          <w:i/>
          <w:iCs/>
          <w:sz w:val="24"/>
          <w:szCs w:val="24"/>
          <w:lang w:val="ru-RU"/>
        </w:rPr>
        <w:t xml:space="preserve">Интегральный показатель энергетической безопасности </w:t>
      </w:r>
    </w:p>
    <w:p w14:paraId="18A4F649" w14:textId="7A161569" w:rsidR="002875B3" w:rsidRPr="009E3EBE" w:rsidRDefault="00327B22" w:rsidP="00164463">
      <w:pPr>
        <w:spacing w:line="240" w:lineRule="auto"/>
        <w:contextualSpacing/>
        <w:jc w:val="center"/>
        <w:rPr>
          <w:rFonts w:ascii="Times New Roman" w:eastAsia="Times New Roman" w:hAnsi="Times New Roman" w:cs="Times New Roman"/>
          <w:b/>
          <w:bCs/>
          <w:i/>
          <w:iCs/>
          <w:sz w:val="24"/>
          <w:szCs w:val="24"/>
          <w:lang w:val="ru-RU"/>
        </w:rPr>
      </w:pPr>
      <w:r w:rsidRPr="009E3EBE">
        <w:rPr>
          <w:rFonts w:ascii="Times New Roman" w:eastAsia="Times New Roman" w:hAnsi="Times New Roman" w:cs="Times New Roman"/>
          <w:b/>
          <w:bCs/>
          <w:i/>
          <w:iCs/>
          <w:sz w:val="24"/>
          <w:szCs w:val="24"/>
          <w:lang w:val="ru-RU"/>
        </w:rPr>
        <w:t>изолированных территорий РС</w:t>
      </w:r>
      <w:r w:rsidR="00550F1E" w:rsidRPr="009E3EBE">
        <w:rPr>
          <w:rFonts w:ascii="Times New Roman" w:eastAsia="Times New Roman" w:hAnsi="Times New Roman" w:cs="Times New Roman"/>
          <w:b/>
          <w:bCs/>
          <w:i/>
          <w:iCs/>
          <w:sz w:val="24"/>
          <w:szCs w:val="24"/>
          <w:lang w:val="ru-RU"/>
        </w:rPr>
        <w:t>, ед.</w:t>
      </w:r>
      <w:r w:rsidR="001D77B0" w:rsidRPr="009E3EBE">
        <w:rPr>
          <w:rFonts w:ascii="Times New Roman" w:eastAsia="Times New Roman" w:hAnsi="Times New Roman" w:cs="Times New Roman"/>
          <w:b/>
          <w:bCs/>
          <w:i/>
          <w:iCs/>
          <w:sz w:val="24"/>
          <w:szCs w:val="24"/>
          <w:lang w:val="ru-RU"/>
        </w:rPr>
        <w:t xml:space="preserve"> </w:t>
      </w:r>
    </w:p>
    <w:p w14:paraId="71927A1C" w14:textId="26B0773A" w:rsidR="005C39D5" w:rsidRPr="009E3EBE" w:rsidRDefault="00572BD4" w:rsidP="00572BD4">
      <w:pPr>
        <w:spacing w:line="240" w:lineRule="auto"/>
        <w:contextualSpacing/>
        <w:jc w:val="center"/>
        <w:rPr>
          <w:rFonts w:ascii="Times New Roman" w:eastAsia="Times New Roman" w:hAnsi="Times New Roman" w:cs="Times New Roman"/>
          <w:sz w:val="20"/>
          <w:szCs w:val="20"/>
          <w:lang w:val="ru-RU"/>
        </w:rPr>
      </w:pPr>
      <w:r w:rsidRPr="009E3EBE">
        <w:rPr>
          <w:rFonts w:ascii="Times New Roman" w:eastAsia="Times New Roman" w:hAnsi="Times New Roman" w:cs="Times New Roman"/>
          <w:sz w:val="20"/>
          <w:szCs w:val="20"/>
          <w:lang w:val="ru-RU"/>
        </w:rPr>
        <w:t>Источник: составлено авторами</w:t>
      </w:r>
    </w:p>
    <w:p w14:paraId="3735197B" w14:textId="6B68BECB" w:rsidR="005A5FBE" w:rsidRPr="009E3EBE" w:rsidRDefault="001B51D8" w:rsidP="00160AE1">
      <w:pPr>
        <w:spacing w:line="240" w:lineRule="auto"/>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ab/>
        <w:t xml:space="preserve">В связи с тем, что подключение изолированных регионов РС к ЕЭС – это не только крайне трудная и </w:t>
      </w:r>
      <w:r w:rsidR="008311B4" w:rsidRPr="009E3EBE">
        <w:rPr>
          <w:rFonts w:ascii="Times New Roman" w:eastAsia="Times New Roman" w:hAnsi="Times New Roman" w:cs="Times New Roman"/>
          <w:sz w:val="24"/>
          <w:szCs w:val="24"/>
          <w:lang w:val="ru-RU"/>
        </w:rPr>
        <w:t xml:space="preserve">сложно выполнимая </w:t>
      </w:r>
      <w:r w:rsidRPr="009E3EBE">
        <w:rPr>
          <w:rFonts w:ascii="Times New Roman" w:eastAsia="Times New Roman" w:hAnsi="Times New Roman" w:cs="Times New Roman"/>
          <w:sz w:val="24"/>
          <w:szCs w:val="24"/>
          <w:lang w:val="ru-RU"/>
        </w:rPr>
        <w:t xml:space="preserve">задача (особенно в арктических регионах), </w:t>
      </w:r>
      <w:r w:rsidR="00ED1DFD" w:rsidRPr="009E3EBE">
        <w:rPr>
          <w:rFonts w:ascii="Times New Roman" w:eastAsia="Times New Roman" w:hAnsi="Times New Roman" w:cs="Times New Roman"/>
          <w:sz w:val="24"/>
          <w:szCs w:val="24"/>
          <w:lang w:val="ru-RU"/>
        </w:rPr>
        <w:t>но и</w:t>
      </w:r>
      <w:r w:rsidR="008A6347" w:rsidRPr="009E3EBE">
        <w:rPr>
          <w:rFonts w:ascii="Times New Roman" w:eastAsia="Times New Roman" w:hAnsi="Times New Roman" w:cs="Times New Roman"/>
          <w:sz w:val="24"/>
          <w:szCs w:val="24"/>
          <w:lang w:val="ru-RU"/>
        </w:rPr>
        <w:t xml:space="preserve"> </w:t>
      </w:r>
      <w:r w:rsidR="008311B4" w:rsidRPr="009E3EBE">
        <w:rPr>
          <w:rFonts w:ascii="Times New Roman" w:eastAsia="Times New Roman" w:hAnsi="Times New Roman" w:cs="Times New Roman"/>
          <w:sz w:val="24"/>
          <w:szCs w:val="24"/>
          <w:lang w:val="ru-RU"/>
        </w:rPr>
        <w:t xml:space="preserve">экономически </w:t>
      </w:r>
      <w:r w:rsidR="008A6347" w:rsidRPr="009E3EBE">
        <w:rPr>
          <w:rFonts w:ascii="Times New Roman" w:eastAsia="Times New Roman" w:hAnsi="Times New Roman" w:cs="Times New Roman"/>
          <w:sz w:val="24"/>
          <w:szCs w:val="24"/>
          <w:lang w:val="ru-RU"/>
        </w:rPr>
        <w:t>нецелесообразна</w:t>
      </w:r>
      <w:r w:rsidR="00ED1DFD" w:rsidRPr="009E3EBE">
        <w:rPr>
          <w:rFonts w:ascii="Times New Roman" w:eastAsia="Times New Roman" w:hAnsi="Times New Roman" w:cs="Times New Roman"/>
          <w:sz w:val="24"/>
          <w:szCs w:val="24"/>
          <w:lang w:val="ru-RU"/>
        </w:rPr>
        <w:t>я,</w:t>
      </w:r>
      <w:r w:rsidR="001E71C8" w:rsidRPr="009E3EBE">
        <w:rPr>
          <w:rFonts w:ascii="Times New Roman" w:eastAsia="Times New Roman" w:hAnsi="Times New Roman" w:cs="Times New Roman"/>
          <w:sz w:val="24"/>
          <w:szCs w:val="24"/>
          <w:lang w:val="ru-RU"/>
        </w:rPr>
        <w:t xml:space="preserve"> </w:t>
      </w:r>
      <w:r w:rsidR="008A6347" w:rsidRPr="009E3EBE">
        <w:rPr>
          <w:rFonts w:ascii="Times New Roman" w:eastAsia="Times New Roman" w:hAnsi="Times New Roman" w:cs="Times New Roman"/>
          <w:sz w:val="24"/>
          <w:szCs w:val="24"/>
          <w:lang w:val="ru-RU"/>
        </w:rPr>
        <w:t xml:space="preserve">дальнейшие решения </w:t>
      </w:r>
      <w:r w:rsidR="00160AE1" w:rsidRPr="009E3EBE">
        <w:rPr>
          <w:rFonts w:ascii="Times New Roman" w:eastAsia="Times New Roman" w:hAnsi="Times New Roman" w:cs="Times New Roman"/>
          <w:sz w:val="24"/>
          <w:szCs w:val="24"/>
          <w:lang w:val="ru-RU"/>
        </w:rPr>
        <w:t xml:space="preserve">по повышению энергетической безопасности </w:t>
      </w:r>
      <w:r w:rsidR="008A6347" w:rsidRPr="009E3EBE">
        <w:rPr>
          <w:rFonts w:ascii="Times New Roman" w:eastAsia="Times New Roman" w:hAnsi="Times New Roman" w:cs="Times New Roman"/>
          <w:sz w:val="24"/>
          <w:szCs w:val="24"/>
          <w:lang w:val="ru-RU"/>
        </w:rPr>
        <w:t>необходимо искать в повышении эффективности децентрализованных систем.</w:t>
      </w:r>
      <w:r w:rsidRPr="009E3EBE">
        <w:rPr>
          <w:rFonts w:ascii="Times New Roman" w:eastAsia="Times New Roman" w:hAnsi="Times New Roman" w:cs="Times New Roman"/>
          <w:sz w:val="24"/>
          <w:szCs w:val="24"/>
          <w:lang w:val="ru-RU"/>
        </w:rPr>
        <w:t xml:space="preserve"> </w:t>
      </w:r>
      <w:r w:rsidR="005A5FBE" w:rsidRPr="009E3EBE">
        <w:rPr>
          <w:rFonts w:ascii="Times New Roman" w:eastAsia="Times New Roman" w:hAnsi="Times New Roman" w:cs="Times New Roman"/>
          <w:sz w:val="24"/>
          <w:szCs w:val="24"/>
          <w:lang w:val="ru-RU"/>
        </w:rPr>
        <w:t>Помимо существующих ДЭС, рассмотрим, какие еще есть</w:t>
      </w:r>
      <w:r w:rsidR="00160AE1" w:rsidRPr="009E3EBE">
        <w:rPr>
          <w:rFonts w:ascii="Times New Roman" w:eastAsia="Times New Roman" w:hAnsi="Times New Roman" w:cs="Times New Roman"/>
          <w:sz w:val="24"/>
          <w:szCs w:val="24"/>
          <w:lang w:val="ru-RU"/>
        </w:rPr>
        <w:t xml:space="preserve"> типы</w:t>
      </w:r>
      <w:r w:rsidR="005A5FBE" w:rsidRPr="009E3EBE">
        <w:rPr>
          <w:rFonts w:ascii="Times New Roman" w:eastAsia="Times New Roman" w:hAnsi="Times New Roman" w:cs="Times New Roman"/>
          <w:sz w:val="24"/>
          <w:szCs w:val="24"/>
          <w:lang w:val="ru-RU"/>
        </w:rPr>
        <w:t xml:space="preserve"> генератор</w:t>
      </w:r>
      <w:r w:rsidR="00160AE1" w:rsidRPr="009E3EBE">
        <w:rPr>
          <w:rFonts w:ascii="Times New Roman" w:eastAsia="Times New Roman" w:hAnsi="Times New Roman" w:cs="Times New Roman"/>
          <w:sz w:val="24"/>
          <w:szCs w:val="24"/>
          <w:lang w:val="ru-RU"/>
        </w:rPr>
        <w:t>ов</w:t>
      </w:r>
      <w:r w:rsidR="005A5FBE" w:rsidRPr="009E3EBE">
        <w:rPr>
          <w:rFonts w:ascii="Times New Roman" w:eastAsia="Times New Roman" w:hAnsi="Times New Roman" w:cs="Times New Roman"/>
          <w:sz w:val="24"/>
          <w:szCs w:val="24"/>
          <w:lang w:val="ru-RU"/>
        </w:rPr>
        <w:t>, и каковы их слабые и сильные стороны для строительства и эксплуатации в РС</w:t>
      </w:r>
      <w:r w:rsidR="00160AE1" w:rsidRPr="009E3EBE">
        <w:rPr>
          <w:rFonts w:ascii="Times New Roman" w:eastAsia="Times New Roman" w:hAnsi="Times New Roman" w:cs="Times New Roman"/>
          <w:sz w:val="24"/>
          <w:szCs w:val="24"/>
          <w:lang w:val="ru-RU"/>
        </w:rPr>
        <w:t xml:space="preserve"> (таб.2)</w:t>
      </w:r>
    </w:p>
    <w:p w14:paraId="6D5CD038" w14:textId="2816D294" w:rsidR="005A5FBE" w:rsidRPr="009E3EBE" w:rsidRDefault="005A5FBE" w:rsidP="005A5FBE">
      <w:pPr>
        <w:spacing w:line="240" w:lineRule="auto"/>
        <w:contextualSpacing/>
        <w:jc w:val="right"/>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lastRenderedPageBreak/>
        <w:t>Таблица 2</w:t>
      </w:r>
    </w:p>
    <w:p w14:paraId="7F236338" w14:textId="77777777" w:rsidR="00DF36BE" w:rsidRPr="009E3EBE" w:rsidRDefault="00374FC7" w:rsidP="00DF36BE">
      <w:pPr>
        <w:spacing w:line="240" w:lineRule="auto"/>
        <w:contextualSpacing/>
        <w:jc w:val="center"/>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Сравнительная характеристика </w:t>
      </w:r>
      <w:r w:rsidR="00DF36BE" w:rsidRPr="009E3EBE">
        <w:rPr>
          <w:rFonts w:ascii="Times New Roman" w:eastAsia="Times New Roman" w:hAnsi="Times New Roman" w:cs="Times New Roman"/>
          <w:sz w:val="24"/>
          <w:szCs w:val="24"/>
          <w:lang w:val="ru-RU"/>
        </w:rPr>
        <w:t>генераторных установок</w:t>
      </w:r>
    </w:p>
    <w:p w14:paraId="4F55B267" w14:textId="7A4333B3" w:rsidR="005A5FBE" w:rsidRPr="009E3EBE" w:rsidRDefault="00DF36BE" w:rsidP="00DF36BE">
      <w:pPr>
        <w:spacing w:line="240" w:lineRule="auto"/>
        <w:contextualSpacing/>
        <w:jc w:val="center"/>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 для введения на изолированных территориях РС</w:t>
      </w:r>
    </w:p>
    <w:tbl>
      <w:tblPr>
        <w:tblStyle w:val="TableGrid"/>
        <w:tblW w:w="9326" w:type="dxa"/>
        <w:tblLook w:val="04A0" w:firstRow="1" w:lastRow="0" w:firstColumn="1" w:lastColumn="0" w:noHBand="0" w:noVBand="1"/>
      </w:tblPr>
      <w:tblGrid>
        <w:gridCol w:w="1975"/>
        <w:gridCol w:w="3510"/>
        <w:gridCol w:w="3841"/>
      </w:tblGrid>
      <w:tr w:rsidR="005A5FBE" w:rsidRPr="009E3EBE" w14:paraId="3D1CDD11" w14:textId="77777777" w:rsidTr="000D5656">
        <w:trPr>
          <w:trHeight w:val="236"/>
        </w:trPr>
        <w:tc>
          <w:tcPr>
            <w:tcW w:w="1975" w:type="dxa"/>
            <w:vAlign w:val="center"/>
          </w:tcPr>
          <w:p w14:paraId="58355847" w14:textId="118874E3" w:rsidR="000D5656" w:rsidRPr="009E3EBE" w:rsidRDefault="005A5FBE" w:rsidP="000D5656">
            <w:pPr>
              <w:pStyle w:val="ListParagraph"/>
              <w:ind w:left="0"/>
              <w:jc w:val="center"/>
              <w:rPr>
                <w:rFonts w:ascii="Times New Roman" w:eastAsia="Times New Roman" w:hAnsi="Times New Roman" w:cs="Times New Roman"/>
                <w:b/>
                <w:bCs/>
                <w:sz w:val="24"/>
                <w:szCs w:val="24"/>
                <w:lang w:val="ru-RU"/>
              </w:rPr>
            </w:pPr>
            <w:r w:rsidRPr="009E3EBE">
              <w:rPr>
                <w:rFonts w:ascii="Times New Roman" w:eastAsia="Times New Roman" w:hAnsi="Times New Roman" w:cs="Times New Roman"/>
                <w:b/>
                <w:bCs/>
                <w:sz w:val="24"/>
                <w:szCs w:val="24"/>
                <w:lang w:val="ru-RU"/>
              </w:rPr>
              <w:t>Способ</w:t>
            </w:r>
          </w:p>
          <w:p w14:paraId="27BE4CCA" w14:textId="068FDD9C" w:rsidR="005A5FBE" w:rsidRPr="009E3EBE" w:rsidRDefault="005A5FBE" w:rsidP="000D5656">
            <w:pPr>
              <w:pStyle w:val="ListParagraph"/>
              <w:ind w:left="0"/>
              <w:jc w:val="center"/>
              <w:rPr>
                <w:rFonts w:ascii="Times New Roman" w:eastAsia="Times New Roman" w:hAnsi="Times New Roman" w:cs="Times New Roman"/>
                <w:b/>
                <w:bCs/>
                <w:sz w:val="24"/>
                <w:szCs w:val="24"/>
                <w:lang w:val="ru-RU"/>
              </w:rPr>
            </w:pPr>
            <w:r w:rsidRPr="009E3EBE">
              <w:rPr>
                <w:rFonts w:ascii="Times New Roman" w:eastAsia="Times New Roman" w:hAnsi="Times New Roman" w:cs="Times New Roman"/>
                <w:b/>
                <w:bCs/>
                <w:sz w:val="24"/>
                <w:szCs w:val="24"/>
                <w:lang w:val="ru-RU"/>
              </w:rPr>
              <w:t>генерации</w:t>
            </w:r>
          </w:p>
        </w:tc>
        <w:tc>
          <w:tcPr>
            <w:tcW w:w="3510" w:type="dxa"/>
            <w:vAlign w:val="center"/>
          </w:tcPr>
          <w:p w14:paraId="4A949ED3" w14:textId="77777777" w:rsidR="005A5FBE" w:rsidRPr="009E3EBE" w:rsidRDefault="005A5FBE" w:rsidP="000D5656">
            <w:pPr>
              <w:pStyle w:val="ListParagraph"/>
              <w:ind w:left="0"/>
              <w:jc w:val="center"/>
              <w:rPr>
                <w:rFonts w:ascii="Times New Roman" w:eastAsia="Times New Roman" w:hAnsi="Times New Roman" w:cs="Times New Roman"/>
                <w:b/>
                <w:bCs/>
                <w:sz w:val="24"/>
                <w:szCs w:val="24"/>
                <w:lang w:val="ru-RU"/>
              </w:rPr>
            </w:pPr>
            <w:r w:rsidRPr="009E3EBE">
              <w:rPr>
                <w:rFonts w:ascii="Times New Roman" w:eastAsia="Times New Roman" w:hAnsi="Times New Roman" w:cs="Times New Roman"/>
                <w:b/>
                <w:bCs/>
                <w:sz w:val="24"/>
                <w:szCs w:val="24"/>
                <w:lang w:val="ru-RU"/>
              </w:rPr>
              <w:t>Сильные стороны</w:t>
            </w:r>
          </w:p>
        </w:tc>
        <w:tc>
          <w:tcPr>
            <w:tcW w:w="3841" w:type="dxa"/>
            <w:vAlign w:val="center"/>
          </w:tcPr>
          <w:p w14:paraId="429DDC65" w14:textId="77777777" w:rsidR="005A5FBE" w:rsidRPr="009E3EBE" w:rsidRDefault="005A5FBE" w:rsidP="000D5656">
            <w:pPr>
              <w:pStyle w:val="ListParagraph"/>
              <w:ind w:left="0"/>
              <w:jc w:val="center"/>
              <w:rPr>
                <w:rFonts w:ascii="Times New Roman" w:eastAsia="Times New Roman" w:hAnsi="Times New Roman" w:cs="Times New Roman"/>
                <w:b/>
                <w:bCs/>
                <w:sz w:val="24"/>
                <w:szCs w:val="24"/>
                <w:lang w:val="ru-RU"/>
              </w:rPr>
            </w:pPr>
            <w:r w:rsidRPr="009E3EBE">
              <w:rPr>
                <w:rFonts w:ascii="Times New Roman" w:eastAsia="Times New Roman" w:hAnsi="Times New Roman" w:cs="Times New Roman"/>
                <w:b/>
                <w:bCs/>
                <w:sz w:val="24"/>
                <w:szCs w:val="24"/>
                <w:lang w:val="ru-RU"/>
              </w:rPr>
              <w:t>Слабые стороны</w:t>
            </w:r>
          </w:p>
        </w:tc>
      </w:tr>
      <w:tr w:rsidR="005A5FBE" w:rsidRPr="009E3EBE" w14:paraId="7B351E39" w14:textId="77777777" w:rsidTr="00081DD1">
        <w:trPr>
          <w:trHeight w:val="486"/>
        </w:trPr>
        <w:tc>
          <w:tcPr>
            <w:tcW w:w="1975" w:type="dxa"/>
            <w:vAlign w:val="center"/>
          </w:tcPr>
          <w:p w14:paraId="1759AEDE" w14:textId="77777777" w:rsidR="005A5FBE" w:rsidRPr="009E3EBE" w:rsidRDefault="005A5FBE" w:rsidP="00081DD1">
            <w:pPr>
              <w:pStyle w:val="ListParagraph"/>
              <w:ind w:left="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ДЭС (Дизельные электростанции)</w:t>
            </w:r>
          </w:p>
        </w:tc>
        <w:tc>
          <w:tcPr>
            <w:tcW w:w="3510" w:type="dxa"/>
            <w:vAlign w:val="center"/>
          </w:tcPr>
          <w:p w14:paraId="66963E62" w14:textId="1A786696" w:rsidR="005A5FBE" w:rsidRPr="009E3EBE" w:rsidRDefault="00374FC7"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п</w:t>
            </w:r>
            <w:r w:rsidR="005A5FBE" w:rsidRPr="009E3EBE">
              <w:rPr>
                <w:rFonts w:ascii="Times New Roman" w:eastAsia="Times New Roman" w:hAnsi="Times New Roman" w:cs="Times New Roman"/>
                <w:sz w:val="24"/>
                <w:szCs w:val="24"/>
                <w:lang w:val="ru-RU"/>
              </w:rPr>
              <w:t>ростота и отлаженность строительства</w:t>
            </w:r>
            <w:r w:rsidRPr="009E3EBE">
              <w:rPr>
                <w:rFonts w:ascii="Times New Roman" w:eastAsia="Times New Roman" w:hAnsi="Times New Roman" w:cs="Times New Roman"/>
                <w:sz w:val="24"/>
                <w:szCs w:val="24"/>
                <w:lang w:val="en-US"/>
              </w:rPr>
              <w:t>;</w:t>
            </w:r>
          </w:p>
          <w:p w14:paraId="2CE4173C" w14:textId="4D32E75A" w:rsidR="00160AE1" w:rsidRPr="009E3EBE" w:rsidRDefault="00374FC7"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п</w:t>
            </w:r>
            <w:r w:rsidR="00160AE1" w:rsidRPr="009E3EBE">
              <w:rPr>
                <w:rFonts w:ascii="Times New Roman" w:eastAsia="Times New Roman" w:hAnsi="Times New Roman" w:cs="Times New Roman"/>
                <w:sz w:val="24"/>
                <w:szCs w:val="24"/>
                <w:lang w:val="ru-RU"/>
              </w:rPr>
              <w:t>роизводятся в России</w:t>
            </w:r>
            <w:r w:rsidR="00B17101" w:rsidRPr="009E3EBE">
              <w:rPr>
                <w:rFonts w:ascii="Times New Roman" w:eastAsia="Times New Roman" w:hAnsi="Times New Roman" w:cs="Times New Roman"/>
                <w:sz w:val="24"/>
                <w:szCs w:val="24"/>
                <w:lang w:val="ru-RU"/>
              </w:rPr>
              <w:t>.</w:t>
            </w:r>
          </w:p>
        </w:tc>
        <w:tc>
          <w:tcPr>
            <w:tcW w:w="3841" w:type="dxa"/>
            <w:vAlign w:val="center"/>
          </w:tcPr>
          <w:p w14:paraId="6F54B46E" w14:textId="6A3CB046" w:rsidR="005A5FBE" w:rsidRPr="009E3EBE" w:rsidRDefault="00374FC7"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с</w:t>
            </w:r>
            <w:r w:rsidR="00160AE1" w:rsidRPr="009E3EBE">
              <w:rPr>
                <w:rFonts w:ascii="Times New Roman" w:eastAsia="Times New Roman" w:hAnsi="Times New Roman" w:cs="Times New Roman"/>
                <w:sz w:val="24"/>
                <w:szCs w:val="24"/>
                <w:lang w:val="ru-RU"/>
              </w:rPr>
              <w:t xml:space="preserve">уществующие </w:t>
            </w:r>
            <w:r w:rsidR="0005642D" w:rsidRPr="009E3EBE">
              <w:rPr>
                <w:rFonts w:ascii="Times New Roman" w:eastAsia="Times New Roman" w:hAnsi="Times New Roman" w:cs="Times New Roman"/>
                <w:sz w:val="24"/>
                <w:szCs w:val="24"/>
                <w:lang w:val="ru-RU"/>
              </w:rPr>
              <w:t xml:space="preserve">ДЭС </w:t>
            </w:r>
            <w:r w:rsidR="00994927" w:rsidRPr="009E3EBE">
              <w:rPr>
                <w:rFonts w:ascii="Times New Roman" w:eastAsia="Times New Roman" w:hAnsi="Times New Roman" w:cs="Times New Roman"/>
                <w:sz w:val="24"/>
                <w:szCs w:val="24"/>
                <w:lang w:val="ru-RU"/>
              </w:rPr>
              <w:t>характеризуются большим износом</w:t>
            </w:r>
            <w:r w:rsidRPr="009E3EBE">
              <w:rPr>
                <w:rFonts w:ascii="Times New Roman" w:eastAsia="Times New Roman" w:hAnsi="Times New Roman" w:cs="Times New Roman"/>
                <w:sz w:val="24"/>
                <w:szCs w:val="24"/>
                <w:lang w:val="ru-RU"/>
              </w:rPr>
              <w:t>;</w:t>
            </w:r>
          </w:p>
          <w:p w14:paraId="455C2646" w14:textId="1F890D78" w:rsidR="00160AE1" w:rsidRPr="009E3EBE" w:rsidRDefault="00994927"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высокая с</w:t>
            </w:r>
            <w:r w:rsidR="00160AE1" w:rsidRPr="009E3EBE">
              <w:rPr>
                <w:rFonts w:ascii="Times New Roman" w:eastAsia="Times New Roman" w:hAnsi="Times New Roman" w:cs="Times New Roman"/>
                <w:sz w:val="24"/>
                <w:szCs w:val="24"/>
                <w:lang w:val="ru-RU"/>
              </w:rPr>
              <w:t>тоимость доставки дизеля</w:t>
            </w:r>
            <w:r w:rsidR="00374FC7" w:rsidRPr="009E3EBE">
              <w:rPr>
                <w:rFonts w:ascii="Times New Roman" w:eastAsia="Times New Roman" w:hAnsi="Times New Roman" w:cs="Times New Roman"/>
                <w:sz w:val="24"/>
                <w:szCs w:val="24"/>
                <w:lang w:val="ru-RU"/>
              </w:rPr>
              <w:t>.</w:t>
            </w:r>
          </w:p>
        </w:tc>
      </w:tr>
      <w:tr w:rsidR="005A5FBE" w:rsidRPr="003110E7" w14:paraId="6CC76A7E" w14:textId="77777777" w:rsidTr="00081DD1">
        <w:trPr>
          <w:trHeight w:val="480"/>
        </w:trPr>
        <w:tc>
          <w:tcPr>
            <w:tcW w:w="1975" w:type="dxa"/>
            <w:vAlign w:val="center"/>
          </w:tcPr>
          <w:p w14:paraId="3FD565E5" w14:textId="5D0E4BE4" w:rsidR="005A5FBE" w:rsidRPr="009E3EBE" w:rsidRDefault="0005642D" w:rsidP="00081DD1">
            <w:pPr>
              <w:pStyle w:val="ListParagraph"/>
              <w:ind w:left="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ГТУ (Газотурбинные </w:t>
            </w:r>
            <w:r w:rsidR="00E22FF7" w:rsidRPr="009E3EBE">
              <w:rPr>
                <w:rFonts w:ascii="Times New Roman" w:eastAsia="Times New Roman" w:hAnsi="Times New Roman" w:cs="Times New Roman"/>
                <w:sz w:val="24"/>
                <w:szCs w:val="24"/>
                <w:lang w:val="ru-RU"/>
              </w:rPr>
              <w:t>установки) на основе природного газа</w:t>
            </w:r>
          </w:p>
        </w:tc>
        <w:tc>
          <w:tcPr>
            <w:tcW w:w="3510" w:type="dxa"/>
            <w:vAlign w:val="center"/>
          </w:tcPr>
          <w:p w14:paraId="4F24E168" w14:textId="6C0E3C85" w:rsidR="00994927" w:rsidRPr="009E3EBE" w:rsidRDefault="0005642D"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низкий удельный расход</w:t>
            </w:r>
            <w:r w:rsidR="00E22FF7" w:rsidRPr="009E3EBE">
              <w:rPr>
                <w:rFonts w:ascii="Times New Roman" w:eastAsia="Times New Roman" w:hAnsi="Times New Roman" w:cs="Times New Roman"/>
                <w:sz w:val="24"/>
                <w:szCs w:val="24"/>
                <w:lang w:val="ru-RU"/>
              </w:rPr>
              <w:t xml:space="preserve"> природного газа</w:t>
            </w:r>
            <w:r w:rsidRPr="009E3EBE">
              <w:rPr>
                <w:rFonts w:ascii="Times New Roman" w:eastAsia="Times New Roman" w:hAnsi="Times New Roman" w:cs="Times New Roman"/>
                <w:sz w:val="24"/>
                <w:szCs w:val="24"/>
                <w:lang w:val="ru-RU"/>
              </w:rPr>
              <w:t xml:space="preserve"> (для ГТУ до 1.4 МВт)</w:t>
            </w:r>
            <w:r w:rsidR="00374FC7" w:rsidRPr="009E3EBE">
              <w:rPr>
                <w:rFonts w:ascii="Times New Roman" w:eastAsia="Times New Roman" w:hAnsi="Times New Roman" w:cs="Times New Roman"/>
                <w:sz w:val="24"/>
                <w:szCs w:val="24"/>
                <w:lang w:val="ru-RU"/>
              </w:rPr>
              <w:t>, высокая энерг</w:t>
            </w:r>
            <w:r w:rsidR="00364802" w:rsidRPr="009E3EBE">
              <w:rPr>
                <w:rFonts w:ascii="Times New Roman" w:eastAsia="Times New Roman" w:hAnsi="Times New Roman" w:cs="Times New Roman"/>
                <w:sz w:val="24"/>
                <w:szCs w:val="24"/>
                <w:lang w:val="ru-RU"/>
              </w:rPr>
              <w:t>о</w:t>
            </w:r>
            <w:r w:rsidR="00374FC7" w:rsidRPr="009E3EBE">
              <w:rPr>
                <w:rFonts w:ascii="Times New Roman" w:eastAsia="Times New Roman" w:hAnsi="Times New Roman" w:cs="Times New Roman"/>
                <w:sz w:val="24"/>
                <w:szCs w:val="24"/>
                <w:lang w:val="ru-RU"/>
              </w:rPr>
              <w:t>эффективность</w:t>
            </w:r>
            <w:r w:rsidR="00994927" w:rsidRPr="009E3EBE">
              <w:rPr>
                <w:rFonts w:ascii="Times New Roman" w:eastAsia="Times New Roman" w:hAnsi="Times New Roman" w:cs="Times New Roman"/>
                <w:sz w:val="24"/>
                <w:szCs w:val="24"/>
                <w:lang w:val="ru-RU"/>
              </w:rPr>
              <w:t xml:space="preserve"> и КПД</w:t>
            </w:r>
            <w:r w:rsidR="00B17101" w:rsidRPr="009E3EBE">
              <w:rPr>
                <w:rFonts w:ascii="Times New Roman" w:eastAsia="Times New Roman" w:hAnsi="Times New Roman" w:cs="Times New Roman"/>
                <w:sz w:val="24"/>
                <w:szCs w:val="24"/>
                <w:lang w:val="ru-RU"/>
              </w:rPr>
              <w:t>;</w:t>
            </w:r>
          </w:p>
          <w:p w14:paraId="78B2DF53" w14:textId="01042B0A" w:rsidR="00374FC7" w:rsidRPr="009E3EBE" w:rsidRDefault="00B17101"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практически </w:t>
            </w:r>
            <w:r w:rsidR="00E22FF7" w:rsidRPr="009E3EBE">
              <w:rPr>
                <w:rFonts w:ascii="Times New Roman" w:eastAsia="Times New Roman" w:hAnsi="Times New Roman" w:cs="Times New Roman"/>
                <w:sz w:val="24"/>
                <w:szCs w:val="24"/>
                <w:lang w:val="ru-RU"/>
              </w:rPr>
              <w:t>экологически чистое производство энерги</w:t>
            </w:r>
            <w:r w:rsidRPr="009E3EBE">
              <w:rPr>
                <w:rFonts w:ascii="Times New Roman" w:eastAsia="Times New Roman" w:hAnsi="Times New Roman" w:cs="Times New Roman"/>
                <w:sz w:val="24"/>
                <w:szCs w:val="24"/>
                <w:lang w:val="ru-RU"/>
              </w:rPr>
              <w:t>и.</w:t>
            </w:r>
            <w:r w:rsidR="00E22FF7" w:rsidRPr="009E3EBE">
              <w:rPr>
                <w:rFonts w:ascii="Times New Roman" w:eastAsia="Times New Roman" w:hAnsi="Times New Roman" w:cs="Times New Roman"/>
                <w:sz w:val="24"/>
                <w:szCs w:val="24"/>
                <w:lang w:val="ru-RU"/>
              </w:rPr>
              <w:t xml:space="preserve"> </w:t>
            </w:r>
          </w:p>
        </w:tc>
        <w:tc>
          <w:tcPr>
            <w:tcW w:w="3841" w:type="dxa"/>
            <w:vAlign w:val="center"/>
          </w:tcPr>
          <w:p w14:paraId="638DD23D" w14:textId="43411EDF" w:rsidR="005A5FBE" w:rsidRPr="009E3EBE" w:rsidRDefault="00CD69A1"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н</w:t>
            </w:r>
            <w:r w:rsidR="005A5FBE" w:rsidRPr="009E3EBE">
              <w:rPr>
                <w:rFonts w:ascii="Times New Roman" w:eastAsia="Times New Roman" w:hAnsi="Times New Roman" w:cs="Times New Roman"/>
                <w:sz w:val="24"/>
                <w:szCs w:val="24"/>
                <w:lang w:val="ru-RU"/>
              </w:rPr>
              <w:t>еобходимость газификации изолированных территорий</w:t>
            </w:r>
            <w:r w:rsidR="00081DD1" w:rsidRPr="009E3EBE">
              <w:rPr>
                <w:rFonts w:ascii="Times New Roman" w:eastAsia="Times New Roman" w:hAnsi="Times New Roman" w:cs="Times New Roman"/>
                <w:sz w:val="24"/>
                <w:szCs w:val="24"/>
                <w:lang w:val="ru-RU"/>
              </w:rPr>
              <w:t xml:space="preserve"> РС</w:t>
            </w:r>
            <w:r w:rsidR="00CC5D1A" w:rsidRPr="009E3EBE">
              <w:rPr>
                <w:rFonts w:ascii="Times New Roman" w:eastAsia="Times New Roman" w:hAnsi="Times New Roman" w:cs="Times New Roman"/>
                <w:sz w:val="24"/>
                <w:szCs w:val="24"/>
                <w:lang w:val="ru-RU"/>
              </w:rPr>
              <w:t>; монополизация поставок</w:t>
            </w:r>
          </w:p>
          <w:p w14:paraId="012E6AE4" w14:textId="1149CDEF" w:rsidR="00374FC7" w:rsidRPr="009E3EBE" w:rsidRDefault="00CD69A1"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б</w:t>
            </w:r>
            <w:r w:rsidR="00374FC7" w:rsidRPr="009E3EBE">
              <w:rPr>
                <w:rFonts w:ascii="Times New Roman" w:eastAsia="Times New Roman" w:hAnsi="Times New Roman" w:cs="Times New Roman"/>
                <w:sz w:val="24"/>
                <w:szCs w:val="24"/>
                <w:lang w:val="ru-RU"/>
              </w:rPr>
              <w:t xml:space="preserve">ольшая часть </w:t>
            </w:r>
            <w:r w:rsidR="00CC5D1A" w:rsidRPr="009E3EBE">
              <w:rPr>
                <w:rFonts w:ascii="Times New Roman" w:eastAsia="Times New Roman" w:hAnsi="Times New Roman" w:cs="Times New Roman"/>
                <w:sz w:val="24"/>
                <w:szCs w:val="24"/>
                <w:lang w:val="ru-RU"/>
              </w:rPr>
              <w:t xml:space="preserve">турбин для </w:t>
            </w:r>
            <w:r w:rsidR="00374FC7" w:rsidRPr="009E3EBE">
              <w:rPr>
                <w:rFonts w:ascii="Times New Roman" w:eastAsia="Times New Roman" w:hAnsi="Times New Roman" w:cs="Times New Roman"/>
                <w:sz w:val="24"/>
                <w:szCs w:val="24"/>
                <w:lang w:val="ru-RU"/>
              </w:rPr>
              <w:t xml:space="preserve">ГТУ </w:t>
            </w:r>
            <w:r w:rsidR="00CC5D1A" w:rsidRPr="009E3EBE">
              <w:rPr>
                <w:rFonts w:ascii="Times New Roman" w:eastAsia="Times New Roman" w:hAnsi="Times New Roman" w:cs="Times New Roman"/>
                <w:sz w:val="24"/>
                <w:szCs w:val="24"/>
                <w:lang w:val="ru-RU"/>
              </w:rPr>
              <w:t xml:space="preserve">именно </w:t>
            </w:r>
            <w:r w:rsidR="00374FC7" w:rsidRPr="009E3EBE">
              <w:rPr>
                <w:rFonts w:ascii="Times New Roman" w:eastAsia="Times New Roman" w:hAnsi="Times New Roman" w:cs="Times New Roman"/>
                <w:sz w:val="24"/>
                <w:szCs w:val="24"/>
                <w:lang w:val="ru-RU"/>
              </w:rPr>
              <w:t>малой мощности производятся за пределами РФ</w:t>
            </w:r>
          </w:p>
        </w:tc>
      </w:tr>
      <w:tr w:rsidR="005A5FBE" w:rsidRPr="003110E7" w14:paraId="03676DBA" w14:textId="77777777" w:rsidTr="00081DD1">
        <w:trPr>
          <w:trHeight w:val="117"/>
        </w:trPr>
        <w:tc>
          <w:tcPr>
            <w:tcW w:w="1975" w:type="dxa"/>
            <w:vAlign w:val="center"/>
          </w:tcPr>
          <w:p w14:paraId="394D506C" w14:textId="7023CA83" w:rsidR="005A5FBE" w:rsidRPr="009E3EBE" w:rsidRDefault="0005642D" w:rsidP="00081DD1">
            <w:pPr>
              <w:pStyle w:val="ListParagraph"/>
              <w:ind w:left="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Угольные</w:t>
            </w:r>
            <w:r w:rsidR="00642C42" w:rsidRPr="009E3EBE">
              <w:rPr>
                <w:rFonts w:ascii="Times New Roman" w:eastAsia="Times New Roman" w:hAnsi="Times New Roman" w:cs="Times New Roman"/>
                <w:sz w:val="24"/>
                <w:szCs w:val="24"/>
                <w:lang w:val="ru-RU"/>
              </w:rPr>
              <w:t xml:space="preserve"> мини ТЭС</w:t>
            </w:r>
          </w:p>
        </w:tc>
        <w:tc>
          <w:tcPr>
            <w:tcW w:w="3510" w:type="dxa"/>
            <w:vAlign w:val="center"/>
          </w:tcPr>
          <w:p w14:paraId="1FF806F8" w14:textId="183CE12F" w:rsidR="005A5FBE" w:rsidRPr="009E3EBE" w:rsidRDefault="00E22FF7"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близость </w:t>
            </w:r>
            <w:proofErr w:type="spellStart"/>
            <w:r w:rsidRPr="009E3EBE">
              <w:rPr>
                <w:rFonts w:ascii="Times New Roman" w:eastAsia="Times New Roman" w:hAnsi="Times New Roman" w:cs="Times New Roman"/>
                <w:sz w:val="24"/>
                <w:szCs w:val="24"/>
                <w:lang w:val="ru-RU"/>
              </w:rPr>
              <w:t>Зыряйского</w:t>
            </w:r>
            <w:proofErr w:type="spellEnd"/>
            <w:r w:rsidRPr="009E3EBE">
              <w:rPr>
                <w:rFonts w:ascii="Times New Roman" w:eastAsia="Times New Roman" w:hAnsi="Times New Roman" w:cs="Times New Roman"/>
                <w:sz w:val="24"/>
                <w:szCs w:val="24"/>
                <w:lang w:val="ru-RU"/>
              </w:rPr>
              <w:t xml:space="preserve"> угольного бассейна (снижение расходов на транспорт угля)</w:t>
            </w:r>
          </w:p>
          <w:p w14:paraId="66130CC8" w14:textId="234801D7" w:rsidR="00DF36BE" w:rsidRPr="009E3EBE" w:rsidRDefault="00E22FF7"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дешевизна</w:t>
            </w:r>
            <w:r w:rsidR="00994927" w:rsidRPr="009E3EBE">
              <w:rPr>
                <w:rFonts w:ascii="Times New Roman" w:eastAsia="Times New Roman" w:hAnsi="Times New Roman" w:cs="Times New Roman"/>
                <w:sz w:val="24"/>
                <w:szCs w:val="24"/>
                <w:lang w:val="ru-RU"/>
              </w:rPr>
              <w:t xml:space="preserve"> угля как вида топлива (≈ в </w:t>
            </w:r>
            <w:r w:rsidR="005A5440" w:rsidRPr="009E3EBE">
              <w:rPr>
                <w:rFonts w:ascii="Times New Roman" w:eastAsia="Times New Roman" w:hAnsi="Times New Roman" w:cs="Times New Roman"/>
                <w:sz w:val="24"/>
                <w:szCs w:val="24"/>
                <w:lang w:val="ru-RU"/>
              </w:rPr>
              <w:t>8</w:t>
            </w:r>
            <w:r w:rsidR="00994927" w:rsidRPr="009E3EBE">
              <w:rPr>
                <w:rFonts w:ascii="Times New Roman" w:eastAsia="Times New Roman" w:hAnsi="Times New Roman" w:cs="Times New Roman"/>
                <w:sz w:val="24"/>
                <w:szCs w:val="24"/>
                <w:lang w:val="ru-RU"/>
              </w:rPr>
              <w:t xml:space="preserve"> р.  </w:t>
            </w:r>
            <w:r w:rsidR="005A5440" w:rsidRPr="009E3EBE">
              <w:rPr>
                <w:rFonts w:ascii="Times New Roman" w:eastAsia="Times New Roman" w:hAnsi="Times New Roman" w:cs="Times New Roman"/>
                <w:sz w:val="24"/>
                <w:szCs w:val="24"/>
                <w:lang w:val="ru-RU"/>
              </w:rPr>
              <w:t>д</w:t>
            </w:r>
            <w:r w:rsidR="00994927" w:rsidRPr="009E3EBE">
              <w:rPr>
                <w:rFonts w:ascii="Times New Roman" w:eastAsia="Times New Roman" w:hAnsi="Times New Roman" w:cs="Times New Roman"/>
                <w:sz w:val="24"/>
                <w:szCs w:val="24"/>
                <w:lang w:val="ru-RU"/>
              </w:rPr>
              <w:t>ешевле, чем дизельное топливо)</w:t>
            </w:r>
          </w:p>
        </w:tc>
        <w:tc>
          <w:tcPr>
            <w:tcW w:w="3841" w:type="dxa"/>
            <w:vAlign w:val="center"/>
          </w:tcPr>
          <w:p w14:paraId="4995E8A3" w14:textId="4E34E09D" w:rsidR="005A5FBE" w:rsidRPr="009E3EBE" w:rsidRDefault="00642C42"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необходимость постройки </w:t>
            </w:r>
            <w:r w:rsidR="00B17101" w:rsidRPr="009E3EBE">
              <w:rPr>
                <w:rFonts w:ascii="Times New Roman" w:eastAsia="Times New Roman" w:hAnsi="Times New Roman" w:cs="Times New Roman"/>
                <w:sz w:val="24"/>
                <w:szCs w:val="24"/>
                <w:lang w:val="ru-RU"/>
              </w:rPr>
              <w:t>дополнительного</w:t>
            </w:r>
            <w:r w:rsidRPr="009E3EBE">
              <w:rPr>
                <w:rFonts w:ascii="Times New Roman" w:eastAsia="Times New Roman" w:hAnsi="Times New Roman" w:cs="Times New Roman"/>
                <w:sz w:val="24"/>
                <w:szCs w:val="24"/>
                <w:lang w:val="ru-RU"/>
              </w:rPr>
              <w:t xml:space="preserve"> оборудования для подготовки угля к сжиганию</w:t>
            </w:r>
            <w:r w:rsidR="00B17101" w:rsidRPr="009E3EBE">
              <w:rPr>
                <w:rFonts w:ascii="Times New Roman" w:eastAsia="Times New Roman" w:hAnsi="Times New Roman" w:cs="Times New Roman"/>
                <w:sz w:val="24"/>
                <w:szCs w:val="24"/>
                <w:lang w:val="ru-RU"/>
              </w:rPr>
              <w:t>;</w:t>
            </w:r>
          </w:p>
          <w:p w14:paraId="03DE54CA" w14:textId="4CEEE15A" w:rsidR="00E22FF7" w:rsidRPr="009E3EBE" w:rsidRDefault="00E22FF7"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высокая стоимость генераторов из-за небольшого размера рынка углевых мини </w:t>
            </w:r>
            <w:r w:rsidR="00B17101" w:rsidRPr="009E3EBE">
              <w:rPr>
                <w:rFonts w:ascii="Times New Roman" w:eastAsia="Times New Roman" w:hAnsi="Times New Roman" w:cs="Times New Roman"/>
                <w:sz w:val="24"/>
                <w:szCs w:val="24"/>
                <w:lang w:val="ru-RU"/>
              </w:rPr>
              <w:t>–</w:t>
            </w:r>
            <w:r w:rsidRPr="009E3EBE">
              <w:rPr>
                <w:rFonts w:ascii="Times New Roman" w:eastAsia="Times New Roman" w:hAnsi="Times New Roman" w:cs="Times New Roman"/>
                <w:sz w:val="24"/>
                <w:szCs w:val="24"/>
                <w:lang w:val="ru-RU"/>
              </w:rPr>
              <w:t xml:space="preserve"> ТЭС</w:t>
            </w:r>
            <w:r w:rsidR="00B17101" w:rsidRPr="009E3EBE">
              <w:rPr>
                <w:rFonts w:ascii="Times New Roman" w:eastAsia="Times New Roman" w:hAnsi="Times New Roman" w:cs="Times New Roman"/>
                <w:sz w:val="24"/>
                <w:szCs w:val="24"/>
                <w:lang w:val="ru-RU"/>
              </w:rPr>
              <w:t>.</w:t>
            </w:r>
          </w:p>
        </w:tc>
      </w:tr>
      <w:tr w:rsidR="00DF36BE" w:rsidRPr="009E3EBE" w14:paraId="36A897A0" w14:textId="77777777" w:rsidTr="00081DD1">
        <w:trPr>
          <w:trHeight w:val="117"/>
        </w:trPr>
        <w:tc>
          <w:tcPr>
            <w:tcW w:w="1975" w:type="dxa"/>
            <w:vAlign w:val="center"/>
          </w:tcPr>
          <w:p w14:paraId="1CB35194" w14:textId="6332FBB9" w:rsidR="00DF36BE" w:rsidRPr="009E3EBE" w:rsidRDefault="00DF36BE" w:rsidP="00081DD1">
            <w:pPr>
              <w:pStyle w:val="ListParagraph"/>
              <w:ind w:left="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ВИЭ</w:t>
            </w:r>
          </w:p>
        </w:tc>
        <w:tc>
          <w:tcPr>
            <w:tcW w:w="7351" w:type="dxa"/>
            <w:gridSpan w:val="2"/>
            <w:vAlign w:val="center"/>
          </w:tcPr>
          <w:p w14:paraId="0096DCFD" w14:textId="25A7ED80" w:rsidR="00DF36BE" w:rsidRPr="009E3EBE" w:rsidRDefault="005A5440" w:rsidP="00081DD1">
            <w:pPr>
              <w:pStyle w:val="ListParagraph"/>
              <w:ind w:left="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Возобновляемые источники энергии</w:t>
            </w:r>
          </w:p>
        </w:tc>
      </w:tr>
      <w:tr w:rsidR="005A5FBE" w:rsidRPr="003110E7" w14:paraId="08886EFB" w14:textId="77777777" w:rsidTr="00081DD1">
        <w:trPr>
          <w:trHeight w:val="117"/>
        </w:trPr>
        <w:tc>
          <w:tcPr>
            <w:tcW w:w="1975" w:type="dxa"/>
            <w:vAlign w:val="center"/>
          </w:tcPr>
          <w:p w14:paraId="7CCD9410" w14:textId="08A68E29" w:rsidR="005A5FBE" w:rsidRPr="009E3EBE" w:rsidRDefault="005A5440" w:rsidP="00081DD1">
            <w:pPr>
              <w:pStyle w:val="ListParagraph"/>
              <w:ind w:left="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Ветровые электростанции (ВЭС)</w:t>
            </w:r>
          </w:p>
        </w:tc>
        <w:tc>
          <w:tcPr>
            <w:tcW w:w="3510" w:type="dxa"/>
            <w:vAlign w:val="center"/>
          </w:tcPr>
          <w:p w14:paraId="17DD39FF" w14:textId="03480B72" w:rsidR="005A5FBE" w:rsidRPr="009E3EBE" w:rsidRDefault="00994927"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возможность когенерации совместно с </w:t>
            </w:r>
            <w:r w:rsidR="005A5440" w:rsidRPr="009E3EBE">
              <w:rPr>
                <w:rFonts w:ascii="Times New Roman" w:eastAsia="Times New Roman" w:hAnsi="Times New Roman" w:cs="Times New Roman"/>
                <w:sz w:val="24"/>
                <w:szCs w:val="24"/>
                <w:lang w:val="ru-RU"/>
              </w:rPr>
              <w:t>ДЭС</w:t>
            </w:r>
            <w:r w:rsidR="00B17101" w:rsidRPr="009E3EBE">
              <w:rPr>
                <w:rFonts w:ascii="Times New Roman" w:eastAsia="Times New Roman" w:hAnsi="Times New Roman" w:cs="Times New Roman"/>
                <w:sz w:val="24"/>
                <w:szCs w:val="24"/>
                <w:lang w:val="ru-RU"/>
              </w:rPr>
              <w:t>;</w:t>
            </w:r>
          </w:p>
          <w:p w14:paraId="75B6254B" w14:textId="2DA57FB7" w:rsidR="005A5440" w:rsidRPr="009E3EBE" w:rsidRDefault="005A5440"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 xml:space="preserve">производятся в России </w:t>
            </w:r>
          </w:p>
        </w:tc>
        <w:tc>
          <w:tcPr>
            <w:tcW w:w="3841" w:type="dxa"/>
            <w:vAlign w:val="center"/>
          </w:tcPr>
          <w:p w14:paraId="005670D8" w14:textId="77777777" w:rsidR="005A5FBE" w:rsidRPr="009E3EBE" w:rsidRDefault="00994927"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далеко не на всех территориях есть возможность установления ВЭС (в основном - прибрежные зоны)</w:t>
            </w:r>
          </w:p>
          <w:p w14:paraId="67C19545" w14:textId="71C2E73E" w:rsidR="00994927" w:rsidRPr="009E3EBE" w:rsidRDefault="00994927"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нестабильность выработки электроэнергии (компенсируется ДЭС)</w:t>
            </w:r>
          </w:p>
        </w:tc>
      </w:tr>
      <w:tr w:rsidR="00374FC7" w:rsidRPr="003110E7" w14:paraId="12568540" w14:textId="77777777" w:rsidTr="00081DD1">
        <w:trPr>
          <w:trHeight w:val="117"/>
        </w:trPr>
        <w:tc>
          <w:tcPr>
            <w:tcW w:w="1975" w:type="dxa"/>
            <w:vAlign w:val="center"/>
          </w:tcPr>
          <w:p w14:paraId="2E00BF4F" w14:textId="0F50CD07" w:rsidR="00374FC7" w:rsidRPr="009E3EBE" w:rsidRDefault="005A5440" w:rsidP="00081DD1">
            <w:pPr>
              <w:pStyle w:val="ListParagraph"/>
              <w:ind w:left="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Солнечные эле</w:t>
            </w:r>
            <w:r w:rsidR="006D6695" w:rsidRPr="009E3EBE">
              <w:rPr>
                <w:rFonts w:ascii="Times New Roman" w:eastAsia="Times New Roman" w:hAnsi="Times New Roman" w:cs="Times New Roman"/>
                <w:sz w:val="24"/>
                <w:szCs w:val="24"/>
                <w:lang w:val="ru-RU"/>
              </w:rPr>
              <w:t>к</w:t>
            </w:r>
            <w:r w:rsidRPr="009E3EBE">
              <w:rPr>
                <w:rFonts w:ascii="Times New Roman" w:eastAsia="Times New Roman" w:hAnsi="Times New Roman" w:cs="Times New Roman"/>
                <w:sz w:val="24"/>
                <w:szCs w:val="24"/>
                <w:lang w:val="ru-RU"/>
              </w:rPr>
              <w:t>тростанции</w:t>
            </w:r>
            <w:r w:rsidR="006D6695" w:rsidRPr="009E3EBE">
              <w:rPr>
                <w:rFonts w:ascii="Times New Roman" w:eastAsia="Times New Roman" w:hAnsi="Times New Roman" w:cs="Times New Roman"/>
                <w:sz w:val="24"/>
                <w:szCs w:val="24"/>
                <w:lang w:val="ru-RU"/>
              </w:rPr>
              <w:t xml:space="preserve"> (СЭС)</w:t>
            </w:r>
          </w:p>
        </w:tc>
        <w:tc>
          <w:tcPr>
            <w:tcW w:w="3510" w:type="dxa"/>
            <w:vAlign w:val="center"/>
          </w:tcPr>
          <w:p w14:paraId="4B464975" w14:textId="27E18F8A" w:rsidR="006D6695" w:rsidRPr="009E3EBE" w:rsidRDefault="006D6695"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большое количество солнечных дней в РС</w:t>
            </w:r>
            <w:r w:rsidR="00243CFE" w:rsidRPr="009E3EBE">
              <w:rPr>
                <w:rFonts w:ascii="Times New Roman" w:eastAsia="Times New Roman" w:hAnsi="Times New Roman" w:cs="Times New Roman"/>
                <w:sz w:val="24"/>
                <w:szCs w:val="24"/>
                <w:lang w:val="ru-RU"/>
              </w:rPr>
              <w:t>;</w:t>
            </w:r>
          </w:p>
          <w:p w14:paraId="1492F65D" w14:textId="463A433D" w:rsidR="00374FC7" w:rsidRPr="009E3EBE" w:rsidRDefault="005F5371"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высокая энергоэффективность</w:t>
            </w:r>
            <w:r w:rsidR="00243CFE" w:rsidRPr="009E3EBE">
              <w:rPr>
                <w:rFonts w:ascii="Times New Roman" w:eastAsia="Times New Roman" w:hAnsi="Times New Roman" w:cs="Times New Roman"/>
                <w:sz w:val="24"/>
                <w:szCs w:val="24"/>
                <w:lang w:val="en-US"/>
              </w:rPr>
              <w:t>;</w:t>
            </w:r>
          </w:p>
          <w:p w14:paraId="6DB80958" w14:textId="37412DFA" w:rsidR="00243CFE" w:rsidRPr="009E3EBE" w:rsidRDefault="00243CFE" w:rsidP="00081DD1">
            <w:pPr>
              <w:pStyle w:val="ListParagraph"/>
              <w:numPr>
                <w:ilvl w:val="0"/>
                <w:numId w:val="12"/>
              </w:numPr>
              <w:ind w:left="28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незначительные расходы на эксплуатацию СЭС;</w:t>
            </w:r>
          </w:p>
        </w:tc>
        <w:tc>
          <w:tcPr>
            <w:tcW w:w="3841" w:type="dxa"/>
            <w:vAlign w:val="center"/>
          </w:tcPr>
          <w:p w14:paraId="484B7865" w14:textId="3D20F37C" w:rsidR="001A08F0" w:rsidRPr="009E3EBE" w:rsidRDefault="001A08F0" w:rsidP="00081DD1">
            <w:pPr>
              <w:pStyle w:val="ListParagraph"/>
              <w:numPr>
                <w:ilvl w:val="0"/>
                <w:numId w:val="12"/>
              </w:numPr>
              <w:ind w:left="256" w:hanging="270"/>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высокая сложность проведения работ по установке в условиях РС;</w:t>
            </w:r>
          </w:p>
        </w:tc>
      </w:tr>
    </w:tbl>
    <w:p w14:paraId="5F2BF569" w14:textId="33AC7A23" w:rsidR="005A5FBE" w:rsidRPr="009E3EBE" w:rsidRDefault="00572BD4" w:rsidP="00572BD4">
      <w:pPr>
        <w:spacing w:line="240" w:lineRule="auto"/>
        <w:contextualSpacing/>
        <w:jc w:val="center"/>
        <w:rPr>
          <w:rFonts w:ascii="Times New Roman" w:eastAsia="Times New Roman" w:hAnsi="Times New Roman" w:cs="Times New Roman"/>
          <w:sz w:val="20"/>
          <w:szCs w:val="20"/>
          <w:lang w:val="ru-RU"/>
        </w:rPr>
      </w:pPr>
      <w:r w:rsidRPr="009E3EBE">
        <w:rPr>
          <w:rFonts w:ascii="Times New Roman" w:eastAsia="Times New Roman" w:hAnsi="Times New Roman" w:cs="Times New Roman"/>
          <w:sz w:val="20"/>
          <w:szCs w:val="20"/>
          <w:lang w:val="ru-RU"/>
        </w:rPr>
        <w:t>Источник: составлено по материалам [</w:t>
      </w:r>
      <w:r w:rsidR="00201DAC" w:rsidRPr="009E3EBE">
        <w:rPr>
          <w:rFonts w:ascii="Times New Roman" w:eastAsia="Times New Roman" w:hAnsi="Times New Roman" w:cs="Times New Roman"/>
          <w:sz w:val="20"/>
          <w:szCs w:val="20"/>
          <w:lang w:val="ru-RU"/>
        </w:rPr>
        <w:t>7</w:t>
      </w:r>
      <w:r w:rsidRPr="009E3EBE">
        <w:rPr>
          <w:rFonts w:ascii="Times New Roman" w:eastAsia="Times New Roman" w:hAnsi="Times New Roman" w:cs="Times New Roman"/>
          <w:sz w:val="20"/>
          <w:szCs w:val="20"/>
          <w:lang w:val="ru-RU"/>
        </w:rPr>
        <w:t>],[</w:t>
      </w:r>
      <w:r w:rsidR="00201DAC" w:rsidRPr="009E3EBE">
        <w:rPr>
          <w:rFonts w:ascii="Times New Roman" w:eastAsia="Times New Roman" w:hAnsi="Times New Roman" w:cs="Times New Roman"/>
          <w:sz w:val="20"/>
          <w:szCs w:val="20"/>
          <w:lang w:val="ru-RU"/>
        </w:rPr>
        <w:t>10</w:t>
      </w:r>
      <w:r w:rsidRPr="009E3EBE">
        <w:rPr>
          <w:rFonts w:ascii="Times New Roman" w:eastAsia="Times New Roman" w:hAnsi="Times New Roman" w:cs="Times New Roman"/>
          <w:sz w:val="20"/>
          <w:szCs w:val="20"/>
          <w:lang w:val="ru-RU"/>
        </w:rPr>
        <w:t>]</w:t>
      </w:r>
    </w:p>
    <w:p w14:paraId="3FD0AC92" w14:textId="683A6855" w:rsidR="006C4B20" w:rsidRPr="009E3EBE" w:rsidRDefault="006C4B20" w:rsidP="006D6695">
      <w:pPr>
        <w:spacing w:line="240" w:lineRule="auto"/>
        <w:ind w:firstLine="720"/>
        <w:contextualSpacing/>
        <w:jc w:val="both"/>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Для повышения энергетической безопасности изолированных территорий предлагается использовать в качестве одного из основных типов генерации мини – ТЭС на основе твердого топлива, в частности угля. Отметим, что согласно «Схеме и программе развития электроэнергетики Республики Саха (Якутия) на 2022–2026 годы» ВИЭ в лице СЭС (таб</w:t>
      </w:r>
      <w:r w:rsidR="001E71C8" w:rsidRPr="009E3EBE">
        <w:rPr>
          <w:rFonts w:ascii="Times New Roman" w:eastAsia="Times New Roman" w:hAnsi="Times New Roman" w:cs="Times New Roman"/>
          <w:sz w:val="24"/>
          <w:szCs w:val="24"/>
          <w:lang w:val="ru-RU"/>
        </w:rPr>
        <w:t>.</w:t>
      </w:r>
      <w:r w:rsidRPr="009E3EBE">
        <w:rPr>
          <w:rFonts w:ascii="Times New Roman" w:eastAsia="Times New Roman" w:hAnsi="Times New Roman" w:cs="Times New Roman"/>
          <w:sz w:val="24"/>
          <w:szCs w:val="24"/>
          <w:lang w:val="ru-RU"/>
        </w:rPr>
        <w:t>3) рассматриваются как перспективные. Так, основной организацией застройщиком будет выступать государственная компания ПАО «РусГидро». Согласно плану, установленная мощность СЭС должна будет увеличиться почти в 11 раз к 2026 г. и составить примерно 13% от всей установленной мощности.</w:t>
      </w:r>
    </w:p>
    <w:p w14:paraId="6135D62D" w14:textId="2EA0B2E1" w:rsidR="006D6695" w:rsidRPr="009E3EBE" w:rsidRDefault="006D6695" w:rsidP="006D6695">
      <w:pPr>
        <w:spacing w:line="240" w:lineRule="auto"/>
        <w:ind w:firstLine="720"/>
        <w:contextualSpacing/>
        <w:jc w:val="right"/>
        <w:rPr>
          <w:rFonts w:ascii="Times New Roman" w:eastAsia="Times New Roman" w:hAnsi="Times New Roman" w:cs="Times New Roman"/>
          <w:sz w:val="24"/>
          <w:szCs w:val="24"/>
          <w:lang w:val="ru-RU"/>
        </w:rPr>
      </w:pPr>
      <w:r w:rsidRPr="009E3EBE">
        <w:rPr>
          <w:rFonts w:ascii="Times New Roman" w:eastAsia="Times New Roman" w:hAnsi="Times New Roman" w:cs="Times New Roman"/>
          <w:sz w:val="24"/>
          <w:szCs w:val="24"/>
          <w:lang w:val="ru-RU"/>
        </w:rPr>
        <w:t>Таблица 3</w:t>
      </w:r>
    </w:p>
    <w:p w14:paraId="0D7273E8" w14:textId="77777777" w:rsidR="006D6695" w:rsidRPr="009E3EBE" w:rsidRDefault="006D6695" w:rsidP="00081DD1">
      <w:pPr>
        <w:spacing w:line="240" w:lineRule="auto"/>
        <w:contextualSpacing/>
        <w:jc w:val="center"/>
        <w:rPr>
          <w:rFonts w:ascii="Times New Roman" w:hAnsi="Times New Roman" w:cs="Times New Roman"/>
          <w:b/>
          <w:bCs/>
          <w:sz w:val="24"/>
          <w:szCs w:val="24"/>
          <w:shd w:val="clear" w:color="auto" w:fill="FFFFFF"/>
          <w:lang w:val="ru-RU"/>
        </w:rPr>
      </w:pPr>
      <w:r w:rsidRPr="009E3EBE">
        <w:rPr>
          <w:rFonts w:ascii="Times New Roman" w:hAnsi="Times New Roman" w:cs="Times New Roman"/>
          <w:b/>
          <w:bCs/>
          <w:sz w:val="24"/>
          <w:szCs w:val="24"/>
          <w:shd w:val="clear" w:color="auto" w:fill="FFFFFF"/>
          <w:lang w:val="ru-RU"/>
        </w:rPr>
        <w:t xml:space="preserve">Прогнозное изменение суммарной установленной мощности </w:t>
      </w:r>
    </w:p>
    <w:p w14:paraId="67A49450" w14:textId="43CAFF8D" w:rsidR="006D6695" w:rsidRPr="009E3EBE" w:rsidRDefault="006D6695" w:rsidP="004E2C4F">
      <w:pPr>
        <w:spacing w:line="240" w:lineRule="auto"/>
        <w:contextualSpacing/>
        <w:jc w:val="center"/>
        <w:rPr>
          <w:rFonts w:ascii="Times New Roman" w:hAnsi="Times New Roman" w:cs="Times New Roman"/>
          <w:b/>
          <w:bCs/>
          <w:sz w:val="24"/>
          <w:szCs w:val="24"/>
          <w:shd w:val="clear" w:color="auto" w:fill="FFFFFF"/>
          <w:lang w:val="ru-RU"/>
        </w:rPr>
      </w:pPr>
      <w:r w:rsidRPr="009E3EBE">
        <w:rPr>
          <w:rFonts w:ascii="Times New Roman" w:hAnsi="Times New Roman" w:cs="Times New Roman"/>
          <w:b/>
          <w:bCs/>
          <w:sz w:val="24"/>
          <w:szCs w:val="24"/>
          <w:shd w:val="clear" w:color="auto" w:fill="FFFFFF"/>
          <w:lang w:val="ru-RU"/>
        </w:rPr>
        <w:t xml:space="preserve">ВИЭ </w:t>
      </w:r>
      <w:r w:rsidR="00541090" w:rsidRPr="009E3EBE">
        <w:rPr>
          <w:rFonts w:ascii="Times New Roman" w:hAnsi="Times New Roman" w:cs="Times New Roman"/>
          <w:b/>
          <w:bCs/>
          <w:sz w:val="24"/>
          <w:szCs w:val="24"/>
          <w:shd w:val="clear" w:color="auto" w:fill="FFFFFF"/>
          <w:lang w:val="ru-RU"/>
        </w:rPr>
        <w:t xml:space="preserve">в РС </w:t>
      </w:r>
      <w:r w:rsidR="00E82302" w:rsidRPr="009E3EBE">
        <w:rPr>
          <w:rFonts w:ascii="Times New Roman" w:hAnsi="Times New Roman" w:cs="Times New Roman"/>
          <w:b/>
          <w:bCs/>
          <w:sz w:val="24"/>
          <w:szCs w:val="24"/>
          <w:shd w:val="clear" w:color="auto" w:fill="FFFFFF"/>
          <w:lang w:val="ru-RU"/>
        </w:rPr>
        <w:t xml:space="preserve">компанией ПАО «РусГидро» </w:t>
      </w:r>
      <w:r w:rsidRPr="009E3EBE">
        <w:rPr>
          <w:rFonts w:ascii="Times New Roman" w:hAnsi="Times New Roman" w:cs="Times New Roman"/>
          <w:b/>
          <w:bCs/>
          <w:sz w:val="24"/>
          <w:szCs w:val="24"/>
          <w:shd w:val="clear" w:color="auto" w:fill="FFFFFF"/>
          <w:lang w:val="ru-RU"/>
        </w:rPr>
        <w:t>на 2021–</w:t>
      </w:r>
      <w:r w:rsidR="00541090" w:rsidRPr="009E3EBE">
        <w:rPr>
          <w:rFonts w:ascii="Times New Roman" w:hAnsi="Times New Roman" w:cs="Times New Roman"/>
          <w:b/>
          <w:bCs/>
          <w:sz w:val="24"/>
          <w:szCs w:val="24"/>
          <w:shd w:val="clear" w:color="auto" w:fill="FFFFFF"/>
          <w:lang w:val="ru-RU"/>
        </w:rPr>
        <w:t>2026 гг.</w:t>
      </w:r>
      <w:r w:rsidRPr="009E3EBE">
        <w:rPr>
          <w:rFonts w:ascii="Times New Roman" w:hAnsi="Times New Roman" w:cs="Times New Roman"/>
          <w:b/>
          <w:bCs/>
          <w:sz w:val="24"/>
          <w:szCs w:val="24"/>
          <w:shd w:val="clear" w:color="auto" w:fill="FFFFFF"/>
          <w:lang w:val="ru-RU"/>
        </w:rPr>
        <w:t>, кВт</w:t>
      </w:r>
      <w:r w:rsidR="00E82302" w:rsidRPr="009E3EBE">
        <w:rPr>
          <w:rFonts w:ascii="Times New Roman" w:hAnsi="Times New Roman" w:cs="Times New Roman"/>
          <w:b/>
          <w:bCs/>
          <w:sz w:val="24"/>
          <w:szCs w:val="24"/>
          <w:shd w:val="clear" w:color="auto" w:fill="FFFFFF"/>
          <w:lang w:val="ru-RU"/>
        </w:rPr>
        <w:t xml:space="preserve"> </w:t>
      </w:r>
    </w:p>
    <w:tbl>
      <w:tblPr>
        <w:tblStyle w:val="TableGrid"/>
        <w:tblW w:w="9365" w:type="dxa"/>
        <w:tblLook w:val="04A0" w:firstRow="1" w:lastRow="0" w:firstColumn="1" w:lastColumn="0" w:noHBand="0" w:noVBand="1"/>
      </w:tblPr>
      <w:tblGrid>
        <w:gridCol w:w="3251"/>
        <w:gridCol w:w="955"/>
        <w:gridCol w:w="1147"/>
        <w:gridCol w:w="955"/>
        <w:gridCol w:w="1147"/>
        <w:gridCol w:w="955"/>
        <w:gridCol w:w="955"/>
      </w:tblGrid>
      <w:tr w:rsidR="006D6695" w:rsidRPr="009E3EBE" w14:paraId="5AF6F4F0" w14:textId="77777777" w:rsidTr="00BA197F">
        <w:trPr>
          <w:trHeight w:val="241"/>
        </w:trPr>
        <w:tc>
          <w:tcPr>
            <w:tcW w:w="3251" w:type="dxa"/>
            <w:hideMark/>
          </w:tcPr>
          <w:p w14:paraId="40A6F645" w14:textId="77777777" w:rsidR="006D6695" w:rsidRPr="009E3EBE" w:rsidRDefault="006D6695" w:rsidP="006D6695">
            <w:pPr>
              <w:rPr>
                <w:rFonts w:ascii="Times New Roman" w:eastAsia="Times New Roman" w:hAnsi="Times New Roman" w:cs="Times New Roman"/>
                <w:sz w:val="24"/>
                <w:szCs w:val="24"/>
                <w:lang w:val="ru-RU" w:eastAsia="en-US"/>
              </w:rPr>
            </w:pPr>
          </w:p>
        </w:tc>
        <w:tc>
          <w:tcPr>
            <w:tcW w:w="955" w:type="dxa"/>
            <w:hideMark/>
          </w:tcPr>
          <w:p w14:paraId="60429A5E" w14:textId="29D650D9" w:rsidR="006D6695" w:rsidRPr="009E3EBE" w:rsidRDefault="006D6695" w:rsidP="006D6695">
            <w:pPr>
              <w:jc w:val="center"/>
              <w:textAlignment w:val="baseline"/>
              <w:rPr>
                <w:rFonts w:ascii="Times New Roman" w:eastAsia="Times New Roman" w:hAnsi="Times New Roman" w:cs="Times New Roman"/>
                <w:i/>
                <w:iCs/>
                <w:sz w:val="24"/>
                <w:szCs w:val="24"/>
                <w:lang w:val="ru-RU" w:eastAsia="en-US"/>
              </w:rPr>
            </w:pPr>
            <w:r w:rsidRPr="009E3EBE">
              <w:rPr>
                <w:rFonts w:ascii="Times New Roman" w:eastAsia="Times New Roman" w:hAnsi="Times New Roman" w:cs="Times New Roman"/>
                <w:i/>
                <w:iCs/>
                <w:sz w:val="24"/>
                <w:szCs w:val="24"/>
                <w:lang w:val="ru-RU" w:eastAsia="en-US"/>
              </w:rPr>
              <w:t xml:space="preserve">2021 </w:t>
            </w:r>
          </w:p>
        </w:tc>
        <w:tc>
          <w:tcPr>
            <w:tcW w:w="1147" w:type="dxa"/>
            <w:hideMark/>
          </w:tcPr>
          <w:p w14:paraId="7628F82A" w14:textId="77777777" w:rsidR="006D6695" w:rsidRPr="009E3EBE" w:rsidRDefault="006D6695" w:rsidP="006D6695">
            <w:pPr>
              <w:jc w:val="center"/>
              <w:textAlignment w:val="baseline"/>
              <w:rPr>
                <w:rFonts w:ascii="Times New Roman" w:eastAsia="Times New Roman" w:hAnsi="Times New Roman" w:cs="Times New Roman"/>
                <w:i/>
                <w:iCs/>
                <w:sz w:val="24"/>
                <w:szCs w:val="24"/>
                <w:lang w:val="ru-RU" w:eastAsia="en-US"/>
              </w:rPr>
            </w:pPr>
            <w:r w:rsidRPr="009E3EBE">
              <w:rPr>
                <w:rFonts w:ascii="Times New Roman" w:eastAsia="Times New Roman" w:hAnsi="Times New Roman" w:cs="Times New Roman"/>
                <w:i/>
                <w:iCs/>
                <w:sz w:val="24"/>
                <w:szCs w:val="24"/>
                <w:lang w:val="ru-RU" w:eastAsia="en-US"/>
              </w:rPr>
              <w:t>2022</w:t>
            </w:r>
          </w:p>
        </w:tc>
        <w:tc>
          <w:tcPr>
            <w:tcW w:w="955" w:type="dxa"/>
            <w:hideMark/>
          </w:tcPr>
          <w:p w14:paraId="1CC5524E" w14:textId="77777777" w:rsidR="006D6695" w:rsidRPr="009E3EBE" w:rsidRDefault="006D6695" w:rsidP="006D6695">
            <w:pPr>
              <w:jc w:val="center"/>
              <w:textAlignment w:val="baseline"/>
              <w:rPr>
                <w:rFonts w:ascii="Times New Roman" w:eastAsia="Times New Roman" w:hAnsi="Times New Roman" w:cs="Times New Roman"/>
                <w:i/>
                <w:iCs/>
                <w:sz w:val="24"/>
                <w:szCs w:val="24"/>
                <w:lang w:val="ru-RU" w:eastAsia="en-US"/>
              </w:rPr>
            </w:pPr>
            <w:r w:rsidRPr="009E3EBE">
              <w:rPr>
                <w:rFonts w:ascii="Times New Roman" w:eastAsia="Times New Roman" w:hAnsi="Times New Roman" w:cs="Times New Roman"/>
                <w:i/>
                <w:iCs/>
                <w:sz w:val="24"/>
                <w:szCs w:val="24"/>
                <w:lang w:val="ru-RU" w:eastAsia="en-US"/>
              </w:rPr>
              <w:t>2023</w:t>
            </w:r>
          </w:p>
        </w:tc>
        <w:tc>
          <w:tcPr>
            <w:tcW w:w="1147" w:type="dxa"/>
            <w:hideMark/>
          </w:tcPr>
          <w:p w14:paraId="58F3354E" w14:textId="77777777" w:rsidR="006D6695" w:rsidRPr="009E3EBE" w:rsidRDefault="006D6695" w:rsidP="006D6695">
            <w:pPr>
              <w:jc w:val="center"/>
              <w:textAlignment w:val="baseline"/>
              <w:rPr>
                <w:rFonts w:ascii="Times New Roman" w:eastAsia="Times New Roman" w:hAnsi="Times New Roman" w:cs="Times New Roman"/>
                <w:i/>
                <w:iCs/>
                <w:sz w:val="24"/>
                <w:szCs w:val="24"/>
                <w:lang w:val="ru-RU" w:eastAsia="en-US"/>
              </w:rPr>
            </w:pPr>
            <w:r w:rsidRPr="009E3EBE">
              <w:rPr>
                <w:rFonts w:ascii="Times New Roman" w:eastAsia="Times New Roman" w:hAnsi="Times New Roman" w:cs="Times New Roman"/>
                <w:i/>
                <w:iCs/>
                <w:sz w:val="24"/>
                <w:szCs w:val="24"/>
                <w:lang w:val="ru-RU" w:eastAsia="en-US"/>
              </w:rPr>
              <w:t>2024</w:t>
            </w:r>
          </w:p>
        </w:tc>
        <w:tc>
          <w:tcPr>
            <w:tcW w:w="955" w:type="dxa"/>
            <w:hideMark/>
          </w:tcPr>
          <w:p w14:paraId="0550C94E" w14:textId="6D67B587" w:rsidR="006D6695" w:rsidRPr="009E3EBE" w:rsidRDefault="006D6695" w:rsidP="006D6695">
            <w:pPr>
              <w:jc w:val="center"/>
              <w:textAlignment w:val="baseline"/>
              <w:rPr>
                <w:rFonts w:ascii="Times New Roman" w:eastAsia="Times New Roman" w:hAnsi="Times New Roman" w:cs="Times New Roman"/>
                <w:i/>
                <w:iCs/>
                <w:sz w:val="24"/>
                <w:szCs w:val="24"/>
                <w:lang w:val="ru-RU" w:eastAsia="en-US"/>
              </w:rPr>
            </w:pPr>
            <w:r w:rsidRPr="009E3EBE">
              <w:rPr>
                <w:rFonts w:ascii="Times New Roman" w:eastAsia="Times New Roman" w:hAnsi="Times New Roman" w:cs="Times New Roman"/>
                <w:i/>
                <w:iCs/>
                <w:sz w:val="24"/>
                <w:szCs w:val="24"/>
                <w:lang w:val="ru-RU" w:eastAsia="en-US"/>
              </w:rPr>
              <w:t xml:space="preserve">2025 </w:t>
            </w:r>
          </w:p>
        </w:tc>
        <w:tc>
          <w:tcPr>
            <w:tcW w:w="955" w:type="dxa"/>
            <w:hideMark/>
          </w:tcPr>
          <w:p w14:paraId="07477242" w14:textId="3EABEA6A" w:rsidR="006D6695" w:rsidRPr="009E3EBE" w:rsidRDefault="006D6695" w:rsidP="006D6695">
            <w:pPr>
              <w:jc w:val="center"/>
              <w:textAlignment w:val="baseline"/>
              <w:rPr>
                <w:rFonts w:ascii="Times New Roman" w:eastAsia="Times New Roman" w:hAnsi="Times New Roman" w:cs="Times New Roman"/>
                <w:i/>
                <w:iCs/>
                <w:sz w:val="24"/>
                <w:szCs w:val="24"/>
                <w:lang w:val="ru-RU" w:eastAsia="en-US"/>
              </w:rPr>
            </w:pPr>
            <w:r w:rsidRPr="009E3EBE">
              <w:rPr>
                <w:rFonts w:ascii="Times New Roman" w:eastAsia="Times New Roman" w:hAnsi="Times New Roman" w:cs="Times New Roman"/>
                <w:i/>
                <w:iCs/>
                <w:sz w:val="24"/>
                <w:szCs w:val="24"/>
                <w:lang w:val="ru-RU" w:eastAsia="en-US"/>
              </w:rPr>
              <w:t xml:space="preserve">2026 </w:t>
            </w:r>
          </w:p>
        </w:tc>
      </w:tr>
      <w:tr w:rsidR="006D6695" w:rsidRPr="009E3EBE" w14:paraId="3556A624" w14:textId="77777777" w:rsidTr="00BA197F">
        <w:trPr>
          <w:trHeight w:val="241"/>
        </w:trPr>
        <w:tc>
          <w:tcPr>
            <w:tcW w:w="3251" w:type="dxa"/>
            <w:hideMark/>
          </w:tcPr>
          <w:p w14:paraId="4F1F8669" w14:textId="77777777" w:rsidR="006D6695" w:rsidRPr="009E3EBE" w:rsidRDefault="006D6695" w:rsidP="006D6695">
            <w:pP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ВИЭ, всего, в том числе:</w:t>
            </w:r>
          </w:p>
        </w:tc>
        <w:tc>
          <w:tcPr>
            <w:tcW w:w="955" w:type="dxa"/>
            <w:hideMark/>
          </w:tcPr>
          <w:p w14:paraId="07744137"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2455</w:t>
            </w:r>
          </w:p>
        </w:tc>
        <w:tc>
          <w:tcPr>
            <w:tcW w:w="1147" w:type="dxa"/>
            <w:hideMark/>
          </w:tcPr>
          <w:p w14:paraId="11F69102"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5895</w:t>
            </w:r>
          </w:p>
        </w:tc>
        <w:tc>
          <w:tcPr>
            <w:tcW w:w="955" w:type="dxa"/>
            <w:hideMark/>
          </w:tcPr>
          <w:p w14:paraId="3B25ABC7"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22095</w:t>
            </w:r>
          </w:p>
        </w:tc>
        <w:tc>
          <w:tcPr>
            <w:tcW w:w="1147" w:type="dxa"/>
            <w:hideMark/>
          </w:tcPr>
          <w:p w14:paraId="2F3BD805"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26775</w:t>
            </w:r>
          </w:p>
        </w:tc>
        <w:tc>
          <w:tcPr>
            <w:tcW w:w="955" w:type="dxa"/>
            <w:hideMark/>
          </w:tcPr>
          <w:p w14:paraId="25DB12C8"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26775</w:t>
            </w:r>
          </w:p>
        </w:tc>
        <w:tc>
          <w:tcPr>
            <w:tcW w:w="955" w:type="dxa"/>
            <w:hideMark/>
          </w:tcPr>
          <w:p w14:paraId="606C49C3"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26775</w:t>
            </w:r>
          </w:p>
        </w:tc>
      </w:tr>
      <w:tr w:rsidR="006D6695" w:rsidRPr="009E3EBE" w14:paraId="350237E9" w14:textId="77777777" w:rsidTr="00BA197F">
        <w:trPr>
          <w:trHeight w:val="241"/>
        </w:trPr>
        <w:tc>
          <w:tcPr>
            <w:tcW w:w="3251" w:type="dxa"/>
            <w:hideMark/>
          </w:tcPr>
          <w:p w14:paraId="583086EC" w14:textId="57968BA2" w:rsidR="006D6695" w:rsidRPr="009E3EBE" w:rsidRDefault="006D6695" w:rsidP="006D6695">
            <w:pP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lastRenderedPageBreak/>
              <w:t>ВЭС</w:t>
            </w:r>
          </w:p>
        </w:tc>
        <w:tc>
          <w:tcPr>
            <w:tcW w:w="955" w:type="dxa"/>
            <w:hideMark/>
          </w:tcPr>
          <w:p w14:paraId="58B4EF63"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940</w:t>
            </w:r>
          </w:p>
        </w:tc>
        <w:tc>
          <w:tcPr>
            <w:tcW w:w="1147" w:type="dxa"/>
            <w:hideMark/>
          </w:tcPr>
          <w:p w14:paraId="30509922"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940</w:t>
            </w:r>
          </w:p>
        </w:tc>
        <w:tc>
          <w:tcPr>
            <w:tcW w:w="955" w:type="dxa"/>
            <w:hideMark/>
          </w:tcPr>
          <w:p w14:paraId="1F0F83F9"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940</w:t>
            </w:r>
          </w:p>
        </w:tc>
        <w:tc>
          <w:tcPr>
            <w:tcW w:w="1147" w:type="dxa"/>
            <w:hideMark/>
          </w:tcPr>
          <w:p w14:paraId="31469A09"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940</w:t>
            </w:r>
          </w:p>
        </w:tc>
        <w:tc>
          <w:tcPr>
            <w:tcW w:w="955" w:type="dxa"/>
            <w:hideMark/>
          </w:tcPr>
          <w:p w14:paraId="7C90160B"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940</w:t>
            </w:r>
          </w:p>
        </w:tc>
        <w:tc>
          <w:tcPr>
            <w:tcW w:w="955" w:type="dxa"/>
            <w:hideMark/>
          </w:tcPr>
          <w:p w14:paraId="3EAAAED7"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940</w:t>
            </w:r>
          </w:p>
        </w:tc>
      </w:tr>
      <w:tr w:rsidR="006D6695" w:rsidRPr="009E3EBE" w14:paraId="24AAFAC2" w14:textId="77777777" w:rsidTr="00BA197F">
        <w:trPr>
          <w:trHeight w:val="241"/>
        </w:trPr>
        <w:tc>
          <w:tcPr>
            <w:tcW w:w="3251" w:type="dxa"/>
            <w:hideMark/>
          </w:tcPr>
          <w:p w14:paraId="3127BC43" w14:textId="22E97C80" w:rsidR="006D6695" w:rsidRPr="009E3EBE" w:rsidRDefault="006D6695" w:rsidP="006D6695">
            <w:pP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СЭС</w:t>
            </w:r>
          </w:p>
        </w:tc>
        <w:tc>
          <w:tcPr>
            <w:tcW w:w="955" w:type="dxa"/>
            <w:hideMark/>
          </w:tcPr>
          <w:p w14:paraId="5C6E2F47"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2012</w:t>
            </w:r>
          </w:p>
        </w:tc>
        <w:tc>
          <w:tcPr>
            <w:tcW w:w="1147" w:type="dxa"/>
            <w:hideMark/>
          </w:tcPr>
          <w:p w14:paraId="0A18A7F0"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4955</w:t>
            </w:r>
          </w:p>
        </w:tc>
        <w:tc>
          <w:tcPr>
            <w:tcW w:w="955" w:type="dxa"/>
            <w:hideMark/>
          </w:tcPr>
          <w:p w14:paraId="6EEF604D"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21155</w:t>
            </w:r>
          </w:p>
        </w:tc>
        <w:tc>
          <w:tcPr>
            <w:tcW w:w="1147" w:type="dxa"/>
            <w:hideMark/>
          </w:tcPr>
          <w:p w14:paraId="704E5A10"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25835</w:t>
            </w:r>
          </w:p>
        </w:tc>
        <w:tc>
          <w:tcPr>
            <w:tcW w:w="955" w:type="dxa"/>
            <w:hideMark/>
          </w:tcPr>
          <w:p w14:paraId="08E20DD4"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25835</w:t>
            </w:r>
          </w:p>
        </w:tc>
        <w:tc>
          <w:tcPr>
            <w:tcW w:w="955" w:type="dxa"/>
            <w:hideMark/>
          </w:tcPr>
          <w:p w14:paraId="633934C9" w14:textId="77777777" w:rsidR="006D6695" w:rsidRPr="009E3EBE" w:rsidRDefault="006D6695" w:rsidP="006D6695">
            <w:pPr>
              <w:jc w:val="center"/>
              <w:textAlignment w:val="baseline"/>
              <w:rPr>
                <w:rFonts w:ascii="Times New Roman" w:eastAsia="Times New Roman" w:hAnsi="Times New Roman" w:cs="Times New Roman"/>
                <w:sz w:val="24"/>
                <w:szCs w:val="24"/>
                <w:lang w:val="ru-RU" w:eastAsia="en-US"/>
              </w:rPr>
            </w:pPr>
            <w:r w:rsidRPr="009E3EBE">
              <w:rPr>
                <w:rFonts w:ascii="Times New Roman" w:eastAsia="Times New Roman" w:hAnsi="Times New Roman" w:cs="Times New Roman"/>
                <w:sz w:val="24"/>
                <w:szCs w:val="24"/>
                <w:lang w:val="ru-RU" w:eastAsia="en-US"/>
              </w:rPr>
              <w:t>25835</w:t>
            </w:r>
          </w:p>
        </w:tc>
      </w:tr>
    </w:tbl>
    <w:p w14:paraId="0DBF821D" w14:textId="4FD82F26" w:rsidR="00387819" w:rsidRPr="009E3EBE" w:rsidRDefault="00572BD4" w:rsidP="00572BD4">
      <w:pPr>
        <w:spacing w:line="240" w:lineRule="auto"/>
        <w:contextualSpacing/>
        <w:jc w:val="center"/>
        <w:rPr>
          <w:rFonts w:ascii="Times New Roman" w:eastAsia="Times New Roman" w:hAnsi="Times New Roman" w:cs="Times New Roman"/>
          <w:sz w:val="20"/>
          <w:szCs w:val="20"/>
          <w:lang w:val="ru-RU"/>
        </w:rPr>
      </w:pPr>
      <w:r w:rsidRPr="009E3EBE">
        <w:rPr>
          <w:rFonts w:ascii="Times New Roman" w:eastAsia="Times New Roman" w:hAnsi="Times New Roman" w:cs="Times New Roman"/>
          <w:sz w:val="20"/>
          <w:szCs w:val="20"/>
          <w:lang w:val="ru-RU"/>
        </w:rPr>
        <w:t xml:space="preserve">Источник: составлено по материалам </w:t>
      </w:r>
      <w:r w:rsidRPr="009E3EBE">
        <w:rPr>
          <w:rFonts w:ascii="Times New Roman" w:eastAsia="Times New Roman" w:hAnsi="Times New Roman" w:cs="Times New Roman"/>
          <w:sz w:val="20"/>
          <w:szCs w:val="20"/>
          <w:lang w:val="en-US"/>
        </w:rPr>
        <w:t>[</w:t>
      </w:r>
      <w:r w:rsidR="000D5656" w:rsidRPr="009E3EBE">
        <w:rPr>
          <w:rFonts w:ascii="Times New Roman" w:eastAsia="Times New Roman" w:hAnsi="Times New Roman" w:cs="Times New Roman"/>
          <w:sz w:val="20"/>
          <w:szCs w:val="20"/>
          <w:lang w:val="ru-RU"/>
        </w:rPr>
        <w:t>4</w:t>
      </w:r>
      <w:r w:rsidRPr="009E3EBE">
        <w:rPr>
          <w:rFonts w:ascii="Times New Roman" w:eastAsia="Times New Roman" w:hAnsi="Times New Roman" w:cs="Times New Roman"/>
          <w:sz w:val="20"/>
          <w:szCs w:val="20"/>
          <w:lang w:val="en-US"/>
        </w:rPr>
        <w:t>]</w:t>
      </w:r>
    </w:p>
    <w:p w14:paraId="64E7878C" w14:textId="746C0A6B" w:rsidR="00804539" w:rsidRPr="009E3EBE" w:rsidRDefault="00541090" w:rsidP="00B17101">
      <w:pPr>
        <w:spacing w:line="240" w:lineRule="auto"/>
        <w:contextualSpacing/>
        <w:jc w:val="both"/>
        <w:rPr>
          <w:rFonts w:ascii="Times New Roman" w:eastAsia="Times New Roman" w:hAnsi="Times New Roman" w:cs="Times New Roman"/>
          <w:sz w:val="24"/>
          <w:szCs w:val="24"/>
          <w:lang w:val="ru-RU"/>
        </w:rPr>
      </w:pPr>
      <w:r w:rsidRPr="009E3EBE">
        <w:rPr>
          <w:rFonts w:ascii="Georgia" w:hAnsi="Georgia"/>
          <w:color w:val="292929"/>
          <w:spacing w:val="-1"/>
          <w:sz w:val="30"/>
          <w:szCs w:val="30"/>
          <w:shd w:val="clear" w:color="auto" w:fill="FFFFFF"/>
          <w:lang w:val="ru-RU"/>
        </w:rPr>
        <w:tab/>
      </w:r>
      <w:r w:rsidR="00B17101" w:rsidRPr="009E3EBE">
        <w:rPr>
          <w:rFonts w:ascii="Times New Roman" w:eastAsia="Times New Roman" w:hAnsi="Times New Roman" w:cs="Times New Roman"/>
          <w:sz w:val="24"/>
          <w:szCs w:val="24"/>
          <w:lang w:val="ru-RU"/>
        </w:rPr>
        <w:t xml:space="preserve">Выбор солнечных генераторов не в последнюю очередь обусловлен тем, что на всей территории РС солнце светит более 2000 часов в год. </w:t>
      </w:r>
      <w:r w:rsidR="00BA197F" w:rsidRPr="009E3EBE">
        <w:rPr>
          <w:rFonts w:ascii="Times New Roman" w:eastAsia="Times New Roman" w:hAnsi="Times New Roman" w:cs="Times New Roman"/>
          <w:sz w:val="24"/>
          <w:szCs w:val="24"/>
          <w:lang w:val="ru-RU"/>
        </w:rPr>
        <w:t xml:space="preserve">Еще в 2021 г. в рамках ВЭФ-2021 была запущена в эксплуатацию первая автоматизированная гибридная электростанция на дизельном топливе и солнечной энергии в </w:t>
      </w:r>
      <w:r w:rsidR="00B17101" w:rsidRPr="009E3EBE">
        <w:rPr>
          <w:rFonts w:ascii="Times New Roman" w:eastAsia="Times New Roman" w:hAnsi="Times New Roman" w:cs="Times New Roman"/>
          <w:sz w:val="24"/>
          <w:szCs w:val="24"/>
          <w:lang w:val="ru-RU"/>
        </w:rPr>
        <w:t xml:space="preserve">изолированном </w:t>
      </w:r>
      <w:r w:rsidR="00BA197F" w:rsidRPr="009E3EBE">
        <w:rPr>
          <w:rFonts w:ascii="Times New Roman" w:eastAsia="Times New Roman" w:hAnsi="Times New Roman" w:cs="Times New Roman"/>
          <w:sz w:val="24"/>
          <w:szCs w:val="24"/>
          <w:lang w:val="ru-RU"/>
        </w:rPr>
        <w:t xml:space="preserve">поселке </w:t>
      </w:r>
      <w:proofErr w:type="spellStart"/>
      <w:r w:rsidR="00BA197F" w:rsidRPr="009E3EBE">
        <w:rPr>
          <w:rFonts w:ascii="Times New Roman" w:eastAsia="Times New Roman" w:hAnsi="Times New Roman" w:cs="Times New Roman"/>
          <w:sz w:val="24"/>
          <w:szCs w:val="24"/>
          <w:lang w:val="ru-RU"/>
        </w:rPr>
        <w:t>Улахан-Кюель</w:t>
      </w:r>
      <w:proofErr w:type="spellEnd"/>
      <w:r w:rsidR="00BA197F" w:rsidRPr="009E3EBE">
        <w:rPr>
          <w:rFonts w:ascii="Times New Roman" w:eastAsia="Times New Roman" w:hAnsi="Times New Roman" w:cs="Times New Roman"/>
          <w:sz w:val="24"/>
          <w:szCs w:val="24"/>
          <w:lang w:val="ru-RU"/>
        </w:rPr>
        <w:t>. Мощность электростанции составляет 1125 кВт, включая солнечную генерацию 400 кВт. Такой опыт говорит о большой перспективе автономных гибридных энергетическим систем (</w:t>
      </w:r>
      <w:r w:rsidRPr="009E3EBE">
        <w:rPr>
          <w:rFonts w:ascii="Times New Roman" w:eastAsia="Times New Roman" w:hAnsi="Times New Roman" w:cs="Times New Roman"/>
          <w:sz w:val="24"/>
          <w:szCs w:val="24"/>
          <w:lang w:val="ru-RU"/>
        </w:rPr>
        <w:t>АГЭ</w:t>
      </w:r>
      <w:r w:rsidR="00BA197F" w:rsidRPr="009E3EBE">
        <w:rPr>
          <w:rFonts w:ascii="Times New Roman" w:eastAsia="Times New Roman" w:hAnsi="Times New Roman" w:cs="Times New Roman"/>
          <w:sz w:val="24"/>
          <w:szCs w:val="24"/>
          <w:lang w:val="ru-RU"/>
        </w:rPr>
        <w:t>С). Г</w:t>
      </w:r>
      <w:r w:rsidR="008A6347" w:rsidRPr="009E3EBE">
        <w:rPr>
          <w:rFonts w:ascii="Times New Roman" w:eastAsia="Times New Roman" w:hAnsi="Times New Roman" w:cs="Times New Roman"/>
          <w:sz w:val="24"/>
          <w:szCs w:val="24"/>
          <w:lang w:val="ru-RU"/>
        </w:rPr>
        <w:t xml:space="preserve">лавная отличительная особенность </w:t>
      </w:r>
      <w:r w:rsidR="00BA197F" w:rsidRPr="009E3EBE">
        <w:rPr>
          <w:rFonts w:ascii="Times New Roman" w:eastAsia="Times New Roman" w:hAnsi="Times New Roman" w:cs="Times New Roman"/>
          <w:sz w:val="24"/>
          <w:szCs w:val="24"/>
          <w:lang w:val="ru-RU"/>
        </w:rPr>
        <w:t>— это</w:t>
      </w:r>
      <w:r w:rsidR="008A6347" w:rsidRPr="009E3EBE">
        <w:rPr>
          <w:rFonts w:ascii="Times New Roman" w:eastAsia="Times New Roman" w:hAnsi="Times New Roman" w:cs="Times New Roman"/>
          <w:sz w:val="24"/>
          <w:szCs w:val="24"/>
          <w:lang w:val="ru-RU"/>
        </w:rPr>
        <w:t xml:space="preserve"> наличие единого контура оптимального управления всеми входящими в такую энергосистему источниками энергии: дизельными, солнечными, ветровыми генераторами, накопителями энергии и регулируемой нагрузкой на стороне потребителей. Цель такого управления — динамическая, адаптивно подстраивающаяся под природные и погодные условия, а также изменяющиеся нужды потребителей оптимизация их энергоснабжения по тем критериям, которые наиболее важны на этой территории: стоимости, автономности или экологичности</w:t>
      </w:r>
      <w:r w:rsidR="00BA197F" w:rsidRPr="009E3EBE">
        <w:rPr>
          <w:rFonts w:ascii="Times New Roman" w:eastAsia="Times New Roman" w:hAnsi="Times New Roman" w:cs="Times New Roman"/>
          <w:sz w:val="24"/>
          <w:szCs w:val="24"/>
          <w:lang w:val="ru-RU"/>
        </w:rPr>
        <w:t xml:space="preserve"> (хотя вопросы экологичности здесь являются наименее приоритетными)</w:t>
      </w:r>
      <w:r w:rsidR="008A6347" w:rsidRPr="009E3EBE">
        <w:rPr>
          <w:rFonts w:ascii="Times New Roman" w:eastAsia="Times New Roman" w:hAnsi="Times New Roman" w:cs="Times New Roman"/>
          <w:sz w:val="24"/>
          <w:szCs w:val="24"/>
          <w:lang w:val="ru-RU"/>
        </w:rPr>
        <w:t xml:space="preserve">. </w:t>
      </w:r>
      <w:r w:rsidR="00804539" w:rsidRPr="009E3EBE">
        <w:rPr>
          <w:rFonts w:ascii="Times New Roman" w:eastAsia="Times New Roman" w:hAnsi="Times New Roman" w:cs="Times New Roman"/>
          <w:sz w:val="24"/>
          <w:szCs w:val="24"/>
          <w:lang w:val="ru-RU"/>
        </w:rPr>
        <w:t xml:space="preserve"> </w:t>
      </w:r>
    </w:p>
    <w:p w14:paraId="77FCD77A" w14:textId="581D1E03" w:rsidR="000F57A5" w:rsidRPr="009E3EBE" w:rsidRDefault="00804539" w:rsidP="00243CFE">
      <w:pPr>
        <w:spacing w:line="240" w:lineRule="auto"/>
        <w:ind w:firstLine="720"/>
        <w:contextualSpacing/>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 xml:space="preserve">Такие системы позволят увеличить энергетическую безопасность региона, а именно: повысить выработку электроэнергии с одновременным снижением доли </w:t>
      </w:r>
      <w:r w:rsidR="00BD25D9" w:rsidRPr="009E3EBE">
        <w:rPr>
          <w:rFonts w:ascii="Times New Roman" w:hAnsi="Times New Roman" w:cs="Times New Roman"/>
          <w:sz w:val="24"/>
          <w:szCs w:val="24"/>
          <w:lang w:val="ru-RU"/>
        </w:rPr>
        <w:t xml:space="preserve">использования </w:t>
      </w:r>
      <w:r w:rsidRPr="009E3EBE">
        <w:rPr>
          <w:rFonts w:ascii="Times New Roman" w:hAnsi="Times New Roman" w:cs="Times New Roman"/>
          <w:sz w:val="24"/>
          <w:szCs w:val="24"/>
          <w:lang w:val="ru-RU"/>
        </w:rPr>
        <w:t xml:space="preserve">ДЭС; обновить изношенные основные фонды существующих </w:t>
      </w:r>
      <w:r w:rsidR="000F57A5" w:rsidRPr="009E3EBE">
        <w:rPr>
          <w:rFonts w:ascii="Times New Roman" w:hAnsi="Times New Roman" w:cs="Times New Roman"/>
          <w:sz w:val="24"/>
          <w:szCs w:val="24"/>
          <w:lang w:val="ru-RU"/>
        </w:rPr>
        <w:t xml:space="preserve">энергетических </w:t>
      </w:r>
      <w:r w:rsidRPr="009E3EBE">
        <w:rPr>
          <w:rFonts w:ascii="Times New Roman" w:hAnsi="Times New Roman" w:cs="Times New Roman"/>
          <w:sz w:val="24"/>
          <w:szCs w:val="24"/>
          <w:lang w:val="ru-RU"/>
        </w:rPr>
        <w:t>систем;</w:t>
      </w:r>
      <w:r w:rsidR="000F57A5" w:rsidRPr="009E3EBE">
        <w:rPr>
          <w:rFonts w:ascii="Times New Roman" w:hAnsi="Times New Roman" w:cs="Times New Roman"/>
          <w:sz w:val="24"/>
          <w:szCs w:val="24"/>
          <w:lang w:val="ru-RU"/>
        </w:rPr>
        <w:t xml:space="preserve"> снизить нагрузку на бюджет региона за счет более низкой себестоимости производства электроэнергии. То есть, внедрение АГЭС с использованием ВИЭ (в частности, СЭС) позволит решить те угрозы энергетической безопасности, которые</w:t>
      </w:r>
      <w:r w:rsidR="00BD25D9" w:rsidRPr="009E3EBE">
        <w:rPr>
          <w:rFonts w:ascii="Times New Roman" w:hAnsi="Times New Roman" w:cs="Times New Roman"/>
          <w:sz w:val="24"/>
          <w:szCs w:val="24"/>
          <w:lang w:val="ru-RU"/>
        </w:rPr>
        <w:t xml:space="preserve"> сформированы на данный момент</w:t>
      </w:r>
      <w:r w:rsidR="000F57A5" w:rsidRPr="009E3EBE">
        <w:rPr>
          <w:rFonts w:ascii="Times New Roman" w:hAnsi="Times New Roman" w:cs="Times New Roman"/>
          <w:sz w:val="24"/>
          <w:szCs w:val="24"/>
          <w:lang w:val="ru-RU"/>
        </w:rPr>
        <w:t xml:space="preserve">. </w:t>
      </w:r>
    </w:p>
    <w:p w14:paraId="451CC2F7" w14:textId="6E604824" w:rsidR="000C17B4" w:rsidRPr="009E3EBE" w:rsidRDefault="000F57A5" w:rsidP="00DF2156">
      <w:pPr>
        <w:spacing w:line="240" w:lineRule="auto"/>
        <w:ind w:firstLine="720"/>
        <w:contextualSpacing/>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Вместе с тем, эффективность процесса внедрения напрямую зависит от темпов установки новых систем. Опыт ПАО «РусГидро» в разработке</w:t>
      </w:r>
      <w:r w:rsidR="000D1086" w:rsidRPr="009E3EBE">
        <w:rPr>
          <w:rFonts w:ascii="Times New Roman" w:hAnsi="Times New Roman" w:cs="Times New Roman"/>
          <w:sz w:val="24"/>
          <w:szCs w:val="24"/>
          <w:lang w:val="ru-RU"/>
        </w:rPr>
        <w:t xml:space="preserve"> АГЭС</w:t>
      </w:r>
      <w:r w:rsidRPr="009E3EBE">
        <w:rPr>
          <w:rFonts w:ascii="Times New Roman" w:hAnsi="Times New Roman" w:cs="Times New Roman"/>
          <w:sz w:val="24"/>
          <w:szCs w:val="24"/>
          <w:lang w:val="ru-RU"/>
        </w:rPr>
        <w:t xml:space="preserve"> в децентрализованной энергетике крайне полезен, но недостаточен для полноценно</w:t>
      </w:r>
      <w:r w:rsidR="000D1086" w:rsidRPr="009E3EBE">
        <w:rPr>
          <w:rFonts w:ascii="Times New Roman" w:hAnsi="Times New Roman" w:cs="Times New Roman"/>
          <w:sz w:val="24"/>
          <w:szCs w:val="24"/>
          <w:lang w:val="ru-RU"/>
        </w:rPr>
        <w:t xml:space="preserve">го обновления и модернизации существующих ДЭС в РС. Для повышения эффективности данного процесса необходимо привлекать частные инвестиции, что также является непростой задачей. </w:t>
      </w:r>
    </w:p>
    <w:p w14:paraId="79BBB5E0" w14:textId="77777777" w:rsidR="00DF2156" w:rsidRPr="009E3EBE" w:rsidRDefault="00DF2156" w:rsidP="00DF2156">
      <w:pPr>
        <w:spacing w:line="240" w:lineRule="auto"/>
        <w:ind w:firstLine="720"/>
        <w:contextualSpacing/>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 xml:space="preserve">Представители малого и среднего бизнеса (МСБ), готовые приступить к строительству новых объектов на ДВ (в частности - РС) столкнутся со следующими проблемами: сложность получения кредита; высокие проценты по кредиту в случае его получения; отсутствие или нехватка активов, предоставляемых банку под залог. Более того, высокий процент по кредиту сделает вовсе невозможным и нерентабельным проект, что нивелирует все планы по его реализации. </w:t>
      </w:r>
    </w:p>
    <w:p w14:paraId="7D1CFC41" w14:textId="661E7FA6" w:rsidR="00DF2156" w:rsidRPr="009E3EBE" w:rsidRDefault="001E71C8" w:rsidP="00DF2156">
      <w:pPr>
        <w:spacing w:line="240" w:lineRule="auto"/>
        <w:ind w:firstLine="720"/>
        <w:contextualSpacing/>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 xml:space="preserve">Таким образом можно предложить </w:t>
      </w:r>
      <w:r w:rsidR="00DF2156" w:rsidRPr="009E3EBE">
        <w:rPr>
          <w:rFonts w:ascii="Times New Roman" w:hAnsi="Times New Roman" w:cs="Times New Roman"/>
          <w:sz w:val="24"/>
          <w:szCs w:val="24"/>
          <w:lang w:val="ru-RU"/>
        </w:rPr>
        <w:t xml:space="preserve">следующие </w:t>
      </w:r>
      <w:r w:rsidR="00BD25D9" w:rsidRPr="009E3EBE">
        <w:rPr>
          <w:rFonts w:ascii="Times New Roman" w:hAnsi="Times New Roman" w:cs="Times New Roman"/>
          <w:sz w:val="24"/>
          <w:szCs w:val="24"/>
          <w:lang w:val="ru-RU"/>
        </w:rPr>
        <w:t xml:space="preserve">меры по повышению эффективности </w:t>
      </w:r>
      <w:r w:rsidR="00DF2156" w:rsidRPr="009E3EBE">
        <w:rPr>
          <w:rFonts w:ascii="Times New Roman" w:hAnsi="Times New Roman" w:cs="Times New Roman"/>
          <w:sz w:val="24"/>
          <w:szCs w:val="24"/>
          <w:lang w:val="ru-RU"/>
        </w:rPr>
        <w:t xml:space="preserve">привлечения частных инвестиций: </w:t>
      </w:r>
    </w:p>
    <w:p w14:paraId="438E1CBF" w14:textId="18A48F70" w:rsidR="00FE5CFE" w:rsidRPr="009E3EBE" w:rsidRDefault="00FE5CFE" w:rsidP="00DF2156">
      <w:pPr>
        <w:pStyle w:val="ListParagraph"/>
        <w:numPr>
          <w:ilvl w:val="0"/>
          <w:numId w:val="17"/>
        </w:numPr>
        <w:spacing w:line="240" w:lineRule="auto"/>
        <w:jc w:val="both"/>
        <w:rPr>
          <w:rFonts w:ascii="Times New Roman" w:hAnsi="Times New Roman" w:cs="Times New Roman"/>
          <w:color w:val="000000"/>
          <w:sz w:val="24"/>
          <w:szCs w:val="24"/>
          <w:lang w:val="ru-RU"/>
        </w:rPr>
      </w:pPr>
      <w:r w:rsidRPr="009E3EBE">
        <w:rPr>
          <w:rFonts w:ascii="Times New Roman" w:hAnsi="Times New Roman" w:cs="Times New Roman"/>
          <w:color w:val="000000"/>
          <w:sz w:val="24"/>
          <w:szCs w:val="24"/>
          <w:lang w:val="ru-RU"/>
        </w:rPr>
        <w:t xml:space="preserve">Реализация государственно – частного партнерства (ГЧП) в сфере строительства АГЭС на изолированных территориях РС. На «Восточно-Экономическом форуме – 2022» говорилось, что на всем Дальнем Востоке к ГЧП в области </w:t>
      </w:r>
      <w:proofErr w:type="spellStart"/>
      <w:r w:rsidRPr="009E3EBE">
        <w:rPr>
          <w:rFonts w:ascii="Times New Roman" w:hAnsi="Times New Roman" w:cs="Times New Roman"/>
          <w:color w:val="000000"/>
          <w:sz w:val="24"/>
          <w:szCs w:val="24"/>
          <w:lang w:val="ru-RU"/>
        </w:rPr>
        <w:t>жилищно</w:t>
      </w:r>
      <w:proofErr w:type="spellEnd"/>
      <w:r w:rsidRPr="009E3EBE">
        <w:rPr>
          <w:rFonts w:ascii="Times New Roman" w:hAnsi="Times New Roman" w:cs="Times New Roman"/>
          <w:color w:val="000000"/>
          <w:sz w:val="24"/>
          <w:szCs w:val="24"/>
          <w:lang w:val="ru-RU"/>
        </w:rPr>
        <w:t xml:space="preserve"> – коммунального хозяйства относится 440 проектов на сумму 140 миллиардов рублей</w:t>
      </w:r>
      <w:r w:rsidR="00FB2AA4" w:rsidRPr="009E3EBE">
        <w:rPr>
          <w:rFonts w:ascii="Times New Roman" w:hAnsi="Times New Roman" w:cs="Times New Roman"/>
          <w:color w:val="000000"/>
          <w:sz w:val="24"/>
          <w:szCs w:val="24"/>
          <w:lang w:val="ru-RU"/>
        </w:rPr>
        <w:t xml:space="preserve">, однако до сих пор проекты распределенной энергетики не входят в их перечень. </w:t>
      </w:r>
      <w:r w:rsidR="00C058DE" w:rsidRPr="009E3EBE">
        <w:rPr>
          <w:rFonts w:ascii="Times New Roman" w:hAnsi="Times New Roman" w:cs="Times New Roman"/>
          <w:color w:val="000000"/>
          <w:sz w:val="24"/>
          <w:szCs w:val="24"/>
          <w:lang w:val="ru-RU"/>
        </w:rPr>
        <w:t>Закрепление статуса ГЧП проекта по модернизации действующей электроэнергетической системы и внесени</w:t>
      </w:r>
      <w:r w:rsidR="002B0300" w:rsidRPr="009E3EBE">
        <w:rPr>
          <w:rFonts w:ascii="Times New Roman" w:hAnsi="Times New Roman" w:cs="Times New Roman"/>
          <w:color w:val="000000"/>
          <w:sz w:val="24"/>
          <w:szCs w:val="24"/>
          <w:lang w:val="ru-RU"/>
        </w:rPr>
        <w:t>е</w:t>
      </w:r>
      <w:r w:rsidR="00C058DE" w:rsidRPr="009E3EBE">
        <w:rPr>
          <w:rFonts w:ascii="Times New Roman" w:hAnsi="Times New Roman" w:cs="Times New Roman"/>
          <w:color w:val="000000"/>
          <w:sz w:val="24"/>
          <w:szCs w:val="24"/>
          <w:lang w:val="ru-RU"/>
        </w:rPr>
        <w:t xml:space="preserve"> его в реестр «</w:t>
      </w:r>
      <w:proofErr w:type="spellStart"/>
      <w:r w:rsidR="00C058DE" w:rsidRPr="009E3EBE">
        <w:rPr>
          <w:rFonts w:ascii="Times New Roman" w:hAnsi="Times New Roman" w:cs="Times New Roman"/>
          <w:color w:val="000000"/>
          <w:sz w:val="24"/>
          <w:szCs w:val="24"/>
          <w:lang w:val="ru-RU"/>
        </w:rPr>
        <w:t>Росинфра</w:t>
      </w:r>
      <w:proofErr w:type="spellEnd"/>
      <w:r w:rsidR="00C058DE" w:rsidRPr="009E3EBE">
        <w:rPr>
          <w:rFonts w:ascii="Times New Roman" w:hAnsi="Times New Roman" w:cs="Times New Roman"/>
          <w:color w:val="000000"/>
          <w:sz w:val="24"/>
          <w:szCs w:val="24"/>
          <w:lang w:val="ru-RU"/>
        </w:rPr>
        <w:t xml:space="preserve">» позволит решить </w:t>
      </w:r>
      <w:r w:rsidR="00FB2AA4" w:rsidRPr="009E3EBE">
        <w:rPr>
          <w:rFonts w:ascii="Times New Roman" w:hAnsi="Times New Roman" w:cs="Times New Roman"/>
          <w:color w:val="000000"/>
          <w:sz w:val="24"/>
          <w:szCs w:val="24"/>
          <w:lang w:val="ru-RU"/>
        </w:rPr>
        <w:t xml:space="preserve">три основные </w:t>
      </w:r>
      <w:r w:rsidR="00C058DE" w:rsidRPr="009E3EBE">
        <w:rPr>
          <w:rFonts w:ascii="Times New Roman" w:hAnsi="Times New Roman" w:cs="Times New Roman"/>
          <w:color w:val="000000"/>
          <w:sz w:val="24"/>
          <w:szCs w:val="24"/>
          <w:lang w:val="ru-RU"/>
        </w:rPr>
        <w:t>проблемы для частного инвестора: снизить срок окупаемости проекта</w:t>
      </w:r>
      <w:r w:rsidR="00FB2AA4" w:rsidRPr="009E3EBE">
        <w:rPr>
          <w:rFonts w:ascii="Times New Roman" w:hAnsi="Times New Roman" w:cs="Times New Roman"/>
          <w:color w:val="000000"/>
          <w:sz w:val="24"/>
          <w:szCs w:val="24"/>
          <w:lang w:val="ru-RU"/>
        </w:rPr>
        <w:t xml:space="preserve">; </w:t>
      </w:r>
      <w:r w:rsidR="00C058DE" w:rsidRPr="009E3EBE">
        <w:rPr>
          <w:rFonts w:ascii="Times New Roman" w:hAnsi="Times New Roman" w:cs="Times New Roman"/>
          <w:color w:val="000000"/>
          <w:sz w:val="24"/>
          <w:szCs w:val="24"/>
          <w:lang w:val="ru-RU"/>
        </w:rPr>
        <w:t>повысить его рентабельность; диверсифицировать риски, связанные с проектом</w:t>
      </w:r>
      <w:r w:rsidR="00FB2AA4" w:rsidRPr="009E3EBE">
        <w:rPr>
          <w:rFonts w:ascii="Times New Roman" w:hAnsi="Times New Roman" w:cs="Times New Roman"/>
          <w:color w:val="000000"/>
          <w:sz w:val="24"/>
          <w:szCs w:val="24"/>
          <w:lang w:val="ru-RU"/>
        </w:rPr>
        <w:t>.</w:t>
      </w:r>
    </w:p>
    <w:p w14:paraId="50F8FAF9" w14:textId="77777777" w:rsidR="00BD25D9" w:rsidRPr="009E3EBE" w:rsidRDefault="009B754B" w:rsidP="00BD25D9">
      <w:pPr>
        <w:pStyle w:val="ListParagraph"/>
        <w:numPr>
          <w:ilvl w:val="0"/>
          <w:numId w:val="17"/>
        </w:numPr>
        <w:spacing w:line="240" w:lineRule="auto"/>
        <w:jc w:val="both"/>
        <w:rPr>
          <w:rFonts w:ascii="Times New Roman" w:hAnsi="Times New Roman" w:cs="Times New Roman"/>
          <w:color w:val="000000"/>
          <w:sz w:val="24"/>
          <w:szCs w:val="24"/>
          <w:lang w:val="ru-RU"/>
        </w:rPr>
      </w:pPr>
      <w:r w:rsidRPr="009E3EBE">
        <w:rPr>
          <w:rFonts w:ascii="Times New Roman" w:hAnsi="Times New Roman" w:cs="Times New Roman"/>
          <w:color w:val="000000"/>
          <w:sz w:val="24"/>
          <w:szCs w:val="24"/>
          <w:lang w:val="ru-RU"/>
        </w:rPr>
        <w:t xml:space="preserve">Частичное финансирование из </w:t>
      </w:r>
      <w:r w:rsidR="00FB2AA4" w:rsidRPr="009E3EBE">
        <w:rPr>
          <w:rFonts w:ascii="Times New Roman" w:hAnsi="Times New Roman" w:cs="Times New Roman"/>
          <w:color w:val="000000"/>
          <w:sz w:val="24"/>
          <w:szCs w:val="24"/>
          <w:lang w:val="ru-RU"/>
        </w:rPr>
        <w:t xml:space="preserve">средств </w:t>
      </w:r>
      <w:r w:rsidRPr="009E3EBE">
        <w:rPr>
          <w:rFonts w:ascii="Times New Roman" w:hAnsi="Times New Roman" w:cs="Times New Roman"/>
          <w:color w:val="000000"/>
          <w:sz w:val="24"/>
          <w:szCs w:val="24"/>
          <w:lang w:val="ru-RU"/>
        </w:rPr>
        <w:t>государственного «Фонда Развития Дальнего Востока и Арктики» (под управлением ВЭБ.РФ), а также «</w:t>
      </w:r>
      <w:r w:rsidR="00FB2AA4" w:rsidRPr="009E3EBE">
        <w:rPr>
          <w:rFonts w:ascii="Times New Roman" w:hAnsi="Times New Roman" w:cs="Times New Roman"/>
          <w:color w:val="000000"/>
          <w:sz w:val="24"/>
          <w:szCs w:val="24"/>
          <w:lang w:val="ru-RU"/>
        </w:rPr>
        <w:t>Фонда содействия реформированию жилищно-коммунального хозяйства</w:t>
      </w:r>
      <w:r w:rsidRPr="009E3EBE">
        <w:rPr>
          <w:rFonts w:ascii="Times New Roman" w:hAnsi="Times New Roman" w:cs="Times New Roman"/>
          <w:color w:val="000000"/>
          <w:sz w:val="24"/>
          <w:szCs w:val="24"/>
          <w:lang w:val="ru-RU"/>
        </w:rPr>
        <w:t>»</w:t>
      </w:r>
      <w:r w:rsidR="00FB2AA4" w:rsidRPr="009E3EBE">
        <w:rPr>
          <w:rFonts w:ascii="Times New Roman" w:hAnsi="Times New Roman" w:cs="Times New Roman"/>
          <w:color w:val="000000"/>
          <w:sz w:val="24"/>
          <w:szCs w:val="24"/>
          <w:lang w:val="ru-RU"/>
        </w:rPr>
        <w:t xml:space="preserve">. </w:t>
      </w:r>
      <w:r w:rsidR="007F3FA1" w:rsidRPr="009E3EBE">
        <w:rPr>
          <w:rFonts w:ascii="Times New Roman" w:hAnsi="Times New Roman" w:cs="Times New Roman"/>
          <w:color w:val="000000"/>
          <w:sz w:val="24"/>
          <w:szCs w:val="24"/>
          <w:lang w:val="ru-RU"/>
        </w:rPr>
        <w:t xml:space="preserve">Представленная </w:t>
      </w:r>
      <w:r w:rsidRPr="009E3EBE">
        <w:rPr>
          <w:rFonts w:ascii="Times New Roman" w:hAnsi="Times New Roman" w:cs="Times New Roman"/>
          <w:color w:val="000000"/>
          <w:sz w:val="24"/>
          <w:szCs w:val="24"/>
          <w:lang w:val="ru-RU"/>
        </w:rPr>
        <w:t xml:space="preserve">раннее </w:t>
      </w:r>
      <w:r w:rsidR="007F3FA1" w:rsidRPr="009E3EBE">
        <w:rPr>
          <w:rFonts w:ascii="Times New Roman" w:hAnsi="Times New Roman" w:cs="Times New Roman"/>
          <w:color w:val="000000"/>
          <w:sz w:val="24"/>
          <w:szCs w:val="24"/>
          <w:lang w:val="ru-RU"/>
        </w:rPr>
        <w:t xml:space="preserve">дорожная карта подходит под критерии </w:t>
      </w:r>
      <w:r w:rsidR="007F3FA1" w:rsidRPr="009E3EBE">
        <w:rPr>
          <w:rFonts w:ascii="Times New Roman" w:hAnsi="Times New Roman" w:cs="Times New Roman"/>
          <w:color w:val="202122"/>
          <w:sz w:val="24"/>
          <w:szCs w:val="24"/>
          <w:shd w:val="clear" w:color="auto" w:fill="FFFFFF"/>
          <w:lang w:val="ru-RU"/>
        </w:rPr>
        <w:t>реализации региональных адресных программ</w:t>
      </w:r>
      <w:r w:rsidRPr="009E3EBE">
        <w:rPr>
          <w:rFonts w:ascii="Times New Roman" w:hAnsi="Times New Roman" w:cs="Times New Roman"/>
          <w:color w:val="202122"/>
          <w:sz w:val="24"/>
          <w:szCs w:val="24"/>
          <w:shd w:val="clear" w:color="auto" w:fill="FFFFFF"/>
          <w:lang w:val="ru-RU"/>
        </w:rPr>
        <w:t xml:space="preserve"> фондов</w:t>
      </w:r>
      <w:r w:rsidR="007F3FA1" w:rsidRPr="009E3EBE">
        <w:rPr>
          <w:rFonts w:ascii="Times New Roman" w:hAnsi="Times New Roman" w:cs="Times New Roman"/>
          <w:color w:val="202122"/>
          <w:sz w:val="24"/>
          <w:szCs w:val="24"/>
          <w:shd w:val="clear" w:color="auto" w:fill="FFFFFF"/>
          <w:lang w:val="ru-RU"/>
        </w:rPr>
        <w:t>.</w:t>
      </w:r>
    </w:p>
    <w:p w14:paraId="49206BE9" w14:textId="5A2ED046" w:rsidR="00BD25D9" w:rsidRPr="009E3EBE" w:rsidRDefault="002C0E63" w:rsidP="00BD25D9">
      <w:pPr>
        <w:pStyle w:val="ListParagraph"/>
        <w:numPr>
          <w:ilvl w:val="0"/>
          <w:numId w:val="17"/>
        </w:numPr>
        <w:spacing w:line="240" w:lineRule="auto"/>
        <w:jc w:val="both"/>
        <w:rPr>
          <w:rFonts w:ascii="Times New Roman" w:hAnsi="Times New Roman" w:cs="Times New Roman"/>
          <w:color w:val="000000"/>
          <w:sz w:val="24"/>
          <w:szCs w:val="24"/>
          <w:lang w:val="ru-RU"/>
        </w:rPr>
      </w:pPr>
      <w:r w:rsidRPr="009E3EBE">
        <w:rPr>
          <w:rFonts w:ascii="Times New Roman" w:hAnsi="Times New Roman" w:cs="Times New Roman"/>
          <w:color w:val="000000"/>
          <w:sz w:val="24"/>
          <w:szCs w:val="24"/>
          <w:lang w:val="ru-RU"/>
        </w:rPr>
        <w:t xml:space="preserve">Утверждение типовых договоров на </w:t>
      </w:r>
      <w:proofErr w:type="spellStart"/>
      <w:r w:rsidRPr="009E3EBE">
        <w:rPr>
          <w:rFonts w:ascii="Times New Roman" w:hAnsi="Times New Roman" w:cs="Times New Roman"/>
          <w:color w:val="000000"/>
          <w:sz w:val="24"/>
          <w:szCs w:val="24"/>
          <w:lang w:val="ru-RU"/>
        </w:rPr>
        <w:t>энергосервис</w:t>
      </w:r>
      <w:proofErr w:type="spellEnd"/>
      <w:r w:rsidRPr="009E3EBE">
        <w:rPr>
          <w:rFonts w:ascii="Times New Roman" w:hAnsi="Times New Roman" w:cs="Times New Roman"/>
          <w:color w:val="000000"/>
          <w:sz w:val="24"/>
          <w:szCs w:val="24"/>
          <w:lang w:val="ru-RU"/>
        </w:rPr>
        <w:t>, концессию и гарантированное энергоснабжение, разработка механизма интегрированного энергетического контракта. Осо</w:t>
      </w:r>
      <w:r w:rsidRPr="009E3EBE">
        <w:rPr>
          <w:rFonts w:ascii="Times New Roman" w:hAnsi="Times New Roman" w:cs="Times New Roman"/>
          <w:color w:val="000000"/>
          <w:sz w:val="24"/>
          <w:szCs w:val="24"/>
          <w:lang w:val="ru-RU"/>
        </w:rPr>
        <w:lastRenderedPageBreak/>
        <w:t xml:space="preserve">бое внимание стоит уделить интегрированному энергетическому контракту: в его рамках частный инвестор сможет получать </w:t>
      </w:r>
      <w:r w:rsidR="0061750E" w:rsidRPr="009E3EBE">
        <w:rPr>
          <w:rFonts w:ascii="Times New Roman" w:hAnsi="Times New Roman" w:cs="Times New Roman"/>
          <w:color w:val="000000"/>
          <w:sz w:val="24"/>
          <w:szCs w:val="24"/>
          <w:lang w:val="ru-RU"/>
        </w:rPr>
        <w:t>субсидии на ту сумму, на которую удалось снизить себестоимость производства электроэнергии (к примеру, за счет экономии дизельного топлива</w:t>
      </w:r>
      <w:r w:rsidR="00BD25D9" w:rsidRPr="009E3EBE">
        <w:rPr>
          <w:rFonts w:ascii="Times New Roman" w:hAnsi="Times New Roman" w:cs="Times New Roman"/>
          <w:color w:val="000000"/>
          <w:sz w:val="24"/>
          <w:szCs w:val="24"/>
          <w:lang w:val="ru-RU"/>
        </w:rPr>
        <w:t>: на 3 т. кВт*ч приходится примерно 1 т. сэкономленного дизельного топлива.</w:t>
      </w:r>
      <w:r w:rsidR="0061750E" w:rsidRPr="009E3EBE">
        <w:rPr>
          <w:rFonts w:ascii="Times New Roman" w:hAnsi="Times New Roman" w:cs="Times New Roman"/>
          <w:color w:val="000000"/>
          <w:sz w:val="24"/>
          <w:szCs w:val="24"/>
          <w:lang w:val="ru-RU"/>
        </w:rPr>
        <w:t xml:space="preserve">). Такие меры </w:t>
      </w:r>
      <w:r w:rsidR="00BD25D9" w:rsidRPr="009E3EBE">
        <w:rPr>
          <w:rFonts w:ascii="Times New Roman" w:hAnsi="Times New Roman" w:cs="Times New Roman"/>
          <w:color w:val="000000"/>
          <w:sz w:val="24"/>
          <w:szCs w:val="24"/>
          <w:lang w:val="ru-RU"/>
        </w:rPr>
        <w:t>с</w:t>
      </w:r>
      <w:r w:rsidR="0061750E" w:rsidRPr="009E3EBE">
        <w:rPr>
          <w:rFonts w:ascii="Times New Roman" w:hAnsi="Times New Roman" w:cs="Times New Roman"/>
          <w:color w:val="000000"/>
          <w:sz w:val="24"/>
          <w:szCs w:val="24"/>
          <w:lang w:val="ru-RU"/>
        </w:rPr>
        <w:t>могут оставить ту же нагрузку на региональный бюджет,</w:t>
      </w:r>
      <w:r w:rsidR="00BD25D9" w:rsidRPr="009E3EBE">
        <w:rPr>
          <w:rFonts w:ascii="Times New Roman" w:hAnsi="Times New Roman" w:cs="Times New Roman"/>
          <w:color w:val="000000"/>
          <w:sz w:val="24"/>
          <w:szCs w:val="24"/>
          <w:lang w:val="ru-RU"/>
        </w:rPr>
        <w:t xml:space="preserve"> но</w:t>
      </w:r>
      <w:r w:rsidR="0061750E" w:rsidRPr="009E3EBE">
        <w:rPr>
          <w:rFonts w:ascii="Times New Roman" w:hAnsi="Times New Roman" w:cs="Times New Roman"/>
          <w:color w:val="000000"/>
          <w:sz w:val="24"/>
          <w:szCs w:val="24"/>
          <w:lang w:val="ru-RU"/>
        </w:rPr>
        <w:t xml:space="preserve"> перераспределять средства в пользу частного инвестора, и</w:t>
      </w:r>
      <w:r w:rsidR="00BD25D9" w:rsidRPr="009E3EBE">
        <w:rPr>
          <w:rFonts w:ascii="Times New Roman" w:hAnsi="Times New Roman" w:cs="Times New Roman"/>
          <w:color w:val="000000"/>
          <w:sz w:val="24"/>
          <w:szCs w:val="24"/>
          <w:lang w:val="ru-RU"/>
        </w:rPr>
        <w:t xml:space="preserve"> </w:t>
      </w:r>
      <w:r w:rsidR="0061750E" w:rsidRPr="009E3EBE">
        <w:rPr>
          <w:rFonts w:ascii="Times New Roman" w:hAnsi="Times New Roman" w:cs="Times New Roman"/>
          <w:color w:val="000000"/>
          <w:sz w:val="24"/>
          <w:szCs w:val="24"/>
          <w:lang w:val="ru-RU"/>
        </w:rPr>
        <w:t xml:space="preserve">после </w:t>
      </w:r>
      <w:r w:rsidR="00BD25D9" w:rsidRPr="009E3EBE">
        <w:rPr>
          <w:rFonts w:ascii="Times New Roman" w:hAnsi="Times New Roman" w:cs="Times New Roman"/>
          <w:color w:val="000000"/>
          <w:sz w:val="24"/>
          <w:szCs w:val="24"/>
          <w:lang w:val="ru-RU"/>
        </w:rPr>
        <w:t>наступления срока окупаемости проекты, отменить эти меры.</w:t>
      </w:r>
    </w:p>
    <w:p w14:paraId="6AA00A90" w14:textId="7C706458" w:rsidR="0005642D" w:rsidRPr="009E3EBE" w:rsidRDefault="001E71C8" w:rsidP="00BD25D9">
      <w:pPr>
        <w:spacing w:line="240" w:lineRule="auto"/>
        <w:ind w:firstLine="720"/>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 xml:space="preserve">Обобщая все вышесказанное необходимо отметить, </w:t>
      </w:r>
      <w:r w:rsidR="00243CFE" w:rsidRPr="009E3EBE">
        <w:rPr>
          <w:rFonts w:ascii="Times New Roman" w:hAnsi="Times New Roman" w:cs="Times New Roman"/>
          <w:sz w:val="24"/>
          <w:szCs w:val="24"/>
          <w:lang w:val="ru-RU"/>
        </w:rPr>
        <w:t>что в изолированных территориях Республики Саха крайне актуальными остаются вопросы обеспечения энергетической безопасности. Несмотря на то, что на таких территориях повсеместно применяются технологии децентрализованной энергетики, их эффективность может быть улучшена.</w:t>
      </w:r>
      <w:r w:rsidR="00856212" w:rsidRPr="009E3EBE">
        <w:rPr>
          <w:rFonts w:ascii="Times New Roman" w:hAnsi="Times New Roman" w:cs="Times New Roman"/>
          <w:sz w:val="24"/>
          <w:szCs w:val="24"/>
          <w:lang w:val="ru-RU"/>
        </w:rPr>
        <w:t xml:space="preserve"> </w:t>
      </w:r>
      <w:r w:rsidRPr="009E3EBE">
        <w:rPr>
          <w:rFonts w:ascii="Times New Roman" w:hAnsi="Times New Roman" w:cs="Times New Roman"/>
          <w:sz w:val="24"/>
          <w:szCs w:val="24"/>
          <w:lang w:val="ru-RU"/>
        </w:rPr>
        <w:t>К</w:t>
      </w:r>
      <w:r w:rsidR="00243CFE" w:rsidRPr="009E3EBE">
        <w:rPr>
          <w:rFonts w:ascii="Times New Roman" w:hAnsi="Times New Roman" w:cs="Times New Roman"/>
          <w:sz w:val="24"/>
          <w:szCs w:val="24"/>
          <w:lang w:val="ru-RU"/>
        </w:rPr>
        <w:t>омплексы ДЭС</w:t>
      </w:r>
      <w:r w:rsidR="001A08F0" w:rsidRPr="009E3EBE">
        <w:rPr>
          <w:rFonts w:ascii="Times New Roman" w:hAnsi="Times New Roman" w:cs="Times New Roman"/>
          <w:sz w:val="24"/>
          <w:szCs w:val="24"/>
          <w:lang w:val="ru-RU"/>
        </w:rPr>
        <w:t xml:space="preserve"> составляют основу распределенной </w:t>
      </w:r>
      <w:r w:rsidR="004D5C77" w:rsidRPr="009E3EBE">
        <w:rPr>
          <w:rFonts w:ascii="Times New Roman" w:hAnsi="Times New Roman" w:cs="Times New Roman"/>
          <w:sz w:val="24"/>
          <w:szCs w:val="24"/>
          <w:lang w:val="ru-RU"/>
        </w:rPr>
        <w:t>энергетики, поэтому</w:t>
      </w:r>
      <w:r w:rsidR="001A08F0" w:rsidRPr="009E3EBE">
        <w:rPr>
          <w:rFonts w:ascii="Times New Roman" w:hAnsi="Times New Roman" w:cs="Times New Roman"/>
          <w:sz w:val="24"/>
          <w:szCs w:val="24"/>
          <w:lang w:val="ru-RU"/>
        </w:rPr>
        <w:t xml:space="preserve"> не могут быть </w:t>
      </w:r>
      <w:r w:rsidR="004D5C77" w:rsidRPr="009E3EBE">
        <w:rPr>
          <w:rFonts w:ascii="Times New Roman" w:hAnsi="Times New Roman" w:cs="Times New Roman"/>
          <w:sz w:val="24"/>
          <w:szCs w:val="24"/>
          <w:lang w:val="ru-RU"/>
        </w:rPr>
        <w:t xml:space="preserve">полностью заменены чем-то другим в короткие сроки (в абсолютно полной замене и нет острой необходимости). Вместо этого, должен быть выбран </w:t>
      </w:r>
      <w:r w:rsidR="00243CFE" w:rsidRPr="009E3EBE">
        <w:rPr>
          <w:rFonts w:ascii="Times New Roman" w:hAnsi="Times New Roman" w:cs="Times New Roman"/>
          <w:sz w:val="24"/>
          <w:szCs w:val="24"/>
          <w:lang w:val="ru-RU"/>
        </w:rPr>
        <w:t>пут</w:t>
      </w:r>
      <w:r w:rsidR="004D5C77" w:rsidRPr="009E3EBE">
        <w:rPr>
          <w:rFonts w:ascii="Times New Roman" w:hAnsi="Times New Roman" w:cs="Times New Roman"/>
          <w:sz w:val="24"/>
          <w:szCs w:val="24"/>
          <w:lang w:val="ru-RU"/>
        </w:rPr>
        <w:t>ь</w:t>
      </w:r>
      <w:r w:rsidR="00243CFE" w:rsidRPr="009E3EBE">
        <w:rPr>
          <w:rFonts w:ascii="Times New Roman" w:hAnsi="Times New Roman" w:cs="Times New Roman"/>
          <w:sz w:val="24"/>
          <w:szCs w:val="24"/>
          <w:lang w:val="ru-RU"/>
        </w:rPr>
        <w:t xml:space="preserve"> создания на их основе автономных гибридных энергетических систем. Такие системы </w:t>
      </w:r>
      <w:r w:rsidR="004D5C77" w:rsidRPr="009E3EBE">
        <w:rPr>
          <w:rFonts w:ascii="Times New Roman" w:hAnsi="Times New Roman" w:cs="Times New Roman"/>
          <w:sz w:val="24"/>
          <w:szCs w:val="24"/>
          <w:lang w:val="ru-RU"/>
        </w:rPr>
        <w:t xml:space="preserve">будут </w:t>
      </w:r>
      <w:r w:rsidR="00243CFE" w:rsidRPr="009E3EBE">
        <w:rPr>
          <w:rFonts w:ascii="Times New Roman" w:hAnsi="Times New Roman" w:cs="Times New Roman"/>
          <w:sz w:val="24"/>
          <w:szCs w:val="24"/>
          <w:lang w:val="ru-RU"/>
        </w:rPr>
        <w:t>работать совместно с генераторами ВИЭ, в частности солнечными, как обладающими наибольшим потенциалом в регионе. Такие мероприятия позволят провести значительную экономию бюджетных средств за счет снижения стоимости выработки электроэнергии, обеспечат ее непрерывное и безопасное производство</w:t>
      </w:r>
      <w:r w:rsidR="001A08F0" w:rsidRPr="009E3EBE">
        <w:rPr>
          <w:rFonts w:ascii="Times New Roman" w:hAnsi="Times New Roman" w:cs="Times New Roman"/>
          <w:sz w:val="24"/>
          <w:szCs w:val="24"/>
          <w:lang w:val="ru-RU"/>
        </w:rPr>
        <w:t>, что напрямую должно улучшить энергетическую безопасность изолированных территорий региона.</w:t>
      </w:r>
      <w:r w:rsidR="00243CFE" w:rsidRPr="009E3EBE">
        <w:rPr>
          <w:rFonts w:ascii="Times New Roman" w:hAnsi="Times New Roman" w:cs="Times New Roman"/>
          <w:sz w:val="24"/>
          <w:szCs w:val="24"/>
          <w:lang w:val="ru-RU"/>
        </w:rPr>
        <w:t xml:space="preserve"> Вместе с тем</w:t>
      </w:r>
      <w:r w:rsidR="001A08F0" w:rsidRPr="009E3EBE">
        <w:rPr>
          <w:rFonts w:ascii="Times New Roman" w:hAnsi="Times New Roman" w:cs="Times New Roman"/>
          <w:sz w:val="24"/>
          <w:szCs w:val="24"/>
          <w:lang w:val="ru-RU"/>
        </w:rPr>
        <w:t>, наиболее приоритетным вариантом финансирования таких проектов должно стать государственно – частное партнёрство.</w:t>
      </w:r>
    </w:p>
    <w:p w14:paraId="33DEF2CD" w14:textId="0B156563" w:rsidR="001A08F0" w:rsidRPr="009E3EBE" w:rsidRDefault="001A08F0" w:rsidP="00243CFE">
      <w:pPr>
        <w:spacing w:line="240" w:lineRule="auto"/>
        <w:ind w:firstLine="720"/>
        <w:contextualSpacing/>
        <w:jc w:val="both"/>
        <w:rPr>
          <w:rFonts w:ascii="Times New Roman" w:hAnsi="Times New Roman" w:cs="Times New Roman"/>
          <w:sz w:val="24"/>
          <w:szCs w:val="24"/>
          <w:lang w:val="ru-RU"/>
        </w:rPr>
      </w:pPr>
    </w:p>
    <w:p w14:paraId="4EDF424F" w14:textId="080E60F8" w:rsidR="001A08F0" w:rsidRPr="009E3EBE" w:rsidRDefault="002B6930" w:rsidP="001A08F0">
      <w:pPr>
        <w:spacing w:line="240" w:lineRule="auto"/>
        <w:contextualSpacing/>
        <w:jc w:val="center"/>
        <w:rPr>
          <w:rFonts w:ascii="Times New Roman" w:hAnsi="Times New Roman" w:cs="Times New Roman"/>
          <w:b/>
          <w:bCs/>
          <w:sz w:val="24"/>
          <w:szCs w:val="24"/>
          <w:lang w:val="ru-RU"/>
        </w:rPr>
      </w:pPr>
      <w:r w:rsidRPr="009E3EBE">
        <w:rPr>
          <w:rFonts w:ascii="Times New Roman" w:hAnsi="Times New Roman" w:cs="Times New Roman"/>
          <w:b/>
          <w:bCs/>
          <w:sz w:val="24"/>
          <w:szCs w:val="24"/>
          <w:lang w:val="ru-RU"/>
        </w:rPr>
        <w:t>Библиографический список</w:t>
      </w:r>
    </w:p>
    <w:p w14:paraId="173EC524" w14:textId="77777777" w:rsidR="00890E62" w:rsidRPr="009E3EBE" w:rsidRDefault="00890E62" w:rsidP="001A08F0">
      <w:pPr>
        <w:spacing w:line="240" w:lineRule="auto"/>
        <w:contextualSpacing/>
        <w:jc w:val="center"/>
        <w:rPr>
          <w:rFonts w:ascii="Times New Roman" w:hAnsi="Times New Roman" w:cs="Times New Roman"/>
          <w:b/>
          <w:bCs/>
          <w:sz w:val="24"/>
          <w:szCs w:val="24"/>
          <w:lang w:val="ru-RU"/>
        </w:rPr>
      </w:pPr>
    </w:p>
    <w:p w14:paraId="179385C1" w14:textId="6F238756" w:rsidR="00550F1E" w:rsidRPr="009E3EBE" w:rsidRDefault="00FC4DFC" w:rsidP="00890E62">
      <w:pPr>
        <w:pStyle w:val="ListParagraph"/>
        <w:numPr>
          <w:ilvl w:val="0"/>
          <w:numId w:val="15"/>
        </w:numPr>
        <w:spacing w:line="240" w:lineRule="auto"/>
        <w:ind w:left="360"/>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 xml:space="preserve">Закон Российской Федерации "Федеральный закон "Об автономных учреждениях" от 03.11.2006 № 174-ФЗ // Российская газета. - 2022 г. - № 126(8774). - Ст. 13 с изм. и </w:t>
      </w:r>
      <w:proofErr w:type="spellStart"/>
      <w:r w:rsidRPr="009E3EBE">
        <w:rPr>
          <w:rFonts w:ascii="Times New Roman" w:hAnsi="Times New Roman" w:cs="Times New Roman"/>
          <w:sz w:val="24"/>
          <w:szCs w:val="24"/>
          <w:lang w:val="ru-RU"/>
        </w:rPr>
        <w:t>допол</w:t>
      </w:r>
      <w:proofErr w:type="spellEnd"/>
      <w:r w:rsidRPr="009E3EBE">
        <w:rPr>
          <w:rFonts w:ascii="Times New Roman" w:hAnsi="Times New Roman" w:cs="Times New Roman"/>
          <w:sz w:val="24"/>
          <w:szCs w:val="24"/>
          <w:lang w:val="ru-RU"/>
        </w:rPr>
        <w:t>. в ред. от 11.06.2022.</w:t>
      </w:r>
    </w:p>
    <w:p w14:paraId="1F73015A" w14:textId="5523831C" w:rsidR="00201DAC" w:rsidRPr="009E3EBE" w:rsidRDefault="00201DAC" w:rsidP="00890E62">
      <w:pPr>
        <w:pStyle w:val="ListParagraph"/>
        <w:numPr>
          <w:ilvl w:val="0"/>
          <w:numId w:val="15"/>
        </w:numPr>
        <w:spacing w:line="240" w:lineRule="auto"/>
        <w:ind w:left="360"/>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Акт правительства Российской Федерации "О внесении изменений в некоторые акты Правительства Российской Федерации по вопросам функционирования активных энергетических комплексов" от 21.03.2020 № 320</w:t>
      </w:r>
    </w:p>
    <w:p w14:paraId="4859FC56" w14:textId="77777777" w:rsidR="00201DAC" w:rsidRPr="009E3EBE" w:rsidRDefault="00201DAC" w:rsidP="00890E62">
      <w:pPr>
        <w:pStyle w:val="ListParagraph"/>
        <w:numPr>
          <w:ilvl w:val="0"/>
          <w:numId w:val="15"/>
        </w:numPr>
        <w:spacing w:line="240" w:lineRule="auto"/>
        <w:ind w:left="360"/>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Постановление Правительства Республики Саха "Об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от 13.10.2012 № 446</w:t>
      </w:r>
    </w:p>
    <w:p w14:paraId="4E69B538" w14:textId="73E5EE55" w:rsidR="00201DAC" w:rsidRPr="009E3EBE" w:rsidRDefault="00201DAC" w:rsidP="00890E62">
      <w:pPr>
        <w:pStyle w:val="ListParagraph"/>
        <w:numPr>
          <w:ilvl w:val="0"/>
          <w:numId w:val="15"/>
        </w:numPr>
        <w:spacing w:line="240" w:lineRule="auto"/>
        <w:ind w:left="360"/>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Указ главы Республики Саха "О схеме и программе развития электроэнергетики Республики Саха (Якутия) на 2022 - 2026 годы" от 29.08.2022 № 2424</w:t>
      </w:r>
    </w:p>
    <w:p w14:paraId="4818F209" w14:textId="77777777" w:rsidR="00201DAC" w:rsidRPr="009E3EBE" w:rsidRDefault="00201DAC" w:rsidP="00890E62">
      <w:pPr>
        <w:pStyle w:val="ListParagraph"/>
        <w:numPr>
          <w:ilvl w:val="0"/>
          <w:numId w:val="15"/>
        </w:numPr>
        <w:spacing w:line="240" w:lineRule="auto"/>
        <w:ind w:left="360"/>
        <w:jc w:val="both"/>
        <w:rPr>
          <w:rFonts w:ascii="Times New Roman" w:hAnsi="Times New Roman" w:cs="Times New Roman"/>
          <w:sz w:val="24"/>
          <w:szCs w:val="24"/>
          <w:lang w:val="ru-RU"/>
        </w:rPr>
      </w:pPr>
      <w:proofErr w:type="spellStart"/>
      <w:r w:rsidRPr="009E3EBE">
        <w:rPr>
          <w:rFonts w:ascii="Times New Roman" w:hAnsi="Times New Roman" w:cs="Times New Roman"/>
          <w:sz w:val="24"/>
          <w:szCs w:val="24"/>
          <w:lang w:val="ru-RU"/>
        </w:rPr>
        <w:t>Адамайтис</w:t>
      </w:r>
      <w:proofErr w:type="spellEnd"/>
      <w:r w:rsidRPr="009E3EBE">
        <w:rPr>
          <w:rFonts w:ascii="Times New Roman" w:hAnsi="Times New Roman" w:cs="Times New Roman"/>
          <w:sz w:val="24"/>
          <w:szCs w:val="24"/>
          <w:lang w:val="ru-RU"/>
        </w:rPr>
        <w:t xml:space="preserve"> С. А. Проекты государственно-частного партнерства как инструмент развития инфраструктуры Дальнего Востока // Региональные Исследования. - 2022. - №2 - (76). - С. 67-77.</w:t>
      </w:r>
    </w:p>
    <w:p w14:paraId="000A2D5F" w14:textId="77777777" w:rsidR="00201DAC" w:rsidRPr="009E3EBE" w:rsidRDefault="00201DAC" w:rsidP="00890E62">
      <w:pPr>
        <w:pStyle w:val="ListParagraph"/>
        <w:numPr>
          <w:ilvl w:val="0"/>
          <w:numId w:val="15"/>
        </w:numPr>
        <w:spacing w:line="240" w:lineRule="auto"/>
        <w:ind w:left="360"/>
        <w:jc w:val="both"/>
        <w:rPr>
          <w:rFonts w:ascii="Times New Roman" w:hAnsi="Times New Roman" w:cs="Times New Roman"/>
          <w:sz w:val="24"/>
          <w:szCs w:val="24"/>
          <w:lang w:val="ru-RU"/>
        </w:rPr>
      </w:pPr>
      <w:proofErr w:type="spellStart"/>
      <w:r w:rsidRPr="009E3EBE">
        <w:rPr>
          <w:rFonts w:ascii="Times New Roman" w:hAnsi="Times New Roman" w:cs="Times New Roman"/>
          <w:sz w:val="24"/>
          <w:szCs w:val="24"/>
          <w:lang w:val="ru-RU"/>
        </w:rPr>
        <w:t>Батенин</w:t>
      </w:r>
      <w:proofErr w:type="spellEnd"/>
      <w:r w:rsidRPr="009E3EBE">
        <w:rPr>
          <w:rFonts w:ascii="Times New Roman" w:hAnsi="Times New Roman" w:cs="Times New Roman"/>
          <w:sz w:val="24"/>
          <w:szCs w:val="24"/>
          <w:lang w:val="ru-RU"/>
        </w:rPr>
        <w:t xml:space="preserve"> В.М., Безруких </w:t>
      </w:r>
      <w:proofErr w:type="gramStart"/>
      <w:r w:rsidRPr="009E3EBE">
        <w:rPr>
          <w:rFonts w:ascii="Times New Roman" w:hAnsi="Times New Roman" w:cs="Times New Roman"/>
          <w:sz w:val="24"/>
          <w:szCs w:val="24"/>
          <w:lang w:val="ru-RU"/>
        </w:rPr>
        <w:t>П.П.</w:t>
      </w:r>
      <w:proofErr w:type="gramEnd"/>
      <w:r w:rsidRPr="009E3EBE">
        <w:rPr>
          <w:rFonts w:ascii="Times New Roman" w:hAnsi="Times New Roman" w:cs="Times New Roman"/>
          <w:sz w:val="24"/>
          <w:szCs w:val="24"/>
          <w:lang w:val="ru-RU"/>
        </w:rPr>
        <w:t xml:space="preserve"> и др. Инновационная </w:t>
      </w:r>
      <w:proofErr w:type="spellStart"/>
      <w:r w:rsidRPr="009E3EBE">
        <w:rPr>
          <w:rFonts w:ascii="Times New Roman" w:hAnsi="Times New Roman" w:cs="Times New Roman"/>
          <w:sz w:val="24"/>
          <w:szCs w:val="24"/>
          <w:lang w:val="ru-RU"/>
        </w:rPr>
        <w:t>электрогенерация</w:t>
      </w:r>
      <w:proofErr w:type="spellEnd"/>
      <w:r w:rsidRPr="009E3EBE">
        <w:rPr>
          <w:rFonts w:ascii="Times New Roman" w:hAnsi="Times New Roman" w:cs="Times New Roman"/>
          <w:sz w:val="24"/>
          <w:szCs w:val="24"/>
          <w:lang w:val="ru-RU"/>
        </w:rPr>
        <w:t xml:space="preserve"> 21. - 1-е изд. - М.: ООО "Издательско-аналитический центр Энергия" , 2017. - 584 с.</w:t>
      </w:r>
    </w:p>
    <w:p w14:paraId="217B50C8" w14:textId="77777777" w:rsidR="00201DAC" w:rsidRPr="009E3EBE" w:rsidRDefault="00201DAC" w:rsidP="00890E62">
      <w:pPr>
        <w:pStyle w:val="ListParagraph"/>
        <w:numPr>
          <w:ilvl w:val="0"/>
          <w:numId w:val="15"/>
        </w:numPr>
        <w:spacing w:line="240" w:lineRule="auto"/>
        <w:ind w:left="360"/>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Бутов А. М. Рынок генераторных установок 2021. - 1-е изд. - М.: Национальный исследовательский университет Высшая школа экономики, 2021. - 75 с.</w:t>
      </w:r>
    </w:p>
    <w:p w14:paraId="12D6D623" w14:textId="77777777" w:rsidR="00201DAC" w:rsidRPr="009E3EBE" w:rsidRDefault="00201DAC" w:rsidP="00890E62">
      <w:pPr>
        <w:pStyle w:val="ListParagraph"/>
        <w:numPr>
          <w:ilvl w:val="0"/>
          <w:numId w:val="15"/>
        </w:numPr>
        <w:spacing w:line="240" w:lineRule="auto"/>
        <w:ind w:left="360"/>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Концепция привлечения частных инвестиций в развитие распределённой генерации, в том числе на основе ВИЭ, в удалённых и изолированных районах Дальнего Востока и Арктики // Корпорация Развития Дальнего Востока и Арктики URL: https://ur.hse.ru/data/2021/01/14/1346921529/Презентация%20АНО%20АПИ%20(Губанов%20М.).pdf (дата обращения: 27.10.2022).</w:t>
      </w:r>
    </w:p>
    <w:p w14:paraId="56E1B6C8" w14:textId="77777777" w:rsidR="00201DAC" w:rsidRPr="009E3EBE" w:rsidRDefault="00201DAC" w:rsidP="00890E62">
      <w:pPr>
        <w:pStyle w:val="ListParagraph"/>
        <w:numPr>
          <w:ilvl w:val="0"/>
          <w:numId w:val="15"/>
        </w:numPr>
        <w:spacing w:line="240" w:lineRule="auto"/>
        <w:ind w:left="360"/>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Логинов Константин Константинович Вычисление весовых коэффициентов в интегральном индексе экономической безопасности региона на примере Омской области // Наука о человеке: гуманитарные исследования. 2020. №1.</w:t>
      </w:r>
    </w:p>
    <w:p w14:paraId="2C2E0E18" w14:textId="77777777" w:rsidR="00201DAC" w:rsidRPr="009E3EBE" w:rsidRDefault="00201DAC" w:rsidP="00890E62">
      <w:pPr>
        <w:pStyle w:val="ListParagraph"/>
        <w:numPr>
          <w:ilvl w:val="0"/>
          <w:numId w:val="15"/>
        </w:numPr>
        <w:spacing w:line="240" w:lineRule="auto"/>
        <w:ind w:left="360"/>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Мини-ТЭС на твердом топливе автономное и надежное энергоснабжение потребителей // Neftegaz.ru URL: https://neftegaz.ru/science/Energetika/331735-mini-tes-na-tverdom-</w:t>
      </w:r>
      <w:r w:rsidRPr="009E3EBE">
        <w:rPr>
          <w:rFonts w:ascii="Times New Roman" w:hAnsi="Times New Roman" w:cs="Times New Roman"/>
          <w:sz w:val="24"/>
          <w:szCs w:val="24"/>
          <w:lang w:val="ru-RU"/>
        </w:rPr>
        <w:lastRenderedPageBreak/>
        <w:t>toplive-avtonomnoe-i-nadezhnoe-energosnabzhenie-potrebiteley/ (дата обращения: 27.10.2022).</w:t>
      </w:r>
    </w:p>
    <w:p w14:paraId="7DDF76B9" w14:textId="77777777" w:rsidR="00201DAC" w:rsidRPr="009E3EBE" w:rsidRDefault="00201DAC" w:rsidP="00890E62">
      <w:pPr>
        <w:pStyle w:val="ListParagraph"/>
        <w:numPr>
          <w:ilvl w:val="0"/>
          <w:numId w:val="15"/>
        </w:numPr>
        <w:spacing w:line="240" w:lineRule="auto"/>
        <w:ind w:left="360"/>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 xml:space="preserve">Попова Светлана Николаевна, Потехина Нина Васильевна Перспективы и ограничения развития распределенной энергетики на электроэнергетическом рынке России // Общество: политика, экономика, право. 2016. №12. </w:t>
      </w:r>
    </w:p>
    <w:p w14:paraId="00DA8668" w14:textId="77777777" w:rsidR="00201DAC" w:rsidRPr="009E3EBE" w:rsidRDefault="00201DAC" w:rsidP="00890E62">
      <w:pPr>
        <w:pStyle w:val="ListParagraph"/>
        <w:numPr>
          <w:ilvl w:val="0"/>
          <w:numId w:val="15"/>
        </w:numPr>
        <w:spacing w:line="240" w:lineRule="auto"/>
        <w:ind w:left="360"/>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Хохлов А., Мельников Ю. и др. Распределенная энергетика в России: потенциал развития. - 1-е изд. - М.: Энергетический центр Московской школы управления СКОЛКОВО, 2020. - 89 с.</w:t>
      </w:r>
    </w:p>
    <w:p w14:paraId="53D13EB1" w14:textId="5188B876" w:rsidR="001A08F0" w:rsidRPr="009E3EBE" w:rsidRDefault="00201DAC" w:rsidP="00890E62">
      <w:pPr>
        <w:pStyle w:val="ListParagraph"/>
        <w:numPr>
          <w:ilvl w:val="0"/>
          <w:numId w:val="15"/>
        </w:numPr>
        <w:spacing w:line="240" w:lineRule="auto"/>
        <w:ind w:left="360"/>
        <w:jc w:val="both"/>
        <w:rPr>
          <w:rFonts w:ascii="Times New Roman" w:hAnsi="Times New Roman" w:cs="Times New Roman"/>
          <w:sz w:val="24"/>
          <w:szCs w:val="24"/>
          <w:lang w:val="ru-RU"/>
        </w:rPr>
      </w:pPr>
      <w:r w:rsidRPr="009E3EBE">
        <w:rPr>
          <w:rFonts w:ascii="Times New Roman" w:hAnsi="Times New Roman" w:cs="Times New Roman"/>
          <w:sz w:val="24"/>
          <w:szCs w:val="24"/>
          <w:lang w:val="ru-RU"/>
        </w:rPr>
        <w:t xml:space="preserve">Шарипова Анжела </w:t>
      </w:r>
      <w:proofErr w:type="spellStart"/>
      <w:r w:rsidRPr="009E3EBE">
        <w:rPr>
          <w:rFonts w:ascii="Times New Roman" w:hAnsi="Times New Roman" w:cs="Times New Roman"/>
          <w:sz w:val="24"/>
          <w:szCs w:val="24"/>
          <w:lang w:val="ru-RU"/>
        </w:rPr>
        <w:t>Рамильевна</w:t>
      </w:r>
      <w:proofErr w:type="spellEnd"/>
      <w:r w:rsidRPr="009E3EBE">
        <w:rPr>
          <w:rFonts w:ascii="Times New Roman" w:hAnsi="Times New Roman" w:cs="Times New Roman"/>
          <w:sz w:val="24"/>
          <w:szCs w:val="24"/>
          <w:lang w:val="ru-RU"/>
        </w:rPr>
        <w:t xml:space="preserve">, </w:t>
      </w:r>
      <w:proofErr w:type="spellStart"/>
      <w:r w:rsidRPr="009E3EBE">
        <w:rPr>
          <w:rFonts w:ascii="Times New Roman" w:hAnsi="Times New Roman" w:cs="Times New Roman"/>
          <w:sz w:val="24"/>
          <w:szCs w:val="24"/>
          <w:lang w:val="ru-RU"/>
        </w:rPr>
        <w:t>Киушкина</w:t>
      </w:r>
      <w:proofErr w:type="spellEnd"/>
      <w:r w:rsidRPr="009E3EBE">
        <w:rPr>
          <w:rFonts w:ascii="Times New Roman" w:hAnsi="Times New Roman" w:cs="Times New Roman"/>
          <w:sz w:val="24"/>
          <w:szCs w:val="24"/>
          <w:lang w:val="ru-RU"/>
        </w:rPr>
        <w:t xml:space="preserve"> Виолетта </w:t>
      </w:r>
      <w:proofErr w:type="spellStart"/>
      <w:r w:rsidRPr="009E3EBE">
        <w:rPr>
          <w:rFonts w:ascii="Times New Roman" w:hAnsi="Times New Roman" w:cs="Times New Roman"/>
          <w:sz w:val="24"/>
          <w:szCs w:val="24"/>
          <w:lang w:val="ru-RU"/>
        </w:rPr>
        <w:t>Рафиковна</w:t>
      </w:r>
      <w:proofErr w:type="spellEnd"/>
      <w:r w:rsidRPr="009E3EBE">
        <w:rPr>
          <w:rFonts w:ascii="Times New Roman" w:hAnsi="Times New Roman" w:cs="Times New Roman"/>
          <w:sz w:val="24"/>
          <w:szCs w:val="24"/>
          <w:lang w:val="ru-RU"/>
        </w:rPr>
        <w:t xml:space="preserve"> Оценка состояния энергетической безопасности Республики Саха (Якутия) на основе индикативного анализа структурно-режимного блока // Вестник евразийской науки. 2013. №1 (14). </w:t>
      </w:r>
    </w:p>
    <w:p w14:paraId="051963EF" w14:textId="10711F46" w:rsidR="002B6930" w:rsidRPr="009E3EBE" w:rsidRDefault="002B6930" w:rsidP="002B6930">
      <w:pPr>
        <w:spacing w:line="240" w:lineRule="auto"/>
        <w:jc w:val="both"/>
        <w:rPr>
          <w:rFonts w:ascii="Times New Roman" w:hAnsi="Times New Roman" w:cs="Times New Roman"/>
          <w:sz w:val="24"/>
          <w:szCs w:val="24"/>
          <w:lang w:val="ru-RU"/>
        </w:rPr>
      </w:pPr>
    </w:p>
    <w:p w14:paraId="5EC972DB" w14:textId="6B19A648" w:rsidR="002B6930" w:rsidRPr="009E3EBE" w:rsidRDefault="002B6930" w:rsidP="002B6930">
      <w:pPr>
        <w:spacing w:line="240" w:lineRule="auto"/>
        <w:jc w:val="center"/>
        <w:rPr>
          <w:rFonts w:ascii="Times New Roman" w:hAnsi="Times New Roman" w:cs="Times New Roman"/>
          <w:b/>
          <w:bCs/>
          <w:sz w:val="24"/>
          <w:szCs w:val="24"/>
          <w:lang w:val="ru-RU"/>
        </w:rPr>
      </w:pPr>
      <w:proofErr w:type="spellStart"/>
      <w:r w:rsidRPr="009E3EBE">
        <w:rPr>
          <w:rFonts w:ascii="Times New Roman" w:hAnsi="Times New Roman" w:cs="Times New Roman"/>
          <w:b/>
          <w:bCs/>
          <w:sz w:val="24"/>
          <w:szCs w:val="24"/>
          <w:lang w:val="ru-RU"/>
        </w:rPr>
        <w:t>References</w:t>
      </w:r>
      <w:proofErr w:type="spellEnd"/>
    </w:p>
    <w:p w14:paraId="520CFFB5" w14:textId="77777777" w:rsidR="002B6930" w:rsidRPr="009E3EBE" w:rsidRDefault="002B6930" w:rsidP="002B6930">
      <w:pPr>
        <w:spacing w:line="240" w:lineRule="auto"/>
        <w:jc w:val="both"/>
        <w:rPr>
          <w:rFonts w:ascii="Times New Roman" w:hAnsi="Times New Roman" w:cs="Times New Roman"/>
          <w:sz w:val="24"/>
          <w:szCs w:val="24"/>
          <w:lang w:val="ru-RU"/>
        </w:rPr>
      </w:pPr>
    </w:p>
    <w:p w14:paraId="0D02AA8F" w14:textId="77777777" w:rsidR="002B6930" w:rsidRPr="009E3EBE" w:rsidRDefault="002B6930" w:rsidP="002B6930">
      <w:pPr>
        <w:spacing w:line="240" w:lineRule="auto"/>
        <w:jc w:val="both"/>
        <w:rPr>
          <w:rFonts w:ascii="Times New Roman" w:hAnsi="Times New Roman" w:cs="Times New Roman"/>
          <w:sz w:val="24"/>
          <w:szCs w:val="24"/>
          <w:lang w:val="en-US"/>
        </w:rPr>
      </w:pPr>
      <w:r w:rsidRPr="009E3EBE">
        <w:rPr>
          <w:rFonts w:ascii="Times New Roman" w:hAnsi="Times New Roman" w:cs="Times New Roman"/>
          <w:sz w:val="24"/>
          <w:szCs w:val="24"/>
          <w:lang w:val="en-US"/>
        </w:rPr>
        <w:t xml:space="preserve">1. The Law of the Russian Federation "Federal Law "On Autonomous Institutions" dated 03.11.2006 No. 174-FZ // </w:t>
      </w:r>
      <w:proofErr w:type="spellStart"/>
      <w:r w:rsidRPr="009E3EBE">
        <w:rPr>
          <w:rFonts w:ascii="Times New Roman" w:hAnsi="Times New Roman" w:cs="Times New Roman"/>
          <w:sz w:val="24"/>
          <w:szCs w:val="24"/>
          <w:lang w:val="en-US"/>
        </w:rPr>
        <w:t>Rossiyskaya</w:t>
      </w:r>
      <w:proofErr w:type="spellEnd"/>
      <w:r w:rsidRPr="009E3EBE">
        <w:rPr>
          <w:rFonts w:ascii="Times New Roman" w:hAnsi="Times New Roman" w:cs="Times New Roman"/>
          <w:sz w:val="24"/>
          <w:szCs w:val="24"/>
          <w:lang w:val="en-US"/>
        </w:rPr>
        <w:t xml:space="preserve"> Gazeta. - 2022 - No. 126(8774). - Article 13 from the amendments and to the floor. in ed. dated 11.06.2022.</w:t>
      </w:r>
    </w:p>
    <w:p w14:paraId="3A55E3BA" w14:textId="77777777" w:rsidR="002B6930" w:rsidRPr="009E3EBE" w:rsidRDefault="002B6930" w:rsidP="002B6930">
      <w:pPr>
        <w:spacing w:line="240" w:lineRule="auto"/>
        <w:jc w:val="both"/>
        <w:rPr>
          <w:rFonts w:ascii="Times New Roman" w:hAnsi="Times New Roman" w:cs="Times New Roman"/>
          <w:sz w:val="24"/>
          <w:szCs w:val="24"/>
          <w:lang w:val="en-US"/>
        </w:rPr>
      </w:pPr>
      <w:r w:rsidRPr="009E3EBE">
        <w:rPr>
          <w:rFonts w:ascii="Times New Roman" w:hAnsi="Times New Roman" w:cs="Times New Roman"/>
          <w:sz w:val="24"/>
          <w:szCs w:val="24"/>
          <w:lang w:val="en-US"/>
        </w:rPr>
        <w:t>2. Act of the Government of the Russian Federation "On Amendments to Certain Acts of the Government of the Russian Federation on the Functioning of Active energy Complexes" dated 21.03.2020 No. 320</w:t>
      </w:r>
    </w:p>
    <w:p w14:paraId="0C0E1DC1" w14:textId="77777777" w:rsidR="002B6930" w:rsidRPr="009E3EBE" w:rsidRDefault="002B6930" w:rsidP="002B6930">
      <w:pPr>
        <w:spacing w:line="240" w:lineRule="auto"/>
        <w:jc w:val="both"/>
        <w:rPr>
          <w:rFonts w:ascii="Times New Roman" w:hAnsi="Times New Roman" w:cs="Times New Roman"/>
          <w:sz w:val="24"/>
          <w:szCs w:val="24"/>
          <w:lang w:val="en-US"/>
        </w:rPr>
      </w:pPr>
      <w:r w:rsidRPr="009E3EBE">
        <w:rPr>
          <w:rFonts w:ascii="Times New Roman" w:hAnsi="Times New Roman" w:cs="Times New Roman"/>
          <w:sz w:val="24"/>
          <w:szCs w:val="24"/>
          <w:lang w:val="en-US"/>
        </w:rPr>
        <w:t>3. Resolution of the Government of the Sakha Republic "On approval of standards for the consumption of utilities and standards for the consumption of communal resources for the maintenance of common property in an apartment building" dated 13.10.2012 No. 446</w:t>
      </w:r>
    </w:p>
    <w:p w14:paraId="14983E06" w14:textId="77777777" w:rsidR="002B6930" w:rsidRPr="009E3EBE" w:rsidRDefault="002B6930" w:rsidP="002B6930">
      <w:pPr>
        <w:spacing w:line="240" w:lineRule="auto"/>
        <w:jc w:val="both"/>
        <w:rPr>
          <w:rFonts w:ascii="Times New Roman" w:hAnsi="Times New Roman" w:cs="Times New Roman"/>
          <w:sz w:val="24"/>
          <w:szCs w:val="24"/>
          <w:lang w:val="en-US"/>
        </w:rPr>
      </w:pPr>
      <w:r w:rsidRPr="009E3EBE">
        <w:rPr>
          <w:rFonts w:ascii="Times New Roman" w:hAnsi="Times New Roman" w:cs="Times New Roman"/>
          <w:sz w:val="24"/>
          <w:szCs w:val="24"/>
          <w:lang w:val="en-US"/>
        </w:rPr>
        <w:t>4. Decree of the Head of the Republic of Sakha "On the scheme and program for the development of the electric power industry of the Republic of Sakha (Yakutia) for 2022-2026" dated 29.08.2022 No. 2424</w:t>
      </w:r>
    </w:p>
    <w:p w14:paraId="2F90158B" w14:textId="77777777" w:rsidR="002B6930" w:rsidRPr="009E3EBE" w:rsidRDefault="002B6930" w:rsidP="002B6930">
      <w:pPr>
        <w:spacing w:line="240" w:lineRule="auto"/>
        <w:jc w:val="both"/>
        <w:rPr>
          <w:rFonts w:ascii="Times New Roman" w:hAnsi="Times New Roman" w:cs="Times New Roman"/>
          <w:sz w:val="24"/>
          <w:szCs w:val="24"/>
          <w:lang w:val="en-US"/>
        </w:rPr>
      </w:pPr>
      <w:r w:rsidRPr="009E3EBE">
        <w:rPr>
          <w:rFonts w:ascii="Times New Roman" w:hAnsi="Times New Roman" w:cs="Times New Roman"/>
          <w:sz w:val="24"/>
          <w:szCs w:val="24"/>
          <w:lang w:val="en-US"/>
        </w:rPr>
        <w:t xml:space="preserve">5. </w:t>
      </w:r>
      <w:proofErr w:type="spellStart"/>
      <w:r w:rsidRPr="009E3EBE">
        <w:rPr>
          <w:rFonts w:ascii="Times New Roman" w:hAnsi="Times New Roman" w:cs="Times New Roman"/>
          <w:sz w:val="24"/>
          <w:szCs w:val="24"/>
          <w:lang w:val="en-US"/>
        </w:rPr>
        <w:t>Adamaitis</w:t>
      </w:r>
      <w:proofErr w:type="spellEnd"/>
      <w:r w:rsidRPr="009E3EBE">
        <w:rPr>
          <w:rFonts w:ascii="Times New Roman" w:hAnsi="Times New Roman" w:cs="Times New Roman"/>
          <w:sz w:val="24"/>
          <w:szCs w:val="24"/>
          <w:lang w:val="en-US"/>
        </w:rPr>
        <w:t xml:space="preserve"> S. A. Public-private partnership projects as a tool for developing the infrastructure of the Far East // Regional Studies. - 2022. - №2 - (76). - Pp. 67-77.</w:t>
      </w:r>
    </w:p>
    <w:p w14:paraId="45973329" w14:textId="77777777" w:rsidR="002B6930" w:rsidRPr="009E3EBE" w:rsidRDefault="002B6930" w:rsidP="002B6930">
      <w:pPr>
        <w:spacing w:line="240" w:lineRule="auto"/>
        <w:jc w:val="both"/>
        <w:rPr>
          <w:rFonts w:ascii="Times New Roman" w:hAnsi="Times New Roman" w:cs="Times New Roman"/>
          <w:sz w:val="24"/>
          <w:szCs w:val="24"/>
          <w:lang w:val="en-US"/>
        </w:rPr>
      </w:pPr>
      <w:r w:rsidRPr="009E3EBE">
        <w:rPr>
          <w:rFonts w:ascii="Times New Roman" w:hAnsi="Times New Roman" w:cs="Times New Roman"/>
          <w:sz w:val="24"/>
          <w:szCs w:val="24"/>
          <w:lang w:val="en-US"/>
        </w:rPr>
        <w:t xml:space="preserve">6. </w:t>
      </w:r>
      <w:proofErr w:type="spellStart"/>
      <w:r w:rsidRPr="009E3EBE">
        <w:rPr>
          <w:rFonts w:ascii="Times New Roman" w:hAnsi="Times New Roman" w:cs="Times New Roman"/>
          <w:sz w:val="24"/>
          <w:szCs w:val="24"/>
          <w:lang w:val="en-US"/>
        </w:rPr>
        <w:t>Batenin</w:t>
      </w:r>
      <w:proofErr w:type="spellEnd"/>
      <w:r w:rsidRPr="009E3EBE">
        <w:rPr>
          <w:rFonts w:ascii="Times New Roman" w:hAnsi="Times New Roman" w:cs="Times New Roman"/>
          <w:sz w:val="24"/>
          <w:szCs w:val="24"/>
          <w:lang w:val="en-US"/>
        </w:rPr>
        <w:t xml:space="preserve"> V.M., </w:t>
      </w:r>
      <w:proofErr w:type="spellStart"/>
      <w:r w:rsidRPr="009E3EBE">
        <w:rPr>
          <w:rFonts w:ascii="Times New Roman" w:hAnsi="Times New Roman" w:cs="Times New Roman"/>
          <w:sz w:val="24"/>
          <w:szCs w:val="24"/>
          <w:lang w:val="en-US"/>
        </w:rPr>
        <w:t>Bezrukikh</w:t>
      </w:r>
      <w:proofErr w:type="spellEnd"/>
      <w:r w:rsidRPr="009E3EBE">
        <w:rPr>
          <w:rFonts w:ascii="Times New Roman" w:hAnsi="Times New Roman" w:cs="Times New Roman"/>
          <w:sz w:val="24"/>
          <w:szCs w:val="24"/>
          <w:lang w:val="en-US"/>
        </w:rPr>
        <w:t xml:space="preserve"> P.P., etc. Innovative power generation 21. - 1st ed. - Moscow: Publishing and Analytical Center </w:t>
      </w:r>
      <w:proofErr w:type="spellStart"/>
      <w:r w:rsidRPr="009E3EBE">
        <w:rPr>
          <w:rFonts w:ascii="Times New Roman" w:hAnsi="Times New Roman" w:cs="Times New Roman"/>
          <w:sz w:val="24"/>
          <w:szCs w:val="24"/>
          <w:lang w:val="en-US"/>
        </w:rPr>
        <w:t>Energia</w:t>
      </w:r>
      <w:proofErr w:type="spellEnd"/>
      <w:r w:rsidRPr="009E3EBE">
        <w:rPr>
          <w:rFonts w:ascii="Times New Roman" w:hAnsi="Times New Roman" w:cs="Times New Roman"/>
          <w:sz w:val="24"/>
          <w:szCs w:val="24"/>
          <w:lang w:val="en-US"/>
        </w:rPr>
        <w:t xml:space="preserve"> LLC, 2017. - 584 p.</w:t>
      </w:r>
    </w:p>
    <w:p w14:paraId="5492988A" w14:textId="77777777" w:rsidR="002B6930" w:rsidRPr="009E3EBE" w:rsidRDefault="002B6930" w:rsidP="002B6930">
      <w:pPr>
        <w:spacing w:line="240" w:lineRule="auto"/>
        <w:jc w:val="both"/>
        <w:rPr>
          <w:rFonts w:ascii="Times New Roman" w:hAnsi="Times New Roman" w:cs="Times New Roman"/>
          <w:sz w:val="24"/>
          <w:szCs w:val="24"/>
          <w:lang w:val="en-US"/>
        </w:rPr>
      </w:pPr>
      <w:r w:rsidRPr="009E3EBE">
        <w:rPr>
          <w:rFonts w:ascii="Times New Roman" w:hAnsi="Times New Roman" w:cs="Times New Roman"/>
          <w:sz w:val="24"/>
          <w:szCs w:val="24"/>
          <w:lang w:val="en-US"/>
        </w:rPr>
        <w:t>7. Butov A.M. The market of generator sets 2021. - 1st ed. - M.: National Research University Higher School of Economics, 2021. - 75 p.</w:t>
      </w:r>
    </w:p>
    <w:p w14:paraId="16F2CE83" w14:textId="77777777" w:rsidR="002B6930" w:rsidRPr="009E3EBE" w:rsidRDefault="002B6930" w:rsidP="002B6930">
      <w:pPr>
        <w:spacing w:line="240" w:lineRule="auto"/>
        <w:jc w:val="both"/>
        <w:rPr>
          <w:rFonts w:ascii="Times New Roman" w:hAnsi="Times New Roman" w:cs="Times New Roman"/>
          <w:sz w:val="24"/>
          <w:szCs w:val="24"/>
          <w:lang w:val="en-US"/>
        </w:rPr>
      </w:pPr>
      <w:r w:rsidRPr="009E3EBE">
        <w:rPr>
          <w:rFonts w:ascii="Times New Roman" w:hAnsi="Times New Roman" w:cs="Times New Roman"/>
          <w:sz w:val="24"/>
          <w:szCs w:val="24"/>
          <w:lang w:val="en-US"/>
        </w:rPr>
        <w:t>8. The concept of attracting private investment in the development of distributed generation, including on the basis of renewable energy, in remote and isolated areas of the Far East and the Arctic // Corporation for the Development of the Far East and the Arctic URL: https://ur.hse.ru/data/2021/01/14/1346921529/Presentation %20ANO%20API%20(Gubanov%20M.).pdf (accessed: 10/27/2022).</w:t>
      </w:r>
    </w:p>
    <w:p w14:paraId="7BE92C09" w14:textId="77777777" w:rsidR="002B6930" w:rsidRPr="009E3EBE" w:rsidRDefault="002B6930" w:rsidP="002B6930">
      <w:pPr>
        <w:spacing w:line="240" w:lineRule="auto"/>
        <w:jc w:val="both"/>
        <w:rPr>
          <w:rFonts w:ascii="Times New Roman" w:hAnsi="Times New Roman" w:cs="Times New Roman"/>
          <w:sz w:val="24"/>
          <w:szCs w:val="24"/>
          <w:lang w:val="en-US"/>
        </w:rPr>
      </w:pPr>
      <w:r w:rsidRPr="009E3EBE">
        <w:rPr>
          <w:rFonts w:ascii="Times New Roman" w:hAnsi="Times New Roman" w:cs="Times New Roman"/>
          <w:sz w:val="24"/>
          <w:szCs w:val="24"/>
          <w:lang w:val="en-US"/>
        </w:rPr>
        <w:t xml:space="preserve">9. Loginov Konstantin </w:t>
      </w:r>
      <w:proofErr w:type="spellStart"/>
      <w:r w:rsidRPr="009E3EBE">
        <w:rPr>
          <w:rFonts w:ascii="Times New Roman" w:hAnsi="Times New Roman" w:cs="Times New Roman"/>
          <w:sz w:val="24"/>
          <w:szCs w:val="24"/>
          <w:lang w:val="en-US"/>
        </w:rPr>
        <w:t>Konstantinovich</w:t>
      </w:r>
      <w:proofErr w:type="spellEnd"/>
      <w:r w:rsidRPr="009E3EBE">
        <w:rPr>
          <w:rFonts w:ascii="Times New Roman" w:hAnsi="Times New Roman" w:cs="Times New Roman"/>
          <w:sz w:val="24"/>
          <w:szCs w:val="24"/>
          <w:lang w:val="en-US"/>
        </w:rPr>
        <w:t xml:space="preserve"> Calculation of weighting coefficients in the integral index of economic security of the region on the example of the Omsk region // Science of Man: Humanitarian studies. 2020. №1.</w:t>
      </w:r>
    </w:p>
    <w:p w14:paraId="3B4B5B2B" w14:textId="77777777" w:rsidR="002B6930" w:rsidRPr="009E3EBE" w:rsidRDefault="002B6930" w:rsidP="002B6930">
      <w:pPr>
        <w:spacing w:line="240" w:lineRule="auto"/>
        <w:jc w:val="both"/>
        <w:rPr>
          <w:rFonts w:ascii="Times New Roman" w:hAnsi="Times New Roman" w:cs="Times New Roman"/>
          <w:sz w:val="24"/>
          <w:szCs w:val="24"/>
          <w:lang w:val="en-US"/>
        </w:rPr>
      </w:pPr>
      <w:r w:rsidRPr="009E3EBE">
        <w:rPr>
          <w:rFonts w:ascii="Times New Roman" w:hAnsi="Times New Roman" w:cs="Times New Roman"/>
          <w:sz w:val="24"/>
          <w:szCs w:val="24"/>
          <w:lang w:val="en-US"/>
        </w:rPr>
        <w:t>10. Mini-thermal power plants on solid fuel autonomous and reliable power supply to consumers // Neftegaz.ru URL: https://neftegaz.ru/science/Energetika/331735-mini-tes-na-tverdom-toplive-avtonomnoe-i-nadezhnoe-energosnabzhenie-potrebiteley / (accessed: 10/27/2022).</w:t>
      </w:r>
    </w:p>
    <w:p w14:paraId="54F54AE0" w14:textId="77777777" w:rsidR="002B6930" w:rsidRPr="009E3EBE" w:rsidRDefault="002B6930" w:rsidP="002B6930">
      <w:pPr>
        <w:spacing w:line="240" w:lineRule="auto"/>
        <w:jc w:val="both"/>
        <w:rPr>
          <w:rFonts w:ascii="Times New Roman" w:hAnsi="Times New Roman" w:cs="Times New Roman"/>
          <w:sz w:val="24"/>
          <w:szCs w:val="24"/>
          <w:lang w:val="en-US"/>
        </w:rPr>
      </w:pPr>
      <w:r w:rsidRPr="009E3EBE">
        <w:rPr>
          <w:rFonts w:ascii="Times New Roman" w:hAnsi="Times New Roman" w:cs="Times New Roman"/>
          <w:sz w:val="24"/>
          <w:szCs w:val="24"/>
          <w:lang w:val="en-US"/>
        </w:rPr>
        <w:t xml:space="preserve">11. Popova Svetlana </w:t>
      </w:r>
      <w:proofErr w:type="spellStart"/>
      <w:r w:rsidRPr="009E3EBE">
        <w:rPr>
          <w:rFonts w:ascii="Times New Roman" w:hAnsi="Times New Roman" w:cs="Times New Roman"/>
          <w:sz w:val="24"/>
          <w:szCs w:val="24"/>
          <w:lang w:val="en-US"/>
        </w:rPr>
        <w:t>Nikolaevna</w:t>
      </w:r>
      <w:proofErr w:type="spellEnd"/>
      <w:r w:rsidRPr="009E3EBE">
        <w:rPr>
          <w:rFonts w:ascii="Times New Roman" w:hAnsi="Times New Roman" w:cs="Times New Roman"/>
          <w:sz w:val="24"/>
          <w:szCs w:val="24"/>
          <w:lang w:val="en-US"/>
        </w:rPr>
        <w:t xml:space="preserve">, </w:t>
      </w:r>
      <w:proofErr w:type="spellStart"/>
      <w:r w:rsidRPr="009E3EBE">
        <w:rPr>
          <w:rFonts w:ascii="Times New Roman" w:hAnsi="Times New Roman" w:cs="Times New Roman"/>
          <w:sz w:val="24"/>
          <w:szCs w:val="24"/>
          <w:lang w:val="en-US"/>
        </w:rPr>
        <w:t>Potekhina</w:t>
      </w:r>
      <w:proofErr w:type="spellEnd"/>
      <w:r w:rsidRPr="009E3EBE">
        <w:rPr>
          <w:rFonts w:ascii="Times New Roman" w:hAnsi="Times New Roman" w:cs="Times New Roman"/>
          <w:sz w:val="24"/>
          <w:szCs w:val="24"/>
          <w:lang w:val="en-US"/>
        </w:rPr>
        <w:t xml:space="preserve"> Nina </w:t>
      </w:r>
      <w:proofErr w:type="spellStart"/>
      <w:r w:rsidRPr="009E3EBE">
        <w:rPr>
          <w:rFonts w:ascii="Times New Roman" w:hAnsi="Times New Roman" w:cs="Times New Roman"/>
          <w:sz w:val="24"/>
          <w:szCs w:val="24"/>
          <w:lang w:val="en-US"/>
        </w:rPr>
        <w:t>Vasilyevna</w:t>
      </w:r>
      <w:proofErr w:type="spellEnd"/>
      <w:r w:rsidRPr="009E3EBE">
        <w:rPr>
          <w:rFonts w:ascii="Times New Roman" w:hAnsi="Times New Roman" w:cs="Times New Roman"/>
          <w:sz w:val="24"/>
          <w:szCs w:val="24"/>
          <w:lang w:val="en-US"/>
        </w:rPr>
        <w:t xml:space="preserve"> Prospects and limitations of the development of distributed energy in the electric power market of Russia // Society: politics, economics, law. 2016. №12. </w:t>
      </w:r>
    </w:p>
    <w:p w14:paraId="61464D70" w14:textId="16E505BB" w:rsidR="002B6930" w:rsidRPr="009E3EBE" w:rsidRDefault="002B6930" w:rsidP="002B6930">
      <w:pPr>
        <w:spacing w:line="240" w:lineRule="auto"/>
        <w:jc w:val="both"/>
        <w:rPr>
          <w:rFonts w:ascii="Times New Roman" w:hAnsi="Times New Roman" w:cs="Times New Roman"/>
          <w:sz w:val="24"/>
          <w:szCs w:val="24"/>
          <w:lang w:val="en-US"/>
        </w:rPr>
      </w:pPr>
      <w:r w:rsidRPr="009E3EBE">
        <w:rPr>
          <w:rFonts w:ascii="Times New Roman" w:hAnsi="Times New Roman" w:cs="Times New Roman"/>
          <w:sz w:val="24"/>
          <w:szCs w:val="24"/>
          <w:lang w:val="en-US"/>
        </w:rPr>
        <w:t>12. Khokhlov A., Melnikov Yu. and others. Distributed energy in Russia: development potential. - 1st ed. - Moscow: Energy Center of the Moscow School of Management SKOLKOVO, 2020. - 89 p.</w:t>
      </w:r>
    </w:p>
    <w:p w14:paraId="36E7FBED" w14:textId="6115A843" w:rsidR="002B6930" w:rsidRPr="002B6930" w:rsidRDefault="002B6930" w:rsidP="002B6930">
      <w:pPr>
        <w:spacing w:line="240" w:lineRule="auto"/>
        <w:jc w:val="both"/>
        <w:rPr>
          <w:rFonts w:ascii="Times New Roman" w:hAnsi="Times New Roman" w:cs="Times New Roman"/>
          <w:sz w:val="24"/>
          <w:szCs w:val="24"/>
          <w:lang w:val="ru-RU"/>
        </w:rPr>
      </w:pPr>
      <w:r w:rsidRPr="009E3EBE">
        <w:rPr>
          <w:rFonts w:ascii="Times New Roman" w:hAnsi="Times New Roman" w:cs="Times New Roman"/>
          <w:sz w:val="24"/>
          <w:szCs w:val="24"/>
          <w:lang w:val="en-US"/>
        </w:rPr>
        <w:t xml:space="preserve">13. </w:t>
      </w:r>
      <w:proofErr w:type="spellStart"/>
      <w:r w:rsidRPr="009E3EBE">
        <w:rPr>
          <w:rFonts w:ascii="Times New Roman" w:hAnsi="Times New Roman" w:cs="Times New Roman"/>
          <w:sz w:val="24"/>
          <w:szCs w:val="24"/>
          <w:lang w:val="en-US"/>
        </w:rPr>
        <w:t>Sharipova</w:t>
      </w:r>
      <w:proofErr w:type="spellEnd"/>
      <w:r w:rsidRPr="009E3EBE">
        <w:rPr>
          <w:rFonts w:ascii="Times New Roman" w:hAnsi="Times New Roman" w:cs="Times New Roman"/>
          <w:sz w:val="24"/>
          <w:szCs w:val="24"/>
          <w:lang w:val="en-US"/>
        </w:rPr>
        <w:t xml:space="preserve"> Angela </w:t>
      </w:r>
      <w:proofErr w:type="spellStart"/>
      <w:r w:rsidRPr="009E3EBE">
        <w:rPr>
          <w:rFonts w:ascii="Times New Roman" w:hAnsi="Times New Roman" w:cs="Times New Roman"/>
          <w:sz w:val="24"/>
          <w:szCs w:val="24"/>
          <w:lang w:val="en-US"/>
        </w:rPr>
        <w:t>Ramilyevna</w:t>
      </w:r>
      <w:proofErr w:type="spellEnd"/>
      <w:r w:rsidRPr="009E3EBE">
        <w:rPr>
          <w:rFonts w:ascii="Times New Roman" w:hAnsi="Times New Roman" w:cs="Times New Roman"/>
          <w:sz w:val="24"/>
          <w:szCs w:val="24"/>
          <w:lang w:val="en-US"/>
        </w:rPr>
        <w:t xml:space="preserve">, </w:t>
      </w:r>
      <w:proofErr w:type="spellStart"/>
      <w:r w:rsidRPr="009E3EBE">
        <w:rPr>
          <w:rFonts w:ascii="Times New Roman" w:hAnsi="Times New Roman" w:cs="Times New Roman"/>
          <w:sz w:val="24"/>
          <w:szCs w:val="24"/>
          <w:lang w:val="en-US"/>
        </w:rPr>
        <w:t>Kiushkina</w:t>
      </w:r>
      <w:proofErr w:type="spellEnd"/>
      <w:r w:rsidRPr="009E3EBE">
        <w:rPr>
          <w:rFonts w:ascii="Times New Roman" w:hAnsi="Times New Roman" w:cs="Times New Roman"/>
          <w:sz w:val="24"/>
          <w:szCs w:val="24"/>
          <w:lang w:val="en-US"/>
        </w:rPr>
        <w:t xml:space="preserve"> Violetta </w:t>
      </w:r>
      <w:proofErr w:type="spellStart"/>
      <w:r w:rsidRPr="009E3EBE">
        <w:rPr>
          <w:rFonts w:ascii="Times New Roman" w:hAnsi="Times New Roman" w:cs="Times New Roman"/>
          <w:sz w:val="24"/>
          <w:szCs w:val="24"/>
          <w:lang w:val="en-US"/>
        </w:rPr>
        <w:t>Rafikovna</w:t>
      </w:r>
      <w:proofErr w:type="spellEnd"/>
      <w:r w:rsidRPr="009E3EBE">
        <w:rPr>
          <w:rFonts w:ascii="Times New Roman" w:hAnsi="Times New Roman" w:cs="Times New Roman"/>
          <w:sz w:val="24"/>
          <w:szCs w:val="24"/>
          <w:lang w:val="en-US"/>
        </w:rPr>
        <w:t xml:space="preserve"> Assessment of the state of energy security of the Republic of Sakha (Yakutia) based on an indicative analysis of the structural regime block // Bulletin of Eurasian Science. </w:t>
      </w:r>
      <w:r w:rsidRPr="009E3EBE">
        <w:rPr>
          <w:rFonts w:ascii="Times New Roman" w:hAnsi="Times New Roman" w:cs="Times New Roman"/>
          <w:sz w:val="24"/>
          <w:szCs w:val="24"/>
          <w:lang w:val="ru-RU"/>
        </w:rPr>
        <w:t>2013. №1 (14).</w:t>
      </w:r>
    </w:p>
    <w:sectPr w:rsidR="002B6930" w:rsidRPr="002B6930" w:rsidSect="005A5FBE">
      <w:pgSz w:w="11906" w:h="16838"/>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A575" w14:textId="77777777" w:rsidR="00442985" w:rsidRDefault="00442985" w:rsidP="004D02CF">
      <w:pPr>
        <w:spacing w:line="240" w:lineRule="auto"/>
      </w:pPr>
      <w:r>
        <w:separator/>
      </w:r>
    </w:p>
  </w:endnote>
  <w:endnote w:type="continuationSeparator" w:id="0">
    <w:p w14:paraId="3CDDB7C2" w14:textId="77777777" w:rsidR="00442985" w:rsidRDefault="00442985" w:rsidP="004D0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22EA" w14:textId="77777777" w:rsidR="00442985" w:rsidRDefault="00442985" w:rsidP="004D02CF">
      <w:pPr>
        <w:spacing w:line="240" w:lineRule="auto"/>
      </w:pPr>
      <w:r>
        <w:separator/>
      </w:r>
    </w:p>
  </w:footnote>
  <w:footnote w:type="continuationSeparator" w:id="0">
    <w:p w14:paraId="34F58199" w14:textId="77777777" w:rsidR="00442985" w:rsidRDefault="00442985" w:rsidP="004D02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1ED"/>
    <w:multiLevelType w:val="multilevel"/>
    <w:tmpl w:val="B6D23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2B686F"/>
    <w:multiLevelType w:val="multilevel"/>
    <w:tmpl w:val="5B7C1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1F5233"/>
    <w:multiLevelType w:val="multilevel"/>
    <w:tmpl w:val="7D36F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3E1697"/>
    <w:multiLevelType w:val="hybridMultilevel"/>
    <w:tmpl w:val="1C7AB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234A64"/>
    <w:multiLevelType w:val="multilevel"/>
    <w:tmpl w:val="4BC2C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427C0C"/>
    <w:multiLevelType w:val="multilevel"/>
    <w:tmpl w:val="42A4E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F5435E"/>
    <w:multiLevelType w:val="hybridMultilevel"/>
    <w:tmpl w:val="61D6E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807917"/>
    <w:multiLevelType w:val="hybridMultilevel"/>
    <w:tmpl w:val="8286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F5CD1"/>
    <w:multiLevelType w:val="multilevel"/>
    <w:tmpl w:val="1244F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FF60C8C"/>
    <w:multiLevelType w:val="hybridMultilevel"/>
    <w:tmpl w:val="1084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B6F4A"/>
    <w:multiLevelType w:val="hybridMultilevel"/>
    <w:tmpl w:val="90A6A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B7E67EB"/>
    <w:multiLevelType w:val="hybridMultilevel"/>
    <w:tmpl w:val="DB14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574B3"/>
    <w:multiLevelType w:val="hybridMultilevel"/>
    <w:tmpl w:val="8286B9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4E2571"/>
    <w:multiLevelType w:val="multilevel"/>
    <w:tmpl w:val="2130B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735351A"/>
    <w:multiLevelType w:val="hybridMultilevel"/>
    <w:tmpl w:val="DBA6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E3691C"/>
    <w:multiLevelType w:val="hybridMultilevel"/>
    <w:tmpl w:val="973C6786"/>
    <w:lvl w:ilvl="0" w:tplc="83468616">
      <w:start w:val="1"/>
      <w:numFmt w:val="decimal"/>
      <w:lvlText w:val="%1)"/>
      <w:lvlJc w:val="left"/>
      <w:pPr>
        <w:ind w:left="360" w:hanging="360"/>
      </w:pPr>
      <w:rPr>
        <w:rFonts w:ascii="Times New Roman" w:hAnsi="Times New Roman"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06118C"/>
    <w:multiLevelType w:val="hybridMultilevel"/>
    <w:tmpl w:val="B3D68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80366348">
    <w:abstractNumId w:val="5"/>
  </w:num>
  <w:num w:numId="2" w16cid:durableId="1775242816">
    <w:abstractNumId w:val="8"/>
  </w:num>
  <w:num w:numId="3" w16cid:durableId="635338698">
    <w:abstractNumId w:val="2"/>
  </w:num>
  <w:num w:numId="4" w16cid:durableId="1762021823">
    <w:abstractNumId w:val="4"/>
  </w:num>
  <w:num w:numId="5" w16cid:durableId="1634943411">
    <w:abstractNumId w:val="0"/>
  </w:num>
  <w:num w:numId="6" w16cid:durableId="161359791">
    <w:abstractNumId w:val="1"/>
  </w:num>
  <w:num w:numId="7" w16cid:durableId="936517788">
    <w:abstractNumId w:val="13"/>
  </w:num>
  <w:num w:numId="8" w16cid:durableId="1484350733">
    <w:abstractNumId w:val="10"/>
  </w:num>
  <w:num w:numId="9" w16cid:durableId="1105811459">
    <w:abstractNumId w:val="6"/>
  </w:num>
  <w:num w:numId="10" w16cid:durableId="1941985823">
    <w:abstractNumId w:val="3"/>
  </w:num>
  <w:num w:numId="11" w16cid:durableId="801508452">
    <w:abstractNumId w:val="16"/>
  </w:num>
  <w:num w:numId="12" w16cid:durableId="1519808882">
    <w:abstractNumId w:val="9"/>
  </w:num>
  <w:num w:numId="13" w16cid:durableId="228276264">
    <w:abstractNumId w:val="14"/>
  </w:num>
  <w:num w:numId="14" w16cid:durableId="304624378">
    <w:abstractNumId w:val="11"/>
  </w:num>
  <w:num w:numId="15" w16cid:durableId="456879604">
    <w:abstractNumId w:val="7"/>
  </w:num>
  <w:num w:numId="16" w16cid:durableId="1273971396">
    <w:abstractNumId w:val="12"/>
  </w:num>
  <w:num w:numId="17" w16cid:durableId="7815337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AF"/>
    <w:rsid w:val="000009B4"/>
    <w:rsid w:val="00020D8A"/>
    <w:rsid w:val="00027E5E"/>
    <w:rsid w:val="0005642D"/>
    <w:rsid w:val="000649AA"/>
    <w:rsid w:val="00081DD1"/>
    <w:rsid w:val="00094C37"/>
    <w:rsid w:val="000A3FC0"/>
    <w:rsid w:val="000C17B4"/>
    <w:rsid w:val="000C6833"/>
    <w:rsid w:val="000D1086"/>
    <w:rsid w:val="000D41AE"/>
    <w:rsid w:val="000D5656"/>
    <w:rsid w:val="000E2E35"/>
    <w:rsid w:val="000F02F9"/>
    <w:rsid w:val="000F57A5"/>
    <w:rsid w:val="00144EB7"/>
    <w:rsid w:val="00160AE1"/>
    <w:rsid w:val="00164463"/>
    <w:rsid w:val="00184EA2"/>
    <w:rsid w:val="001A08F0"/>
    <w:rsid w:val="001B51D8"/>
    <w:rsid w:val="001B7DCC"/>
    <w:rsid w:val="001D77B0"/>
    <w:rsid w:val="001E00E3"/>
    <w:rsid w:val="001E71C8"/>
    <w:rsid w:val="001E7946"/>
    <w:rsid w:val="00201DAC"/>
    <w:rsid w:val="00243CFE"/>
    <w:rsid w:val="0028649F"/>
    <w:rsid w:val="002875B3"/>
    <w:rsid w:val="002B0300"/>
    <w:rsid w:val="002B19BE"/>
    <w:rsid w:val="002B6930"/>
    <w:rsid w:val="002C0E63"/>
    <w:rsid w:val="002D3625"/>
    <w:rsid w:val="003110E7"/>
    <w:rsid w:val="00313C58"/>
    <w:rsid w:val="003153CA"/>
    <w:rsid w:val="00327B22"/>
    <w:rsid w:val="00364802"/>
    <w:rsid w:val="00373146"/>
    <w:rsid w:val="00374FC7"/>
    <w:rsid w:val="00387819"/>
    <w:rsid w:val="0039231F"/>
    <w:rsid w:val="003E3CB4"/>
    <w:rsid w:val="00424700"/>
    <w:rsid w:val="0043299C"/>
    <w:rsid w:val="00442985"/>
    <w:rsid w:val="00451F3A"/>
    <w:rsid w:val="00454D59"/>
    <w:rsid w:val="004744CE"/>
    <w:rsid w:val="00485389"/>
    <w:rsid w:val="0049541D"/>
    <w:rsid w:val="004B2649"/>
    <w:rsid w:val="004C5A34"/>
    <w:rsid w:val="004D02CF"/>
    <w:rsid w:val="004D5C77"/>
    <w:rsid w:val="004E2C4F"/>
    <w:rsid w:val="004F0217"/>
    <w:rsid w:val="004F055F"/>
    <w:rsid w:val="004F59CE"/>
    <w:rsid w:val="00501075"/>
    <w:rsid w:val="0051047D"/>
    <w:rsid w:val="005332FF"/>
    <w:rsid w:val="00541090"/>
    <w:rsid w:val="00550F1E"/>
    <w:rsid w:val="00554326"/>
    <w:rsid w:val="005566BB"/>
    <w:rsid w:val="00572BD4"/>
    <w:rsid w:val="00572E5A"/>
    <w:rsid w:val="005A5440"/>
    <w:rsid w:val="005A5FBE"/>
    <w:rsid w:val="005B7AB7"/>
    <w:rsid w:val="005C39D5"/>
    <w:rsid w:val="005C44AB"/>
    <w:rsid w:val="005F5371"/>
    <w:rsid w:val="00604A99"/>
    <w:rsid w:val="0061750E"/>
    <w:rsid w:val="006338BE"/>
    <w:rsid w:val="00642C42"/>
    <w:rsid w:val="00663399"/>
    <w:rsid w:val="006A37C5"/>
    <w:rsid w:val="006B6DFF"/>
    <w:rsid w:val="006C4B20"/>
    <w:rsid w:val="006D6695"/>
    <w:rsid w:val="006E7186"/>
    <w:rsid w:val="007036D2"/>
    <w:rsid w:val="00746D58"/>
    <w:rsid w:val="007A5215"/>
    <w:rsid w:val="007B08E2"/>
    <w:rsid w:val="007B6E8A"/>
    <w:rsid w:val="007F3FA1"/>
    <w:rsid w:val="007F6859"/>
    <w:rsid w:val="00804539"/>
    <w:rsid w:val="008311B4"/>
    <w:rsid w:val="00856212"/>
    <w:rsid w:val="008679EC"/>
    <w:rsid w:val="008723B6"/>
    <w:rsid w:val="00890E62"/>
    <w:rsid w:val="008910FC"/>
    <w:rsid w:val="008A6347"/>
    <w:rsid w:val="008C2D30"/>
    <w:rsid w:val="008F63F3"/>
    <w:rsid w:val="0093128A"/>
    <w:rsid w:val="009351A7"/>
    <w:rsid w:val="00944C59"/>
    <w:rsid w:val="00973EAC"/>
    <w:rsid w:val="00994927"/>
    <w:rsid w:val="009B754B"/>
    <w:rsid w:val="009C30D5"/>
    <w:rsid w:val="009C47FE"/>
    <w:rsid w:val="009D23E6"/>
    <w:rsid w:val="009D68EE"/>
    <w:rsid w:val="009E3EBE"/>
    <w:rsid w:val="009E6779"/>
    <w:rsid w:val="00A14642"/>
    <w:rsid w:val="00A204AF"/>
    <w:rsid w:val="00A25CAB"/>
    <w:rsid w:val="00A2671C"/>
    <w:rsid w:val="00A96300"/>
    <w:rsid w:val="00AC61C3"/>
    <w:rsid w:val="00AD1F21"/>
    <w:rsid w:val="00AE4556"/>
    <w:rsid w:val="00AE592F"/>
    <w:rsid w:val="00AF0817"/>
    <w:rsid w:val="00B0090A"/>
    <w:rsid w:val="00B17101"/>
    <w:rsid w:val="00B20CF4"/>
    <w:rsid w:val="00B44CE1"/>
    <w:rsid w:val="00B5043E"/>
    <w:rsid w:val="00B70E21"/>
    <w:rsid w:val="00B90D24"/>
    <w:rsid w:val="00BA197F"/>
    <w:rsid w:val="00BD25D9"/>
    <w:rsid w:val="00C058DE"/>
    <w:rsid w:val="00C41DC0"/>
    <w:rsid w:val="00C600BC"/>
    <w:rsid w:val="00C65CF0"/>
    <w:rsid w:val="00C8233B"/>
    <w:rsid w:val="00CC5D1A"/>
    <w:rsid w:val="00CD69A1"/>
    <w:rsid w:val="00CE4340"/>
    <w:rsid w:val="00D005CB"/>
    <w:rsid w:val="00D23DC4"/>
    <w:rsid w:val="00D46DD1"/>
    <w:rsid w:val="00D77A69"/>
    <w:rsid w:val="00D80415"/>
    <w:rsid w:val="00DB3F0C"/>
    <w:rsid w:val="00DE06C6"/>
    <w:rsid w:val="00DE14E8"/>
    <w:rsid w:val="00DF2156"/>
    <w:rsid w:val="00DF36BE"/>
    <w:rsid w:val="00E15FB4"/>
    <w:rsid w:val="00E22FF7"/>
    <w:rsid w:val="00E25840"/>
    <w:rsid w:val="00E3246B"/>
    <w:rsid w:val="00E47BBC"/>
    <w:rsid w:val="00E82302"/>
    <w:rsid w:val="00E914B0"/>
    <w:rsid w:val="00E926AD"/>
    <w:rsid w:val="00EC48C7"/>
    <w:rsid w:val="00ED1DFD"/>
    <w:rsid w:val="00EE314F"/>
    <w:rsid w:val="00EF4738"/>
    <w:rsid w:val="00F01251"/>
    <w:rsid w:val="00F0774A"/>
    <w:rsid w:val="00F21AC7"/>
    <w:rsid w:val="00F32FC2"/>
    <w:rsid w:val="00F45DC2"/>
    <w:rsid w:val="00F552FC"/>
    <w:rsid w:val="00FB1B77"/>
    <w:rsid w:val="00FB2AA4"/>
    <w:rsid w:val="00FC4846"/>
    <w:rsid w:val="00FC4DFC"/>
    <w:rsid w:val="00FE5CFE"/>
    <w:rsid w:val="00FE71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CD2E"/>
  <w15:docId w15:val="{D3FF20A2-C397-4E31-B11C-73CB9322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C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9541D"/>
    <w:pPr>
      <w:ind w:left="720"/>
      <w:contextualSpacing/>
    </w:pPr>
  </w:style>
  <w:style w:type="table" w:styleId="TableGrid">
    <w:name w:val="Table Grid"/>
    <w:basedOn w:val="TableNormal"/>
    <w:uiPriority w:val="39"/>
    <w:rsid w:val="004954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2CF"/>
    <w:pPr>
      <w:spacing w:line="240" w:lineRule="auto"/>
    </w:pPr>
    <w:rPr>
      <w:sz w:val="20"/>
      <w:szCs w:val="20"/>
    </w:rPr>
  </w:style>
  <w:style w:type="character" w:customStyle="1" w:styleId="FootnoteTextChar">
    <w:name w:val="Footnote Text Char"/>
    <w:basedOn w:val="DefaultParagraphFont"/>
    <w:link w:val="FootnoteText"/>
    <w:uiPriority w:val="99"/>
    <w:semiHidden/>
    <w:rsid w:val="004D02CF"/>
    <w:rPr>
      <w:sz w:val="20"/>
      <w:szCs w:val="20"/>
    </w:rPr>
  </w:style>
  <w:style w:type="character" w:styleId="FootnoteReference">
    <w:name w:val="footnote reference"/>
    <w:basedOn w:val="DefaultParagraphFont"/>
    <w:uiPriority w:val="99"/>
    <w:semiHidden/>
    <w:unhideWhenUsed/>
    <w:rsid w:val="004D02CF"/>
    <w:rPr>
      <w:vertAlign w:val="superscript"/>
    </w:rPr>
  </w:style>
  <w:style w:type="character" w:styleId="Hyperlink">
    <w:name w:val="Hyperlink"/>
    <w:basedOn w:val="DefaultParagraphFont"/>
    <w:uiPriority w:val="99"/>
    <w:unhideWhenUsed/>
    <w:rsid w:val="00DE14E8"/>
    <w:rPr>
      <w:color w:val="0000FF" w:themeColor="hyperlink"/>
      <w:u w:val="single"/>
    </w:rPr>
  </w:style>
  <w:style w:type="character" w:styleId="UnresolvedMention">
    <w:name w:val="Unresolved Mention"/>
    <w:basedOn w:val="DefaultParagraphFont"/>
    <w:uiPriority w:val="99"/>
    <w:semiHidden/>
    <w:unhideWhenUsed/>
    <w:rsid w:val="00DE14E8"/>
    <w:rPr>
      <w:color w:val="605E5C"/>
      <w:shd w:val="clear" w:color="auto" w:fill="E1DFDD"/>
    </w:rPr>
  </w:style>
  <w:style w:type="paragraph" w:customStyle="1" w:styleId="formattext">
    <w:name w:val="formattext"/>
    <w:basedOn w:val="Normal"/>
    <w:rsid w:val="006D66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PlaceholderText">
    <w:name w:val="Placeholder Text"/>
    <w:basedOn w:val="DefaultParagraphFont"/>
    <w:uiPriority w:val="99"/>
    <w:semiHidden/>
    <w:rsid w:val="004F0217"/>
    <w:rPr>
      <w:color w:val="808080"/>
    </w:rPr>
  </w:style>
  <w:style w:type="paragraph" w:styleId="Header">
    <w:name w:val="header"/>
    <w:basedOn w:val="Normal"/>
    <w:link w:val="HeaderChar"/>
    <w:uiPriority w:val="99"/>
    <w:unhideWhenUsed/>
    <w:rsid w:val="00DF2156"/>
    <w:pPr>
      <w:tabs>
        <w:tab w:val="center" w:pos="4844"/>
        <w:tab w:val="right" w:pos="9689"/>
      </w:tabs>
      <w:spacing w:line="240" w:lineRule="auto"/>
    </w:pPr>
  </w:style>
  <w:style w:type="character" w:customStyle="1" w:styleId="HeaderChar">
    <w:name w:val="Header Char"/>
    <w:basedOn w:val="DefaultParagraphFont"/>
    <w:link w:val="Header"/>
    <w:uiPriority w:val="99"/>
    <w:rsid w:val="00DF2156"/>
  </w:style>
  <w:style w:type="paragraph" w:styleId="Footer">
    <w:name w:val="footer"/>
    <w:basedOn w:val="Normal"/>
    <w:link w:val="FooterChar"/>
    <w:uiPriority w:val="99"/>
    <w:unhideWhenUsed/>
    <w:rsid w:val="00DF2156"/>
    <w:pPr>
      <w:tabs>
        <w:tab w:val="center" w:pos="4844"/>
        <w:tab w:val="right" w:pos="9689"/>
      </w:tabs>
      <w:spacing w:line="240" w:lineRule="auto"/>
    </w:pPr>
  </w:style>
  <w:style w:type="character" w:customStyle="1" w:styleId="FooterChar">
    <w:name w:val="Footer Char"/>
    <w:basedOn w:val="DefaultParagraphFont"/>
    <w:link w:val="Footer"/>
    <w:uiPriority w:val="99"/>
    <w:rsid w:val="00DF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31388">
      <w:bodyDiv w:val="1"/>
      <w:marLeft w:val="0"/>
      <w:marRight w:val="0"/>
      <w:marTop w:val="0"/>
      <w:marBottom w:val="0"/>
      <w:divBdr>
        <w:top w:val="none" w:sz="0" w:space="0" w:color="auto"/>
        <w:left w:val="none" w:sz="0" w:space="0" w:color="auto"/>
        <w:bottom w:val="none" w:sz="0" w:space="0" w:color="auto"/>
        <w:right w:val="none" w:sz="0" w:space="0" w:color="auto"/>
      </w:divBdr>
    </w:div>
    <w:div w:id="952589145">
      <w:bodyDiv w:val="1"/>
      <w:marLeft w:val="0"/>
      <w:marRight w:val="0"/>
      <w:marTop w:val="0"/>
      <w:marBottom w:val="0"/>
      <w:divBdr>
        <w:top w:val="none" w:sz="0" w:space="0" w:color="auto"/>
        <w:left w:val="none" w:sz="0" w:space="0" w:color="auto"/>
        <w:bottom w:val="none" w:sz="0" w:space="0" w:color="auto"/>
        <w:right w:val="none" w:sz="0" w:space="0" w:color="auto"/>
      </w:divBdr>
    </w:div>
    <w:div w:id="1407800777">
      <w:bodyDiv w:val="1"/>
      <w:marLeft w:val="0"/>
      <w:marRight w:val="0"/>
      <w:marTop w:val="0"/>
      <w:marBottom w:val="0"/>
      <w:divBdr>
        <w:top w:val="none" w:sz="0" w:space="0" w:color="auto"/>
        <w:left w:val="none" w:sz="0" w:space="0" w:color="auto"/>
        <w:bottom w:val="none" w:sz="0" w:space="0" w:color="auto"/>
        <w:right w:val="none" w:sz="0" w:space="0" w:color="auto"/>
      </w:divBdr>
    </w:div>
    <w:div w:id="1439526329">
      <w:bodyDiv w:val="1"/>
      <w:marLeft w:val="0"/>
      <w:marRight w:val="0"/>
      <w:marTop w:val="0"/>
      <w:marBottom w:val="0"/>
      <w:divBdr>
        <w:top w:val="none" w:sz="0" w:space="0" w:color="auto"/>
        <w:left w:val="none" w:sz="0" w:space="0" w:color="auto"/>
        <w:bottom w:val="none" w:sz="0" w:space="0" w:color="auto"/>
        <w:right w:val="none" w:sz="0" w:space="0" w:color="auto"/>
      </w:divBdr>
    </w:div>
    <w:div w:id="1729525429">
      <w:bodyDiv w:val="1"/>
      <w:marLeft w:val="0"/>
      <w:marRight w:val="0"/>
      <w:marTop w:val="0"/>
      <w:marBottom w:val="0"/>
      <w:divBdr>
        <w:top w:val="none" w:sz="0" w:space="0" w:color="auto"/>
        <w:left w:val="none" w:sz="0" w:space="0" w:color="auto"/>
        <w:bottom w:val="none" w:sz="0" w:space="0" w:color="auto"/>
        <w:right w:val="none" w:sz="0" w:space="0" w:color="auto"/>
      </w:divBdr>
    </w:div>
    <w:div w:id="1975334628">
      <w:bodyDiv w:val="1"/>
      <w:marLeft w:val="0"/>
      <w:marRight w:val="0"/>
      <w:marTop w:val="0"/>
      <w:marBottom w:val="0"/>
      <w:divBdr>
        <w:top w:val="none" w:sz="0" w:space="0" w:color="auto"/>
        <w:left w:val="none" w:sz="0" w:space="0" w:color="auto"/>
        <w:bottom w:val="none" w:sz="0" w:space="0" w:color="auto"/>
        <w:right w:val="none" w:sz="0" w:space="0" w:color="auto"/>
      </w:divBdr>
    </w:div>
    <w:div w:id="206806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ystrategy.ru/projects/Energy_21/4-2.pdf"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yberleninka.ru/article/n/perspektivy-i-ogranicheniya-razvitiya-raspredelennoy-energetiki-na-elektroenergeticheskom-rynke-rossii" TargetMode="External"/><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206071349434966E-2"/>
          <c:y val="6.2675131162964151E-2"/>
          <c:w val="0.88541989807223576"/>
          <c:h val="0.58641519367601169"/>
        </c:manualLayout>
      </c:layout>
      <c:lineChart>
        <c:grouping val="stacked"/>
        <c:varyColors val="0"/>
        <c:ser>
          <c:idx val="0"/>
          <c:order val="0"/>
          <c:tx>
            <c:strRef>
              <c:f>Лист1!$B$1</c:f>
              <c:strCache>
                <c:ptCount val="1"/>
                <c:pt idx="0">
                  <c:v>Динамика выработки электроэнергии на ДЭС в изолированных территориях, млн кВт. Ч (левая шкала)</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4"/>
              <c:layout>
                <c:manualLayout>
                  <c:x val="6.6474628849988917E-3"/>
                  <c:y val="8.3594566353187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67-4CEA-90CB-FA92A422FCF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753.6</c:v>
                </c:pt>
                <c:pt idx="1">
                  <c:v>594</c:v>
                </c:pt>
                <c:pt idx="2">
                  <c:v>784.4</c:v>
                </c:pt>
                <c:pt idx="3">
                  <c:v>940.4</c:v>
                </c:pt>
                <c:pt idx="4">
                  <c:v>1073.3</c:v>
                </c:pt>
              </c:numCache>
            </c:numRef>
          </c:val>
          <c:smooth val="0"/>
          <c:extLst>
            <c:ext xmlns:c16="http://schemas.microsoft.com/office/drawing/2014/chart" uri="{C3380CC4-5D6E-409C-BE32-E72D297353CC}">
              <c16:uniqueId val="{00000000-6067-4CEA-90CB-FA92A422FCF2}"/>
            </c:ext>
          </c:extLst>
        </c:ser>
        <c:dLbls>
          <c:showLegendKey val="0"/>
          <c:showVal val="1"/>
          <c:showCatName val="0"/>
          <c:showSerName val="0"/>
          <c:showPercent val="0"/>
          <c:showBubbleSize val="0"/>
        </c:dLbls>
        <c:marker val="1"/>
        <c:smooth val="0"/>
        <c:axId val="1678156848"/>
        <c:axId val="1678170576"/>
      </c:lineChart>
      <c:lineChart>
        <c:grouping val="stacked"/>
        <c:varyColors val="0"/>
        <c:ser>
          <c:idx val="1"/>
          <c:order val="1"/>
          <c:tx>
            <c:strRef>
              <c:f>Лист1!$C$1</c:f>
              <c:strCache>
                <c:ptCount val="1"/>
                <c:pt idx="0">
                  <c:v>Доля выработки электроэнергии на ДЭС от всей электрогенерации в изолированных территориях РС, % (права шкала)</c:v>
                </c:pt>
              </c:strCache>
            </c:strRef>
          </c:tx>
          <c:spPr>
            <a:ln w="28575" cap="rnd">
              <a:solidFill>
                <a:schemeClr val="tx1"/>
              </a:solidFill>
              <a:prstDash val="lgDashDot"/>
              <a:round/>
            </a:ln>
            <a:effectLst/>
          </c:spPr>
          <c:marker>
            <c:symbol val="circle"/>
            <c:size val="5"/>
            <c:spPr>
              <a:solidFill>
                <a:schemeClr val="tx1"/>
              </a:solidFill>
              <a:ln w="9525">
                <a:solidFill>
                  <a:schemeClr val="tx1"/>
                </a:solidFill>
                <a:prstDash val="lgDashDot"/>
              </a:ln>
              <a:effectLst/>
            </c:spPr>
          </c:marker>
          <c:dLbls>
            <c:dLbl>
              <c:idx val="2"/>
              <c:layout>
                <c:manualLayout>
                  <c:x val="-2.2158209616663056E-2"/>
                  <c:y val="-0.100313479623824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67-4CEA-90CB-FA92A422FCF2}"/>
                </c:ext>
              </c:extLst>
            </c:dLbl>
            <c:dLbl>
              <c:idx val="3"/>
              <c:layout>
                <c:manualLayout>
                  <c:x val="-5.3179703079991217E-2"/>
                  <c:y val="-7.1055381400208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67-4CEA-90CB-FA92A422FCF2}"/>
                </c:ext>
              </c:extLst>
            </c:dLbl>
            <c:dLbl>
              <c:idx val="4"/>
              <c:layout>
                <c:manualLayout>
                  <c:x val="-5.3179703079991134E-2"/>
                  <c:y val="-7.5235109717868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67-4CEA-90CB-FA92A422FCF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0.00%</c:formatCode>
                <c:ptCount val="5"/>
                <c:pt idx="0">
                  <c:v>0.72147281600000002</c:v>
                </c:pt>
                <c:pt idx="1">
                  <c:v>0.51025229100000002</c:v>
                </c:pt>
                <c:pt idx="2">
                  <c:v>0.62847528200000002</c:v>
                </c:pt>
                <c:pt idx="3">
                  <c:v>0.74365199199999998</c:v>
                </c:pt>
                <c:pt idx="4">
                  <c:v>0.82510128299999996</c:v>
                </c:pt>
              </c:numCache>
            </c:numRef>
          </c:val>
          <c:smooth val="0"/>
          <c:extLst>
            <c:ext xmlns:c16="http://schemas.microsoft.com/office/drawing/2014/chart" uri="{C3380CC4-5D6E-409C-BE32-E72D297353CC}">
              <c16:uniqueId val="{00000003-6067-4CEA-90CB-FA92A422FCF2}"/>
            </c:ext>
          </c:extLst>
        </c:ser>
        <c:dLbls>
          <c:showLegendKey val="0"/>
          <c:showVal val="1"/>
          <c:showCatName val="0"/>
          <c:showSerName val="0"/>
          <c:showPercent val="0"/>
          <c:showBubbleSize val="0"/>
        </c:dLbls>
        <c:marker val="1"/>
        <c:smooth val="0"/>
        <c:axId val="575284320"/>
        <c:axId val="589710864"/>
      </c:lineChart>
      <c:catAx>
        <c:axId val="167815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78170576"/>
        <c:crosses val="autoZero"/>
        <c:auto val="1"/>
        <c:lblAlgn val="ctr"/>
        <c:lblOffset val="100"/>
        <c:noMultiLvlLbl val="0"/>
      </c:catAx>
      <c:valAx>
        <c:axId val="1678170576"/>
        <c:scaling>
          <c:orientation val="minMax"/>
          <c:min val="55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78156848"/>
        <c:crosses val="autoZero"/>
        <c:crossBetween val="between"/>
      </c:valAx>
      <c:valAx>
        <c:axId val="589710864"/>
        <c:scaling>
          <c:orientation val="minMax"/>
          <c:min val="0.30000000000000004"/>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75284320"/>
        <c:crosses val="max"/>
        <c:crossBetween val="between"/>
      </c:valAx>
      <c:catAx>
        <c:axId val="575284320"/>
        <c:scaling>
          <c:orientation val="minMax"/>
        </c:scaling>
        <c:delete val="1"/>
        <c:axPos val="b"/>
        <c:numFmt formatCode="General" sourceLinked="1"/>
        <c:majorTickMark val="out"/>
        <c:minorTickMark val="none"/>
        <c:tickLblPos val="nextTo"/>
        <c:crossAx val="589710864"/>
        <c:crosses val="autoZero"/>
        <c:auto val="1"/>
        <c:lblAlgn val="ctr"/>
        <c:lblOffset val="100"/>
        <c:noMultiLvlLbl val="0"/>
      </c:catAx>
      <c:spPr>
        <a:noFill/>
        <a:ln>
          <a:noFill/>
        </a:ln>
        <a:effectLst/>
      </c:spPr>
    </c:plotArea>
    <c:legend>
      <c:legendPos val="b"/>
      <c:layout>
        <c:manualLayout>
          <c:xMode val="edge"/>
          <c:yMode val="edge"/>
          <c:x val="7.5581653002437396E-2"/>
          <c:y val="0.75625856502450473"/>
          <c:w val="0.84883669399512518"/>
          <c:h val="0.2201426149164982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Лист1!$B$1</c:f>
              <c:strCache>
                <c:ptCount val="1"/>
                <c:pt idx="0">
                  <c:v>Критическое значение, кВт*ч</c:v>
                </c:pt>
              </c:strCache>
            </c:strRef>
          </c:tx>
          <c:spPr>
            <a:solidFill>
              <a:schemeClr val="bg1">
                <a:lumMod val="95000"/>
              </a:schemeClr>
            </a:solidFill>
            <a:ln>
              <a:solidFill>
                <a:schemeClr val="tx1"/>
              </a:solidFill>
            </a:ln>
            <a:effectLst/>
          </c:spPr>
          <c:dLbls>
            <c:dLbl>
              <c:idx val="0"/>
              <c:delete val="1"/>
              <c:extLst>
                <c:ext xmlns:c15="http://schemas.microsoft.com/office/drawing/2012/chart" uri="{CE6537A1-D6FC-4f65-9D91-7224C49458BB}"/>
                <c:ext xmlns:c16="http://schemas.microsoft.com/office/drawing/2014/chart" uri="{C3380CC4-5D6E-409C-BE32-E72D297353CC}">
                  <c16:uniqueId val="{00000007-CAEE-49E2-A322-28E01ECC7FA1}"/>
                </c:ext>
              </c:extLst>
            </c:dLbl>
            <c:dLbl>
              <c:idx val="1"/>
              <c:delete val="1"/>
              <c:extLst>
                <c:ext xmlns:c15="http://schemas.microsoft.com/office/drawing/2012/chart" uri="{CE6537A1-D6FC-4f65-9D91-7224C49458BB}"/>
                <c:ext xmlns:c16="http://schemas.microsoft.com/office/drawing/2014/chart" uri="{C3380CC4-5D6E-409C-BE32-E72D297353CC}">
                  <c16:uniqueId val="{00000008-CAEE-49E2-A322-28E01ECC7FA1}"/>
                </c:ext>
              </c:extLst>
            </c:dLbl>
            <c:dLbl>
              <c:idx val="3"/>
              <c:delete val="1"/>
              <c:extLst>
                <c:ext xmlns:c15="http://schemas.microsoft.com/office/drawing/2012/chart" uri="{CE6537A1-D6FC-4f65-9D91-7224C49458BB}"/>
                <c:ext xmlns:c16="http://schemas.microsoft.com/office/drawing/2014/chart" uri="{C3380CC4-5D6E-409C-BE32-E72D297353CC}">
                  <c16:uniqueId val="{00000009-CAEE-49E2-A322-28E01ECC7FA1}"/>
                </c:ext>
              </c:extLst>
            </c:dLbl>
            <c:dLbl>
              <c:idx val="4"/>
              <c:delete val="1"/>
              <c:extLst>
                <c:ext xmlns:c15="http://schemas.microsoft.com/office/drawing/2012/chart" uri="{CE6537A1-D6FC-4f65-9D91-7224C49458BB}"/>
                <c:ext xmlns:c16="http://schemas.microsoft.com/office/drawing/2014/chart" uri="{C3380CC4-5D6E-409C-BE32-E72D297353CC}">
                  <c16:uniqueId val="{0000000A-CAEE-49E2-A322-28E01ECC7FA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1.7</c:v>
                </c:pt>
                <c:pt idx="1">
                  <c:v>1.7</c:v>
                </c:pt>
                <c:pt idx="2">
                  <c:v>1.7</c:v>
                </c:pt>
                <c:pt idx="3">
                  <c:v>1.7</c:v>
                </c:pt>
                <c:pt idx="4">
                  <c:v>1.7</c:v>
                </c:pt>
              </c:numCache>
            </c:numRef>
          </c:val>
          <c:extLst>
            <c:ext xmlns:c16="http://schemas.microsoft.com/office/drawing/2014/chart" uri="{C3380CC4-5D6E-409C-BE32-E72D297353CC}">
              <c16:uniqueId val="{00000000-CAEE-49E2-A322-28E01ECC7FA1}"/>
            </c:ext>
          </c:extLst>
        </c:ser>
        <c:dLbls>
          <c:showLegendKey val="0"/>
          <c:showVal val="0"/>
          <c:showCatName val="0"/>
          <c:showSerName val="0"/>
          <c:showPercent val="0"/>
          <c:showBubbleSize val="0"/>
        </c:dLbls>
        <c:axId val="1678156848"/>
        <c:axId val="1678170576"/>
      </c:areaChart>
      <c:lineChart>
        <c:grouping val="standard"/>
        <c:varyColors val="0"/>
        <c:ser>
          <c:idx val="1"/>
          <c:order val="1"/>
          <c:tx>
            <c:strRef>
              <c:f>Лист1!$C$1</c:f>
              <c:strCache>
                <c:ptCount val="1"/>
                <c:pt idx="0">
                  <c:v>Сутчоное потребления электроэнергии на душу населения в изолированных территориях, кВт*ч</c:v>
                </c:pt>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0.00</c:formatCode>
                <c:ptCount val="5"/>
                <c:pt idx="0">
                  <c:v>2.0902283110000002</c:v>
                </c:pt>
                <c:pt idx="1">
                  <c:v>2.1031963469999999</c:v>
                </c:pt>
                <c:pt idx="2">
                  <c:v>2.1270319629999999</c:v>
                </c:pt>
                <c:pt idx="3">
                  <c:v>2.1542465750000002</c:v>
                </c:pt>
                <c:pt idx="4">
                  <c:v>2.1858447490000001</c:v>
                </c:pt>
              </c:numCache>
            </c:numRef>
          </c:val>
          <c:smooth val="0"/>
          <c:extLst>
            <c:ext xmlns:c16="http://schemas.microsoft.com/office/drawing/2014/chart" uri="{C3380CC4-5D6E-409C-BE32-E72D297353CC}">
              <c16:uniqueId val="{00000002-CAEE-49E2-A322-28E01ECC7FA1}"/>
            </c:ext>
          </c:extLst>
        </c:ser>
        <c:dLbls>
          <c:showLegendKey val="0"/>
          <c:showVal val="0"/>
          <c:showCatName val="0"/>
          <c:showSerName val="0"/>
          <c:showPercent val="0"/>
          <c:showBubbleSize val="0"/>
        </c:dLbls>
        <c:marker val="1"/>
        <c:smooth val="0"/>
        <c:axId val="1678156848"/>
        <c:axId val="1678170576"/>
      </c:lineChart>
      <c:catAx>
        <c:axId val="167815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78170576"/>
        <c:crosses val="autoZero"/>
        <c:auto val="1"/>
        <c:lblAlgn val="ctr"/>
        <c:lblOffset val="100"/>
        <c:noMultiLvlLbl val="0"/>
      </c:catAx>
      <c:valAx>
        <c:axId val="1678170576"/>
        <c:scaling>
          <c:orientation val="minMax"/>
          <c:max val="2.4"/>
          <c:min val="1.3"/>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78156848"/>
        <c:crosses val="autoZero"/>
        <c:crossBetween val="between"/>
      </c:valAx>
      <c:spPr>
        <a:noFill/>
        <a:ln>
          <a:noFill/>
        </a:ln>
        <a:effectLst/>
      </c:spPr>
    </c:plotArea>
    <c:legend>
      <c:legendPos val="b"/>
      <c:layout>
        <c:manualLayout>
          <c:xMode val="edge"/>
          <c:yMode val="edge"/>
          <c:x val="0.13171938982920731"/>
          <c:y val="0.67143142041742598"/>
          <c:w val="0.73656104586749394"/>
          <c:h val="0.3285685795825740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Процентное отношение мощности агрегатов, превысивших нормативный ресурс эксплуатации, к суммарной мощности агрегатов изолированных территорий РС, %</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51.3</c:v>
                </c:pt>
                <c:pt idx="1">
                  <c:v>46.7</c:v>
                </c:pt>
                <c:pt idx="2">
                  <c:v>48.3</c:v>
                </c:pt>
                <c:pt idx="3">
                  <c:v>49.2</c:v>
                </c:pt>
                <c:pt idx="4">
                  <c:v>29.3</c:v>
                </c:pt>
              </c:numCache>
            </c:numRef>
          </c:val>
          <c:smooth val="0"/>
          <c:extLst>
            <c:ext xmlns:c16="http://schemas.microsoft.com/office/drawing/2014/chart" uri="{C3380CC4-5D6E-409C-BE32-E72D297353CC}">
              <c16:uniqueId val="{00000000-1DDB-4B34-9924-FC63B1AF3410}"/>
            </c:ext>
          </c:extLst>
        </c:ser>
        <c:dLbls>
          <c:dLblPos val="t"/>
          <c:showLegendKey val="0"/>
          <c:showVal val="1"/>
          <c:showCatName val="0"/>
          <c:showSerName val="0"/>
          <c:showPercent val="0"/>
          <c:showBubbleSize val="0"/>
        </c:dLbls>
        <c:marker val="1"/>
        <c:smooth val="0"/>
        <c:axId val="1678156848"/>
        <c:axId val="1678170576"/>
      </c:lineChart>
      <c:catAx>
        <c:axId val="167815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78170576"/>
        <c:crosses val="autoZero"/>
        <c:auto val="1"/>
        <c:lblAlgn val="ctr"/>
        <c:lblOffset val="100"/>
        <c:noMultiLvlLbl val="0"/>
      </c:catAx>
      <c:valAx>
        <c:axId val="16781705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7815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Величина недополученных доходов в связи с доведением цен на электрическую энергию до базовых уровней цен на электрическую энергию, млрд руб.</c:v>
                </c:pt>
              </c:strCache>
            </c:strRef>
          </c:tx>
          <c:spPr>
            <a:pattFill prst="ltDnDiag">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8.6430000000000007</c:v>
                </c:pt>
                <c:pt idx="1">
                  <c:v>9.3089999999999993</c:v>
                </c:pt>
                <c:pt idx="2">
                  <c:v>8.9019999999999992</c:v>
                </c:pt>
                <c:pt idx="3">
                  <c:v>8.9149999999999991</c:v>
                </c:pt>
                <c:pt idx="4">
                  <c:v>9.7059999999999995</c:v>
                </c:pt>
              </c:numCache>
            </c:numRef>
          </c:val>
          <c:extLst>
            <c:ext xmlns:c16="http://schemas.microsoft.com/office/drawing/2014/chart" uri="{C3380CC4-5D6E-409C-BE32-E72D297353CC}">
              <c16:uniqueId val="{00000000-A386-4014-99BA-6B5B010B8DC1}"/>
            </c:ext>
          </c:extLst>
        </c:ser>
        <c:dLbls>
          <c:showLegendKey val="0"/>
          <c:showVal val="1"/>
          <c:showCatName val="0"/>
          <c:showSerName val="0"/>
          <c:showPercent val="0"/>
          <c:showBubbleSize val="0"/>
        </c:dLbls>
        <c:gapWidth val="150"/>
        <c:axId val="1678156848"/>
        <c:axId val="1678170576"/>
      </c:barChart>
      <c:catAx>
        <c:axId val="167815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78170576"/>
        <c:crosses val="autoZero"/>
        <c:auto val="1"/>
        <c:lblAlgn val="ctr"/>
        <c:lblOffset val="100"/>
        <c:noMultiLvlLbl val="0"/>
      </c:catAx>
      <c:valAx>
        <c:axId val="16781705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78156848"/>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760064412238326E-2"/>
          <c:y val="7.8949419458160947E-2"/>
          <c:w val="0.92762211486849167"/>
          <c:h val="0.43068422898750558"/>
        </c:manualLayout>
      </c:layout>
      <c:lineChart>
        <c:grouping val="stacked"/>
        <c:varyColors val="0"/>
        <c:ser>
          <c:idx val="0"/>
          <c:order val="0"/>
          <c:tx>
            <c:strRef>
              <c:f>Лист1!$B$1</c:f>
              <c:strCache>
                <c:ptCount val="1"/>
                <c:pt idx="0">
                  <c:v>Интегральный показатель энергетической безопасности изолированных территорий РС, ед.</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0.80659999999999998</c:v>
                </c:pt>
                <c:pt idx="1">
                  <c:v>0.76790000000000003</c:v>
                </c:pt>
                <c:pt idx="2">
                  <c:v>0.8266</c:v>
                </c:pt>
                <c:pt idx="3">
                  <c:v>0.87160000000000004</c:v>
                </c:pt>
                <c:pt idx="4">
                  <c:v>0.98899999999999999</c:v>
                </c:pt>
              </c:numCache>
            </c:numRef>
          </c:val>
          <c:smooth val="0"/>
          <c:extLst>
            <c:ext xmlns:c16="http://schemas.microsoft.com/office/drawing/2014/chart" uri="{C3380CC4-5D6E-409C-BE32-E72D297353CC}">
              <c16:uniqueId val="{00000000-A60F-4A93-BADB-6274B4B54B94}"/>
            </c:ext>
          </c:extLst>
        </c:ser>
        <c:ser>
          <c:idx val="1"/>
          <c:order val="1"/>
          <c:tx>
            <c:strRef>
              <c:f>Лист1!$C$1</c:f>
              <c:strCache>
                <c:ptCount val="1"/>
                <c:pt idx="0">
                  <c:v>Целевое значение интегрального показателя, ед.</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1</c:v>
                </c:pt>
                <c:pt idx="1">
                  <c:v>1</c:v>
                </c:pt>
                <c:pt idx="2">
                  <c:v>1</c:v>
                </c:pt>
                <c:pt idx="3">
                  <c:v>1</c:v>
                </c:pt>
                <c:pt idx="4">
                  <c:v>1</c:v>
                </c:pt>
              </c:numCache>
            </c:numRef>
          </c:val>
          <c:smooth val="0"/>
          <c:extLst>
            <c:ext xmlns:c16="http://schemas.microsoft.com/office/drawing/2014/chart" uri="{C3380CC4-5D6E-409C-BE32-E72D297353CC}">
              <c16:uniqueId val="{00000005-95A1-4345-84D4-62F190088A7C}"/>
            </c:ext>
          </c:extLst>
        </c:ser>
        <c:dLbls>
          <c:dLblPos val="t"/>
          <c:showLegendKey val="0"/>
          <c:showVal val="1"/>
          <c:showCatName val="0"/>
          <c:showSerName val="0"/>
          <c:showPercent val="0"/>
          <c:showBubbleSize val="0"/>
        </c:dLbls>
        <c:marker val="1"/>
        <c:smooth val="0"/>
        <c:axId val="1678156848"/>
        <c:axId val="1678170576"/>
      </c:lineChart>
      <c:catAx>
        <c:axId val="167815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78170576"/>
        <c:crosses val="autoZero"/>
        <c:auto val="1"/>
        <c:lblAlgn val="ctr"/>
        <c:lblOffset val="100"/>
        <c:noMultiLvlLbl val="0"/>
      </c:catAx>
      <c:valAx>
        <c:axId val="16781705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78156848"/>
        <c:crosses val="autoZero"/>
        <c:crossBetween val="between"/>
      </c:valAx>
      <c:spPr>
        <a:noFill/>
        <a:ln>
          <a:noFill/>
        </a:ln>
        <a:effectLst/>
      </c:spPr>
    </c:plotArea>
    <c:legend>
      <c:legendPos val="b"/>
      <c:layout>
        <c:manualLayout>
          <c:xMode val="edge"/>
          <c:yMode val="edge"/>
          <c:x val="3.325818572195384E-2"/>
          <c:y val="0.60697450954223942"/>
          <c:w val="0.94851315083199128"/>
          <c:h val="0.3523475243560656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A338477E137BA249B76BF24912067508" ma:contentTypeVersion="10" ma:contentTypeDescription="Создание документа." ma:contentTypeScope="" ma:versionID="e7cf2e82078e714efbdb195cf029866e">
  <xsd:schema xmlns:xsd="http://www.w3.org/2001/XMLSchema" xmlns:xs="http://www.w3.org/2001/XMLSchema" xmlns:p="http://schemas.microsoft.com/office/2006/metadata/properties" xmlns:ns3="5c4beab2-b2d0-46e2-81fc-64d3c4e08a1f" targetNamespace="http://schemas.microsoft.com/office/2006/metadata/properties" ma:root="true" ma:fieldsID="7dd42fa018bba8135d45f6f03e3299c3" ns3:_="">
    <xsd:import namespace="5c4beab2-b2d0-46e2-81fc-64d3c4e08a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beab2-b2d0-46e2-81fc-64d3c4e08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EA14D-9734-46EE-8615-2A72840597B9}">
  <ds:schemaRefs>
    <ds:schemaRef ds:uri="http://schemas.microsoft.com/sharepoint/v3/contenttype/forms"/>
  </ds:schemaRefs>
</ds:datastoreItem>
</file>

<file path=customXml/itemProps2.xml><?xml version="1.0" encoding="utf-8"?>
<ds:datastoreItem xmlns:ds="http://schemas.openxmlformats.org/officeDocument/2006/customXml" ds:itemID="{AA416688-4F82-47C1-A334-BEDAACB8B9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701A28-39F0-4368-A208-61253B6F85A5}">
  <ds:schemaRefs>
    <ds:schemaRef ds:uri="http://schemas.openxmlformats.org/officeDocument/2006/bibliography"/>
  </ds:schemaRefs>
</ds:datastoreItem>
</file>

<file path=customXml/itemProps4.xml><?xml version="1.0" encoding="utf-8"?>
<ds:datastoreItem xmlns:ds="http://schemas.openxmlformats.org/officeDocument/2006/customXml" ds:itemID="{10FDED34-E76B-4647-89C1-209008123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beab2-b2d0-46e2-81fc-64d3c4e08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4249</Words>
  <Characters>24221</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Тася</dc:creator>
  <cp:lastModifiedBy>Ленков Даниил Александрович</cp:lastModifiedBy>
  <cp:revision>4</cp:revision>
  <dcterms:created xsi:type="dcterms:W3CDTF">2022-10-30T16:23:00Z</dcterms:created>
  <dcterms:modified xsi:type="dcterms:W3CDTF">2022-10-30T18:57:00Z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0x010100A338477E137BA249B76BF24912067508</vt:lpwstr>
  </property>
</Properties>
</file>