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40" w:rsidRPr="00D26E32" w:rsidRDefault="00905540" w:rsidP="00905540">
      <w:pPr>
        <w:jc w:val="both"/>
        <w:rPr>
          <w:rFonts w:ascii="Times New Roman" w:hAnsi="Times New Roman" w:cs="Times New Roman"/>
          <w:sz w:val="28"/>
          <w:szCs w:val="28"/>
        </w:rPr>
      </w:pPr>
      <w:r w:rsidRPr="00D26E32">
        <w:rPr>
          <w:rFonts w:ascii="Times New Roman" w:hAnsi="Times New Roman" w:cs="Times New Roman"/>
          <w:sz w:val="28"/>
          <w:szCs w:val="28"/>
        </w:rPr>
        <w:t>УДК</w:t>
      </w:r>
      <w:r w:rsidR="001B683C" w:rsidRPr="00D26E32">
        <w:rPr>
          <w:rFonts w:ascii="Times New Roman" w:hAnsi="Times New Roman" w:cs="Times New Roman"/>
          <w:sz w:val="28"/>
          <w:szCs w:val="28"/>
        </w:rPr>
        <w:t xml:space="preserve"> 543.544</w:t>
      </w:r>
    </w:p>
    <w:p w:rsidR="00C37F7D" w:rsidRPr="00D26E32" w:rsidRDefault="00E7176F" w:rsidP="00905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СОРБЦИОНН</w:t>
      </w:r>
      <w:r w:rsidR="007E7457">
        <w:rPr>
          <w:rFonts w:ascii="Times New Roman" w:hAnsi="Times New Roman" w:cs="Times New Roman"/>
          <w:b/>
          <w:sz w:val="28"/>
          <w:szCs w:val="28"/>
        </w:rPr>
        <w:t>ОЙ</w:t>
      </w:r>
      <w:r w:rsidR="00174B9E" w:rsidRPr="00D26E32">
        <w:rPr>
          <w:rFonts w:ascii="Times New Roman" w:hAnsi="Times New Roman" w:cs="Times New Roman"/>
          <w:b/>
          <w:sz w:val="28"/>
          <w:szCs w:val="28"/>
        </w:rPr>
        <w:t xml:space="preserve"> СПОСОБНОСТИ </w:t>
      </w:r>
      <w:r w:rsidR="00C37F7D" w:rsidRPr="00D26E32">
        <w:rPr>
          <w:rFonts w:ascii="Times New Roman" w:hAnsi="Times New Roman" w:cs="Times New Roman"/>
          <w:b/>
          <w:sz w:val="28"/>
          <w:szCs w:val="28"/>
        </w:rPr>
        <w:t>БИОУГЛ</w:t>
      </w:r>
      <w:r w:rsidR="00174B9E" w:rsidRPr="00D26E32">
        <w:rPr>
          <w:rFonts w:ascii="Times New Roman" w:hAnsi="Times New Roman" w:cs="Times New Roman"/>
          <w:b/>
          <w:sz w:val="28"/>
          <w:szCs w:val="28"/>
        </w:rPr>
        <w:t>Я</w:t>
      </w:r>
      <w:r w:rsidR="004275CF" w:rsidRPr="00D2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F7D" w:rsidRPr="00D26E32">
        <w:rPr>
          <w:rFonts w:ascii="Times New Roman" w:hAnsi="Times New Roman" w:cs="Times New Roman"/>
          <w:b/>
          <w:sz w:val="28"/>
          <w:szCs w:val="28"/>
        </w:rPr>
        <w:t xml:space="preserve">НА ОСНОВЕ ОПИЛОК СОСНЫ </w:t>
      </w:r>
    </w:p>
    <w:p w:rsidR="00F13E88" w:rsidRPr="00D26E32" w:rsidRDefault="00F13E88" w:rsidP="00F13E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6E32">
        <w:rPr>
          <w:rFonts w:ascii="Times New Roman" w:hAnsi="Times New Roman" w:cs="Times New Roman"/>
          <w:sz w:val="28"/>
          <w:szCs w:val="28"/>
        </w:rPr>
        <w:t>Мануковская</w:t>
      </w:r>
      <w:proofErr w:type="spellEnd"/>
      <w:r w:rsidRPr="00D26E32">
        <w:rPr>
          <w:rFonts w:ascii="Times New Roman" w:hAnsi="Times New Roman" w:cs="Times New Roman"/>
          <w:sz w:val="28"/>
          <w:szCs w:val="28"/>
        </w:rPr>
        <w:t xml:space="preserve"> В.Е.,</w:t>
      </w:r>
    </w:p>
    <w:p w:rsidR="00D26E32" w:rsidRPr="00D26E32" w:rsidRDefault="007E7457" w:rsidP="00F13E8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7457">
        <w:rPr>
          <w:rFonts w:ascii="Times New Roman" w:hAnsi="Times New Roman" w:cs="Times New Roman"/>
          <w:sz w:val="28"/>
          <w:szCs w:val="28"/>
        </w:rPr>
        <w:t>Ходосова</w:t>
      </w:r>
      <w:proofErr w:type="spellEnd"/>
      <w:r w:rsidRPr="007E7457">
        <w:rPr>
          <w:rFonts w:ascii="Times New Roman" w:hAnsi="Times New Roman" w:cs="Times New Roman"/>
          <w:sz w:val="28"/>
          <w:szCs w:val="28"/>
        </w:rPr>
        <w:t xml:space="preserve"> Н.А., к.х.н.</w:t>
      </w:r>
    </w:p>
    <w:p w:rsidR="00F13E88" w:rsidRPr="00D26E32" w:rsidRDefault="00F13E88" w:rsidP="00F13E88">
      <w:pPr>
        <w:jc w:val="right"/>
        <w:rPr>
          <w:rFonts w:ascii="Times New Roman" w:hAnsi="Times New Roman" w:cs="Times New Roman"/>
          <w:sz w:val="28"/>
          <w:szCs w:val="28"/>
        </w:rPr>
      </w:pPr>
      <w:r w:rsidRPr="00D26E32">
        <w:rPr>
          <w:rFonts w:ascii="Times New Roman" w:hAnsi="Times New Roman" w:cs="Times New Roman"/>
          <w:sz w:val="28"/>
          <w:szCs w:val="28"/>
        </w:rPr>
        <w:t>ФГБОУ ВО Воронежский государственный лесотехнический университет</w:t>
      </w:r>
    </w:p>
    <w:p w:rsidR="00F13E88" w:rsidRPr="00D26E32" w:rsidRDefault="00F13E88" w:rsidP="00F13E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E32">
        <w:rPr>
          <w:rFonts w:ascii="Times New Roman" w:hAnsi="Times New Roman" w:cs="Times New Roman"/>
          <w:sz w:val="28"/>
          <w:szCs w:val="28"/>
        </w:rPr>
        <w:t>имени Г.Ф. Морозова</w:t>
      </w:r>
    </w:p>
    <w:p w:rsidR="00F13E88" w:rsidRDefault="00F13E88" w:rsidP="00F13E8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516" w:rsidRPr="00F13E88" w:rsidRDefault="00905540" w:rsidP="00F13E8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B2199F" w:rsidRPr="00F13E88">
        <w:rPr>
          <w:rFonts w:ascii="Times New Roman" w:hAnsi="Times New Roman" w:cs="Times New Roman"/>
          <w:b/>
          <w:sz w:val="28"/>
          <w:szCs w:val="28"/>
        </w:rPr>
        <w:t>.</w:t>
      </w:r>
      <w:r w:rsidRPr="00F13E88">
        <w:rPr>
          <w:rFonts w:ascii="Times New Roman" w:hAnsi="Times New Roman" w:cs="Times New Roman"/>
          <w:sz w:val="28"/>
          <w:szCs w:val="28"/>
        </w:rPr>
        <w:t xml:space="preserve"> </w:t>
      </w:r>
      <w:r w:rsidR="00BF495E">
        <w:rPr>
          <w:rFonts w:ascii="Times New Roman" w:hAnsi="Times New Roman" w:cs="Times New Roman"/>
          <w:sz w:val="28"/>
          <w:szCs w:val="28"/>
        </w:rPr>
        <w:t>П</w:t>
      </w:r>
      <w:r w:rsidR="001B04B8" w:rsidRPr="00F13E88">
        <w:rPr>
          <w:rFonts w:ascii="Times New Roman" w:hAnsi="Times New Roman" w:cs="Times New Roman"/>
          <w:sz w:val="28"/>
          <w:szCs w:val="28"/>
        </w:rPr>
        <w:t xml:space="preserve">олучены образцы </w:t>
      </w:r>
      <w:proofErr w:type="spellStart"/>
      <w:r w:rsidR="001B04B8" w:rsidRPr="00F13E88">
        <w:rPr>
          <w:rFonts w:ascii="Times New Roman" w:hAnsi="Times New Roman" w:cs="Times New Roman"/>
          <w:sz w:val="28"/>
          <w:szCs w:val="28"/>
        </w:rPr>
        <w:t>биоугля</w:t>
      </w:r>
      <w:proofErr w:type="spellEnd"/>
      <w:r w:rsidR="001B04B8" w:rsidRPr="00F13E88">
        <w:rPr>
          <w:rFonts w:ascii="Times New Roman" w:hAnsi="Times New Roman" w:cs="Times New Roman"/>
          <w:sz w:val="28"/>
          <w:szCs w:val="28"/>
        </w:rPr>
        <w:t xml:space="preserve"> на основе опилок из древесины сосны. </w:t>
      </w:r>
      <w:r w:rsidR="00BF495E">
        <w:rPr>
          <w:rFonts w:ascii="Times New Roman" w:hAnsi="Times New Roman" w:cs="Times New Roman"/>
          <w:sz w:val="28"/>
          <w:szCs w:val="28"/>
        </w:rPr>
        <w:t>Определены параметры модификации полученных образцов раствором КОН. Изучена</w:t>
      </w:r>
      <w:r w:rsidR="001B04B8" w:rsidRPr="00F13E88">
        <w:rPr>
          <w:rFonts w:ascii="Times New Roman" w:hAnsi="Times New Roman" w:cs="Times New Roman"/>
          <w:sz w:val="28"/>
          <w:szCs w:val="28"/>
        </w:rPr>
        <w:t xml:space="preserve"> </w:t>
      </w:r>
      <w:r w:rsidR="00BF495E">
        <w:rPr>
          <w:rFonts w:ascii="Times New Roman" w:hAnsi="Times New Roman" w:cs="Times New Roman"/>
          <w:sz w:val="28"/>
          <w:szCs w:val="28"/>
        </w:rPr>
        <w:t>сорбционная способность</w:t>
      </w:r>
      <w:r w:rsidR="001B04B8" w:rsidRPr="00F13E88">
        <w:rPr>
          <w:rFonts w:ascii="Times New Roman" w:hAnsi="Times New Roman" w:cs="Times New Roman"/>
          <w:sz w:val="28"/>
          <w:szCs w:val="28"/>
        </w:rPr>
        <w:t xml:space="preserve"> исходных и модифицированных </w:t>
      </w:r>
      <w:proofErr w:type="spellStart"/>
      <w:r w:rsidR="00BF495E">
        <w:rPr>
          <w:rFonts w:ascii="Times New Roman" w:hAnsi="Times New Roman" w:cs="Times New Roman"/>
          <w:sz w:val="28"/>
          <w:szCs w:val="28"/>
        </w:rPr>
        <w:t>биоуглей</w:t>
      </w:r>
      <w:proofErr w:type="spellEnd"/>
      <w:r w:rsidR="001B04B8" w:rsidRPr="00F13E88">
        <w:rPr>
          <w:rFonts w:ascii="Times New Roman" w:hAnsi="Times New Roman" w:cs="Times New Roman"/>
          <w:sz w:val="28"/>
          <w:szCs w:val="28"/>
        </w:rPr>
        <w:t xml:space="preserve"> по отношению к красителю метиленовому синему</w:t>
      </w:r>
      <w:r w:rsidR="00BF495E">
        <w:rPr>
          <w:rFonts w:ascii="Times New Roman" w:hAnsi="Times New Roman" w:cs="Times New Roman"/>
          <w:sz w:val="28"/>
          <w:szCs w:val="28"/>
        </w:rPr>
        <w:t xml:space="preserve"> и формальдегиду</w:t>
      </w:r>
      <w:r w:rsidR="001B04B8" w:rsidRPr="00F13E88">
        <w:rPr>
          <w:rFonts w:ascii="Times New Roman" w:hAnsi="Times New Roman" w:cs="Times New Roman"/>
          <w:sz w:val="28"/>
          <w:szCs w:val="28"/>
        </w:rPr>
        <w:t>.</w:t>
      </w:r>
      <w:r w:rsidR="001B04B8" w:rsidRPr="00F13E88">
        <w:rPr>
          <w:sz w:val="28"/>
          <w:szCs w:val="28"/>
        </w:rPr>
        <w:t xml:space="preserve"> </w:t>
      </w:r>
      <w:r w:rsidR="001B04B8" w:rsidRPr="00F13E88">
        <w:rPr>
          <w:rFonts w:ascii="Times New Roman" w:hAnsi="Times New Roman" w:cs="Times New Roman"/>
          <w:sz w:val="28"/>
          <w:szCs w:val="28"/>
        </w:rPr>
        <w:t xml:space="preserve">Установлено, что максимальная степень извлечения </w:t>
      </w:r>
      <w:r w:rsidR="00BF495E">
        <w:rPr>
          <w:rFonts w:ascii="Times New Roman" w:hAnsi="Times New Roman" w:cs="Times New Roman"/>
          <w:sz w:val="28"/>
          <w:szCs w:val="28"/>
        </w:rPr>
        <w:t>органического красителя</w:t>
      </w:r>
      <w:r w:rsidR="001B04B8" w:rsidRPr="00F13E88">
        <w:rPr>
          <w:rFonts w:ascii="Times New Roman" w:hAnsi="Times New Roman" w:cs="Times New Roman"/>
          <w:sz w:val="28"/>
          <w:szCs w:val="28"/>
        </w:rPr>
        <w:t xml:space="preserve"> достигает 95 %, время установления сорбционного равновесия – 24 часа. </w:t>
      </w:r>
      <w:r w:rsidR="00BF495E">
        <w:rPr>
          <w:rFonts w:ascii="Times New Roman" w:hAnsi="Times New Roman" w:cs="Times New Roman"/>
          <w:sz w:val="28"/>
          <w:szCs w:val="28"/>
        </w:rPr>
        <w:t>Модификация</w:t>
      </w:r>
      <w:r w:rsidR="003476BF" w:rsidRPr="00F13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BF" w:rsidRPr="00F13E88">
        <w:rPr>
          <w:rFonts w:ascii="Times New Roman" w:hAnsi="Times New Roman" w:cs="Times New Roman"/>
          <w:sz w:val="28"/>
          <w:szCs w:val="28"/>
        </w:rPr>
        <w:t>биоугля</w:t>
      </w:r>
      <w:proofErr w:type="spellEnd"/>
      <w:r w:rsidR="003476BF" w:rsidRPr="00F13E88">
        <w:rPr>
          <w:rFonts w:ascii="Times New Roman" w:hAnsi="Times New Roman" w:cs="Times New Roman"/>
          <w:sz w:val="28"/>
          <w:szCs w:val="28"/>
        </w:rPr>
        <w:t xml:space="preserve"> способствует возрастанию поглощения </w:t>
      </w:r>
      <w:r w:rsidR="00BF495E">
        <w:rPr>
          <w:rFonts w:ascii="Times New Roman" w:hAnsi="Times New Roman" w:cs="Times New Roman"/>
          <w:sz w:val="28"/>
          <w:szCs w:val="28"/>
        </w:rPr>
        <w:t>метиленового синего</w:t>
      </w:r>
      <w:r w:rsidR="003476BF" w:rsidRPr="00F13E88">
        <w:rPr>
          <w:rFonts w:ascii="Times New Roman" w:hAnsi="Times New Roman" w:cs="Times New Roman"/>
          <w:sz w:val="28"/>
          <w:szCs w:val="28"/>
        </w:rPr>
        <w:t xml:space="preserve"> в 1,5</w:t>
      </w:r>
      <w:r w:rsidR="00BF495E">
        <w:rPr>
          <w:rFonts w:ascii="Times New Roman" w:hAnsi="Times New Roman" w:cs="Times New Roman"/>
          <w:sz w:val="28"/>
          <w:szCs w:val="28"/>
        </w:rPr>
        <w:t xml:space="preserve">, а формальдегида в </w:t>
      </w:r>
      <w:r w:rsidR="00BF495E" w:rsidRPr="00024E59">
        <w:rPr>
          <w:rFonts w:ascii="Times New Roman" w:hAnsi="Times New Roman" w:cs="Times New Roman"/>
          <w:sz w:val="28"/>
          <w:szCs w:val="28"/>
        </w:rPr>
        <w:t xml:space="preserve">- </w:t>
      </w:r>
      <w:r w:rsidR="00024E59" w:rsidRPr="00024E59">
        <w:rPr>
          <w:rFonts w:ascii="Times New Roman" w:hAnsi="Times New Roman" w:cs="Times New Roman"/>
          <w:sz w:val="28"/>
          <w:szCs w:val="28"/>
        </w:rPr>
        <w:t>2</w:t>
      </w:r>
      <w:r w:rsidR="003476BF" w:rsidRPr="00024E59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F13E88" w:rsidRPr="00F13E88" w:rsidRDefault="00F13E88" w:rsidP="00F13E8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F13E88">
        <w:rPr>
          <w:rFonts w:ascii="Times New Roman" w:hAnsi="Times New Roman" w:cs="Times New Roman"/>
          <w:sz w:val="28"/>
          <w:szCs w:val="28"/>
        </w:rPr>
        <w:t xml:space="preserve"> </w:t>
      </w:r>
      <w:r w:rsidR="00BF495E">
        <w:rPr>
          <w:rFonts w:ascii="Times New Roman" w:hAnsi="Times New Roman" w:cs="Times New Roman"/>
          <w:sz w:val="28"/>
          <w:szCs w:val="28"/>
        </w:rPr>
        <w:t xml:space="preserve">сосновые </w:t>
      </w:r>
      <w:r w:rsidRPr="00F13E88">
        <w:rPr>
          <w:rFonts w:ascii="Times New Roman" w:hAnsi="Times New Roman" w:cs="Times New Roman"/>
          <w:sz w:val="28"/>
          <w:szCs w:val="28"/>
        </w:rPr>
        <w:t xml:space="preserve">опилки, </w:t>
      </w:r>
      <w:r w:rsidR="00BF495E">
        <w:rPr>
          <w:rFonts w:ascii="Times New Roman" w:hAnsi="Times New Roman" w:cs="Times New Roman"/>
          <w:sz w:val="28"/>
          <w:szCs w:val="28"/>
        </w:rPr>
        <w:t xml:space="preserve">формальдегид, </w:t>
      </w:r>
      <w:r w:rsidRPr="00F13E88">
        <w:rPr>
          <w:rFonts w:ascii="Times New Roman" w:hAnsi="Times New Roman" w:cs="Times New Roman"/>
          <w:sz w:val="28"/>
          <w:szCs w:val="28"/>
        </w:rPr>
        <w:t xml:space="preserve">щелочная модификация, </w:t>
      </w:r>
      <w:r w:rsidR="00BF495E">
        <w:rPr>
          <w:rFonts w:ascii="Times New Roman" w:hAnsi="Times New Roman" w:cs="Times New Roman"/>
          <w:sz w:val="28"/>
          <w:szCs w:val="28"/>
        </w:rPr>
        <w:t>степень очистки</w:t>
      </w:r>
      <w:r w:rsidRPr="00F13E88">
        <w:rPr>
          <w:rFonts w:ascii="Times New Roman" w:hAnsi="Times New Roman" w:cs="Times New Roman"/>
          <w:sz w:val="28"/>
          <w:szCs w:val="28"/>
        </w:rPr>
        <w:t>, сорбционная способность.</w:t>
      </w:r>
    </w:p>
    <w:p w:rsidR="00D26E32" w:rsidRPr="00D26E32" w:rsidRDefault="00D26E32" w:rsidP="00D26E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6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RESEARCH OF THE SORPTION ABILITY OF BIOCHAR </w:t>
      </w:r>
    </w:p>
    <w:p w:rsidR="00D26E32" w:rsidRDefault="00D26E32" w:rsidP="00D26E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6E32">
        <w:rPr>
          <w:rFonts w:ascii="Times New Roman" w:hAnsi="Times New Roman" w:cs="Times New Roman"/>
          <w:b/>
          <w:sz w:val="28"/>
          <w:szCs w:val="28"/>
          <w:lang w:val="en-US"/>
        </w:rPr>
        <w:t>PRODUCED FROM PINE SAWDUST</w:t>
      </w:r>
    </w:p>
    <w:p w:rsidR="00D26E32" w:rsidRDefault="00D26E32" w:rsidP="00D26E3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6E32">
        <w:rPr>
          <w:rFonts w:ascii="Times New Roman" w:hAnsi="Times New Roman" w:cs="Times New Roman"/>
          <w:sz w:val="28"/>
          <w:szCs w:val="28"/>
          <w:lang w:val="en-US"/>
        </w:rPr>
        <w:t>Khodosova</w:t>
      </w:r>
      <w:proofErr w:type="spellEnd"/>
      <w:r w:rsidRPr="00D26E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Natalija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Anatol’evna</w:t>
      </w:r>
      <w:proofErr w:type="spellEnd"/>
    </w:p>
    <w:p w:rsidR="00024E59" w:rsidRPr="00D26E32" w:rsidRDefault="00024E59" w:rsidP="00D26E3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Elena Viktorovna</w:t>
      </w:r>
    </w:p>
    <w:p w:rsidR="00D26E32" w:rsidRDefault="00D26E32" w:rsidP="00D26E3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6E32">
        <w:rPr>
          <w:rFonts w:ascii="Times New Roman" w:hAnsi="Times New Roman" w:cs="Times New Roman"/>
          <w:sz w:val="28"/>
          <w:szCs w:val="28"/>
          <w:lang w:val="en-US"/>
        </w:rPr>
        <w:t>Manukovskaya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Varvara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Evgen’evna</w:t>
      </w:r>
      <w:proofErr w:type="spellEnd"/>
    </w:p>
    <w:p w:rsidR="001A4D9C" w:rsidRPr="00D26E32" w:rsidRDefault="001A4D9C" w:rsidP="00D26E32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A4D9C">
        <w:rPr>
          <w:rFonts w:ascii="Times New Roman" w:hAnsi="Times New Roman" w:cs="Times New Roman"/>
          <w:sz w:val="28"/>
          <w:szCs w:val="28"/>
          <w:lang w:val="en-US"/>
        </w:rPr>
        <w:t xml:space="preserve">Voronezh State University of Forestry and Technologies named after G.F. </w:t>
      </w:r>
      <w:proofErr w:type="spellStart"/>
      <w:r w:rsidRPr="001A4D9C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1A4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1028F" w:rsidRPr="00F13E88" w:rsidRDefault="00F46D4B" w:rsidP="00AF55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E88">
        <w:rPr>
          <w:rFonts w:ascii="Times New Roman" w:hAnsi="Times New Roman" w:cs="Times New Roman"/>
          <w:b/>
          <w:sz w:val="28"/>
          <w:szCs w:val="28"/>
          <w:lang w:val="en-US"/>
        </w:rPr>
        <w:t>Summary.</w:t>
      </w:r>
      <w:r w:rsidRPr="00F13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 xml:space="preserve">Samples of biochar based on sawdust from </w:t>
      </w:r>
      <w:proofErr w:type="gramStart"/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>pine wood</w:t>
      </w:r>
      <w:proofErr w:type="gramEnd"/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 xml:space="preserve"> were obtained. The parameters of modification of the obtained samples with KOH solution were determined. The sorption capacity of the original and modified </w:t>
      </w:r>
      <w:proofErr w:type="spellStart"/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>biochars</w:t>
      </w:r>
      <w:proofErr w:type="spellEnd"/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 xml:space="preserve"> with respect to the dye methylene blue and formaldehyde </w:t>
      </w:r>
      <w:proofErr w:type="gramStart"/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>was studied</w:t>
      </w:r>
      <w:proofErr w:type="gramEnd"/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>. It has been established that the maximum degree of extraction of the organic dye reaches 95%</w:t>
      </w:r>
      <w:proofErr w:type="gramStart"/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 xml:space="preserve"> the time for establishing sorption equilibrium is 24 hours. Modification of biochar contributes to an increase in the absorption of methylene blue by 1.5 </w:t>
      </w:r>
      <w:r w:rsidR="00BF495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BF495E" w:rsidRPr="00024E59">
        <w:rPr>
          <w:rFonts w:ascii="Times New Roman" w:hAnsi="Times New Roman" w:cs="Times New Roman"/>
          <w:sz w:val="28"/>
          <w:szCs w:val="28"/>
          <w:lang w:val="en-US"/>
        </w:rPr>
        <w:t>formaldehyde by</w:t>
      </w:r>
      <w:r w:rsidR="00024E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24E59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024E59">
        <w:rPr>
          <w:rFonts w:ascii="Times New Roman" w:hAnsi="Times New Roman" w:cs="Times New Roman"/>
          <w:sz w:val="28"/>
          <w:szCs w:val="28"/>
          <w:lang w:val="en-US"/>
        </w:rPr>
        <w:t xml:space="preserve"> times.</w:t>
      </w:r>
    </w:p>
    <w:p w:rsidR="00F46D4B" w:rsidRPr="00F13E88" w:rsidRDefault="00F46D4B" w:rsidP="00AF55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3E88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F13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495E" w:rsidRPr="00BF495E">
        <w:rPr>
          <w:rFonts w:ascii="Times New Roman" w:hAnsi="Times New Roman" w:cs="Times New Roman"/>
          <w:sz w:val="28"/>
          <w:szCs w:val="28"/>
          <w:lang w:val="en-US"/>
        </w:rPr>
        <w:t xml:space="preserve">pine sawdust, formaldehyde, alkali modification, degree of purification, </w:t>
      </w:r>
      <w:r w:rsidR="00C37F7D" w:rsidRPr="00F13E88">
        <w:rPr>
          <w:rFonts w:ascii="Times New Roman" w:hAnsi="Times New Roman" w:cs="Times New Roman"/>
          <w:sz w:val="28"/>
          <w:szCs w:val="28"/>
          <w:lang w:val="en-US"/>
        </w:rPr>
        <w:t>sorption capacity</w:t>
      </w:r>
      <w:r w:rsidRPr="00F13E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0B8D" w:rsidRDefault="001B4CC2" w:rsidP="00D91D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Очистка воды в настоящее время остается актуальной задачей. К наиболее эффективным методам очистки воды можно отнести процессы, связанные с сорбцией токсичных компонентов. В качестве сорбентов традиционно используются </w:t>
      </w:r>
      <w:r w:rsidR="007C16C2">
        <w:rPr>
          <w:rFonts w:ascii="Times New Roman" w:hAnsi="Times New Roman" w:cs="Times New Roman"/>
          <w:sz w:val="28"/>
          <w:szCs w:val="28"/>
        </w:rPr>
        <w:t>различные материалы: глины,</w:t>
      </w:r>
      <w:r w:rsidR="00E73660">
        <w:rPr>
          <w:rFonts w:ascii="Times New Roman" w:hAnsi="Times New Roman" w:cs="Times New Roman"/>
          <w:sz w:val="28"/>
          <w:szCs w:val="28"/>
        </w:rPr>
        <w:t xml:space="preserve"> цеолиты, активированный уголь и др. Производство активированного угля является дорогостоящим</w:t>
      </w:r>
      <w:r w:rsidR="00F60B8D">
        <w:rPr>
          <w:rFonts w:ascii="Times New Roman" w:hAnsi="Times New Roman" w:cs="Times New Roman"/>
          <w:sz w:val="28"/>
          <w:szCs w:val="28"/>
        </w:rPr>
        <w:t>, использование алюмосиликатов сопряжено со сложностью идентификации и многокомпонентностью материалов, поэтому поиск</w:t>
      </w:r>
      <w:r w:rsidR="00E73660">
        <w:rPr>
          <w:rFonts w:ascii="Times New Roman" w:hAnsi="Times New Roman" w:cs="Times New Roman"/>
          <w:sz w:val="28"/>
          <w:szCs w:val="28"/>
        </w:rPr>
        <w:t xml:space="preserve"> и синтез альтернативных и дешевых сорбентов является актуальной задачей. </w:t>
      </w:r>
    </w:p>
    <w:p w:rsidR="001B4CC2" w:rsidRDefault="00E73660" w:rsidP="00D91D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Сорбционные процессы, осуществляемые с использованием природных материалов, являющихся потенциальными отходами, заслуживает внимание с экологической и экономической точки зрения. В настоящее время активно развивается направление использования в качестве сорбентов </w:t>
      </w:r>
      <w:proofErr w:type="spellStart"/>
      <w:r w:rsidR="00BB0A65">
        <w:rPr>
          <w:rFonts w:ascii="Times New Roman" w:hAnsi="Times New Roman" w:cs="Times New Roman"/>
          <w:sz w:val="28"/>
          <w:szCs w:val="28"/>
        </w:rPr>
        <w:t>био</w:t>
      </w:r>
      <w:r>
        <w:rPr>
          <w:rFonts w:ascii="Times New Roman" w:hAnsi="Times New Roman" w:cs="Times New Roman"/>
          <w:sz w:val="28"/>
          <w:szCs w:val="28"/>
        </w:rPr>
        <w:t>углей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полученных при высокотемпературной обработке отходов лесной,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сельско-хозяйственной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деревоперерабатывающей промышленностей. В качестве основы можно использовать опилки, стружки, кору</w:t>
      </w:r>
      <w:r w:rsidR="00F60B8D">
        <w:rPr>
          <w:rFonts w:ascii="Times New Roman" w:hAnsi="Times New Roman" w:cs="Times New Roman"/>
          <w:sz w:val="28"/>
          <w:szCs w:val="28"/>
        </w:rPr>
        <w:t xml:space="preserve">, древесную </w:t>
      </w:r>
      <w:proofErr w:type="gramStart"/>
      <w:r w:rsidR="00F60B8D">
        <w:rPr>
          <w:rFonts w:ascii="Times New Roman" w:hAnsi="Times New Roman" w:cs="Times New Roman"/>
          <w:sz w:val="28"/>
          <w:szCs w:val="28"/>
        </w:rPr>
        <w:t xml:space="preserve">пыль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F60B8D" w:rsidRDefault="00F60B8D" w:rsidP="00D91D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исследований посвящено изучению возможности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биоуглей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8D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, в частности и для очистки вод [2,3].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развитой поверхностью и наличием микропор, однако методы физической и химической модификации позволяют существенно повысить сорбционную способность </w:t>
      </w:r>
      <w:r w:rsidRPr="00F60B8D">
        <w:rPr>
          <w:rFonts w:ascii="Times New Roman" w:hAnsi="Times New Roman" w:cs="Times New Roman"/>
          <w:sz w:val="28"/>
          <w:szCs w:val="28"/>
        </w:rPr>
        <w:t>[</w:t>
      </w:r>
      <w:r w:rsidR="00024E59" w:rsidRPr="00024E59">
        <w:rPr>
          <w:rFonts w:ascii="Times New Roman" w:hAnsi="Times New Roman" w:cs="Times New Roman"/>
          <w:sz w:val="28"/>
          <w:szCs w:val="28"/>
        </w:rPr>
        <w:t>4-6</w:t>
      </w:r>
      <w:r w:rsidRPr="00F60B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B8D" w:rsidRPr="00F60B8D" w:rsidRDefault="00F60B8D" w:rsidP="00D91D9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данного исследования является определение влияния условий щелочной модификации на сорбционную способность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биоугля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полученного в результате термической переработки опилок сосны.</w:t>
      </w:r>
    </w:p>
    <w:p w:rsidR="00A85831" w:rsidRPr="00F13E88" w:rsidRDefault="006E011B" w:rsidP="006E011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sz w:val="28"/>
          <w:szCs w:val="28"/>
        </w:rPr>
        <w:t xml:space="preserve">В качестве исходного сырья </w:t>
      </w:r>
      <w:r w:rsidR="006F7026">
        <w:rPr>
          <w:rFonts w:ascii="Times New Roman" w:hAnsi="Times New Roman" w:cs="Times New Roman"/>
          <w:sz w:val="28"/>
          <w:szCs w:val="28"/>
        </w:rPr>
        <w:t>использована воздушно-сухая</w:t>
      </w:r>
      <w:r w:rsidRPr="00F13E88">
        <w:rPr>
          <w:rFonts w:ascii="Times New Roman" w:hAnsi="Times New Roman" w:cs="Times New Roman"/>
          <w:sz w:val="28"/>
          <w:szCs w:val="28"/>
        </w:rPr>
        <w:t xml:space="preserve"> древесин</w:t>
      </w:r>
      <w:r w:rsidR="006F7026">
        <w:rPr>
          <w:rFonts w:ascii="Times New Roman" w:hAnsi="Times New Roman" w:cs="Times New Roman"/>
          <w:sz w:val="28"/>
          <w:szCs w:val="28"/>
        </w:rPr>
        <w:t>а</w:t>
      </w:r>
      <w:r w:rsidRPr="00F13E88">
        <w:rPr>
          <w:rFonts w:ascii="Times New Roman" w:hAnsi="Times New Roman" w:cs="Times New Roman"/>
          <w:sz w:val="28"/>
          <w:szCs w:val="28"/>
        </w:rPr>
        <w:t xml:space="preserve"> </w:t>
      </w:r>
      <w:r w:rsidR="004167AF" w:rsidRPr="00F13E88">
        <w:rPr>
          <w:rFonts w:ascii="Times New Roman" w:hAnsi="Times New Roman" w:cs="Times New Roman"/>
          <w:sz w:val="28"/>
          <w:szCs w:val="28"/>
        </w:rPr>
        <w:t>сосны</w:t>
      </w:r>
      <w:r w:rsidRPr="00F13E88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Pr="00F13E88">
        <w:rPr>
          <w:rFonts w:ascii="Times New Roman" w:hAnsi="Times New Roman" w:cs="Times New Roman"/>
          <w:sz w:val="28"/>
          <w:szCs w:val="28"/>
        </w:rPr>
        <w:t xml:space="preserve">частиц </w:t>
      </w:r>
      <w:r w:rsidR="006F7026">
        <w:rPr>
          <w:rFonts w:ascii="Times New Roman" w:hAnsi="Times New Roman" w:cs="Times New Roman"/>
          <w:sz w:val="28"/>
          <w:szCs w:val="28"/>
        </w:rPr>
        <w:sym w:font="Symbol" w:char="F03C"/>
      </w:r>
      <w:r w:rsidR="004167AF" w:rsidRPr="00F13E8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F13E88">
        <w:rPr>
          <w:rFonts w:ascii="Times New Roman" w:hAnsi="Times New Roman" w:cs="Times New Roman"/>
          <w:sz w:val="28"/>
          <w:szCs w:val="28"/>
        </w:rPr>
        <w:t xml:space="preserve"> мм. </w:t>
      </w:r>
      <w:r w:rsidR="004167AF" w:rsidRPr="00F13E88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="004167AF" w:rsidRPr="00F13E88">
        <w:rPr>
          <w:rFonts w:ascii="Times New Roman" w:hAnsi="Times New Roman" w:cs="Times New Roman"/>
          <w:sz w:val="28"/>
          <w:szCs w:val="28"/>
        </w:rPr>
        <w:t>биоугля</w:t>
      </w:r>
      <w:proofErr w:type="spellEnd"/>
      <w:r w:rsidRPr="00F13E88">
        <w:rPr>
          <w:rFonts w:ascii="Times New Roman" w:hAnsi="Times New Roman" w:cs="Times New Roman"/>
          <w:sz w:val="28"/>
          <w:szCs w:val="28"/>
        </w:rPr>
        <w:t xml:space="preserve"> проводили </w:t>
      </w:r>
      <w:r w:rsidR="004167AF" w:rsidRPr="00F13E88">
        <w:rPr>
          <w:rFonts w:ascii="Times New Roman" w:hAnsi="Times New Roman" w:cs="Times New Roman"/>
          <w:sz w:val="28"/>
          <w:szCs w:val="28"/>
        </w:rPr>
        <w:t xml:space="preserve">в </w:t>
      </w:r>
      <w:r w:rsidR="00140461" w:rsidRPr="00F13E88">
        <w:rPr>
          <w:rFonts w:ascii="Times New Roman" w:hAnsi="Times New Roman" w:cs="Times New Roman"/>
          <w:sz w:val="28"/>
          <w:szCs w:val="28"/>
        </w:rPr>
        <w:t>реакторе</w:t>
      </w:r>
      <w:r w:rsidR="004167AF" w:rsidRPr="00F13E88">
        <w:rPr>
          <w:rFonts w:ascii="Times New Roman" w:hAnsi="Times New Roman" w:cs="Times New Roman"/>
          <w:sz w:val="28"/>
          <w:szCs w:val="28"/>
        </w:rPr>
        <w:t xml:space="preserve"> </w:t>
      </w:r>
      <w:r w:rsidRPr="00F13E88">
        <w:rPr>
          <w:rFonts w:ascii="Times New Roman" w:hAnsi="Times New Roman" w:cs="Times New Roman"/>
          <w:sz w:val="28"/>
          <w:szCs w:val="28"/>
        </w:rPr>
        <w:t>со</w:t>
      </w:r>
      <w:r w:rsidR="004167AF" w:rsidRPr="00F13E88">
        <w:rPr>
          <w:rFonts w:ascii="Times New Roman" w:hAnsi="Times New Roman" w:cs="Times New Roman"/>
          <w:sz w:val="28"/>
          <w:szCs w:val="28"/>
        </w:rPr>
        <w:t xml:space="preserve"> скоростью </w:t>
      </w:r>
      <w:r w:rsidR="00140461" w:rsidRPr="00F13E88">
        <w:rPr>
          <w:rFonts w:ascii="Times New Roman" w:hAnsi="Times New Roman" w:cs="Times New Roman"/>
          <w:sz w:val="28"/>
          <w:szCs w:val="28"/>
        </w:rPr>
        <w:t>нагрева</w:t>
      </w:r>
      <w:r w:rsidR="004167AF" w:rsidRPr="00F13E88">
        <w:rPr>
          <w:rFonts w:ascii="Times New Roman" w:hAnsi="Times New Roman" w:cs="Times New Roman"/>
          <w:sz w:val="28"/>
          <w:szCs w:val="28"/>
        </w:rPr>
        <w:t xml:space="preserve"> 10</w:t>
      </w:r>
      <w:r w:rsidRPr="00F13E88">
        <w:rPr>
          <w:rFonts w:ascii="Times New Roman" w:hAnsi="Times New Roman" w:cs="Times New Roman"/>
          <w:sz w:val="28"/>
          <w:szCs w:val="28"/>
        </w:rPr>
        <w:t xml:space="preserve"> °С/мин</w:t>
      </w:r>
      <w:r w:rsidR="00C30C31" w:rsidRPr="00F13E88">
        <w:rPr>
          <w:rFonts w:ascii="Times New Roman" w:hAnsi="Times New Roman" w:cs="Times New Roman"/>
          <w:sz w:val="28"/>
          <w:szCs w:val="28"/>
        </w:rPr>
        <w:t xml:space="preserve"> </w:t>
      </w:r>
      <w:r w:rsidR="00140461" w:rsidRPr="00F13E88">
        <w:rPr>
          <w:rFonts w:ascii="Times New Roman" w:hAnsi="Times New Roman" w:cs="Times New Roman"/>
          <w:sz w:val="28"/>
          <w:szCs w:val="28"/>
        </w:rPr>
        <w:t xml:space="preserve">до </w:t>
      </w:r>
      <w:r w:rsidR="004167AF" w:rsidRPr="00F13E88">
        <w:rPr>
          <w:rFonts w:ascii="Times New Roman" w:hAnsi="Times New Roman" w:cs="Times New Roman"/>
          <w:sz w:val="28"/>
          <w:szCs w:val="28"/>
        </w:rPr>
        <w:t>темпера</w:t>
      </w:r>
      <w:r w:rsidR="00140461" w:rsidRPr="00F13E88">
        <w:rPr>
          <w:rFonts w:ascii="Times New Roman" w:hAnsi="Times New Roman" w:cs="Times New Roman"/>
          <w:sz w:val="28"/>
          <w:szCs w:val="28"/>
        </w:rPr>
        <w:t>туры</w:t>
      </w:r>
      <w:r w:rsidR="004167AF" w:rsidRPr="00F13E88">
        <w:rPr>
          <w:rFonts w:ascii="Times New Roman" w:hAnsi="Times New Roman" w:cs="Times New Roman"/>
          <w:sz w:val="28"/>
          <w:szCs w:val="28"/>
        </w:rPr>
        <w:t xml:space="preserve"> 500°С</w:t>
      </w:r>
      <w:r w:rsidR="00140461" w:rsidRPr="00F13E88">
        <w:rPr>
          <w:rFonts w:ascii="Times New Roman" w:hAnsi="Times New Roman" w:cs="Times New Roman"/>
          <w:sz w:val="28"/>
          <w:szCs w:val="28"/>
        </w:rPr>
        <w:t xml:space="preserve">, выдерживая при конечной температуре </w:t>
      </w:r>
      <w:r w:rsidR="004167AF" w:rsidRPr="00F13E88">
        <w:rPr>
          <w:rFonts w:ascii="Times New Roman" w:hAnsi="Times New Roman" w:cs="Times New Roman"/>
          <w:sz w:val="28"/>
          <w:szCs w:val="28"/>
        </w:rPr>
        <w:t>3</w:t>
      </w:r>
      <w:r w:rsidRPr="00F13E88">
        <w:rPr>
          <w:rFonts w:ascii="Times New Roman" w:hAnsi="Times New Roman" w:cs="Times New Roman"/>
          <w:sz w:val="28"/>
          <w:szCs w:val="28"/>
        </w:rPr>
        <w:t xml:space="preserve"> ч</w:t>
      </w:r>
      <w:r w:rsidR="004167AF" w:rsidRPr="00F13E88">
        <w:rPr>
          <w:rFonts w:ascii="Times New Roman" w:hAnsi="Times New Roman" w:cs="Times New Roman"/>
          <w:sz w:val="28"/>
          <w:szCs w:val="28"/>
        </w:rPr>
        <w:t xml:space="preserve">. Выход углеродного сорбента </w:t>
      </w:r>
      <w:proofErr w:type="gramStart"/>
      <w:r w:rsidR="004167AF" w:rsidRPr="00F13E88"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="004167AF" w:rsidRPr="00F13E88">
        <w:rPr>
          <w:rFonts w:ascii="Times New Roman" w:hAnsi="Times New Roman" w:cs="Times New Roman"/>
          <w:sz w:val="28"/>
          <w:szCs w:val="28"/>
        </w:rPr>
        <w:sym w:font="Symbol" w:char="F07E"/>
      </w:r>
      <w:r w:rsidR="004167AF" w:rsidRPr="00F13E88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="004167AF" w:rsidRPr="00F13E88">
        <w:rPr>
          <w:rFonts w:ascii="Times New Roman" w:hAnsi="Times New Roman" w:cs="Times New Roman"/>
          <w:sz w:val="28"/>
          <w:szCs w:val="28"/>
        </w:rPr>
        <w:t>%.</w:t>
      </w:r>
    </w:p>
    <w:p w:rsidR="00A431A6" w:rsidRPr="00F13E88" w:rsidRDefault="00A431A6" w:rsidP="006E011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sz w:val="28"/>
          <w:szCs w:val="28"/>
        </w:rPr>
        <w:t xml:space="preserve">Химическую модификацию образцов осуществляли </w:t>
      </w:r>
      <w:r w:rsidR="00976B29">
        <w:rPr>
          <w:rFonts w:ascii="Times New Roman" w:hAnsi="Times New Roman" w:cs="Times New Roman"/>
          <w:sz w:val="28"/>
          <w:szCs w:val="28"/>
        </w:rPr>
        <w:t>раствора</w:t>
      </w:r>
      <w:r w:rsidRPr="00F13E88">
        <w:rPr>
          <w:rFonts w:ascii="Times New Roman" w:hAnsi="Times New Roman" w:cs="Times New Roman"/>
          <w:sz w:val="28"/>
          <w:szCs w:val="28"/>
        </w:rPr>
        <w:t>м</w:t>
      </w:r>
      <w:r w:rsidR="00976B29">
        <w:rPr>
          <w:rFonts w:ascii="Times New Roman" w:hAnsi="Times New Roman" w:cs="Times New Roman"/>
          <w:sz w:val="28"/>
          <w:szCs w:val="28"/>
        </w:rPr>
        <w:t>и</w:t>
      </w:r>
      <w:r w:rsidRPr="00F13E88">
        <w:rPr>
          <w:rFonts w:ascii="Times New Roman" w:hAnsi="Times New Roman" w:cs="Times New Roman"/>
          <w:sz w:val="28"/>
          <w:szCs w:val="28"/>
        </w:rPr>
        <w:t xml:space="preserve"> гидроксида калия</w:t>
      </w:r>
      <w:r w:rsidR="00976B29">
        <w:rPr>
          <w:rFonts w:ascii="Times New Roman" w:hAnsi="Times New Roman" w:cs="Times New Roman"/>
          <w:sz w:val="28"/>
          <w:szCs w:val="28"/>
        </w:rPr>
        <w:t xml:space="preserve"> в концентрации 1 и 2 М</w:t>
      </w:r>
      <w:r w:rsidRPr="00F13E88">
        <w:rPr>
          <w:rFonts w:ascii="Times New Roman" w:hAnsi="Times New Roman" w:cs="Times New Roman"/>
          <w:sz w:val="28"/>
          <w:szCs w:val="28"/>
        </w:rPr>
        <w:t>, в соотношении об</w:t>
      </w:r>
      <w:r w:rsidR="00E36BF9" w:rsidRPr="00F13E88">
        <w:rPr>
          <w:rFonts w:ascii="Times New Roman" w:hAnsi="Times New Roman" w:cs="Times New Roman"/>
          <w:sz w:val="28"/>
          <w:szCs w:val="28"/>
        </w:rPr>
        <w:t>р</w:t>
      </w:r>
      <w:r w:rsidRPr="00F13E88">
        <w:rPr>
          <w:rFonts w:ascii="Times New Roman" w:hAnsi="Times New Roman" w:cs="Times New Roman"/>
          <w:sz w:val="28"/>
          <w:szCs w:val="28"/>
        </w:rPr>
        <w:t xml:space="preserve">азец – модификатор </w:t>
      </w:r>
      <w:proofErr w:type="gramStart"/>
      <w:r w:rsidR="00976B29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="00976B29">
        <w:rPr>
          <w:rFonts w:ascii="Times New Roman" w:hAnsi="Times New Roman" w:cs="Times New Roman"/>
          <w:sz w:val="28"/>
          <w:szCs w:val="28"/>
        </w:rPr>
        <w:t xml:space="preserve"> 2 и </w:t>
      </w:r>
      <w:r w:rsidRPr="00F13E88">
        <w:rPr>
          <w:rFonts w:ascii="Times New Roman" w:hAnsi="Times New Roman" w:cs="Times New Roman"/>
          <w:sz w:val="28"/>
          <w:szCs w:val="28"/>
        </w:rPr>
        <w:t>1:4, время щелочной модификации составляло 2 и 24 часа.</w:t>
      </w:r>
      <w:r w:rsidR="00976B29">
        <w:rPr>
          <w:rFonts w:ascii="Times New Roman" w:hAnsi="Times New Roman" w:cs="Times New Roman"/>
          <w:sz w:val="28"/>
          <w:szCs w:val="28"/>
        </w:rPr>
        <w:t xml:space="preserve"> Далее образ</w:t>
      </w:r>
      <w:r w:rsidR="00E36BF9" w:rsidRPr="00F13E88">
        <w:rPr>
          <w:rFonts w:ascii="Times New Roman" w:hAnsi="Times New Roman" w:cs="Times New Roman"/>
          <w:sz w:val="28"/>
          <w:szCs w:val="28"/>
        </w:rPr>
        <w:t>ц</w:t>
      </w:r>
      <w:r w:rsidR="00976B29">
        <w:rPr>
          <w:rFonts w:ascii="Times New Roman" w:hAnsi="Times New Roman" w:cs="Times New Roman"/>
          <w:sz w:val="28"/>
          <w:szCs w:val="28"/>
        </w:rPr>
        <w:t>ы</w:t>
      </w:r>
      <w:r w:rsidR="00E36BF9" w:rsidRPr="00F13E88">
        <w:rPr>
          <w:rFonts w:ascii="Times New Roman" w:hAnsi="Times New Roman" w:cs="Times New Roman"/>
          <w:sz w:val="28"/>
          <w:szCs w:val="28"/>
        </w:rPr>
        <w:t xml:space="preserve"> отмывали дистиллированной водой до </w:t>
      </w:r>
      <w:proofErr w:type="gramStart"/>
      <w:r w:rsidR="00E36BF9" w:rsidRPr="00F13E88">
        <w:rPr>
          <w:rFonts w:ascii="Times New Roman" w:hAnsi="Times New Roman" w:cs="Times New Roman"/>
          <w:sz w:val="28"/>
          <w:szCs w:val="28"/>
        </w:rPr>
        <w:t xml:space="preserve">рН </w:t>
      </w:r>
      <w:r w:rsidR="00E36BF9" w:rsidRPr="00F13E88">
        <w:rPr>
          <w:rFonts w:ascii="Times New Roman" w:hAnsi="Times New Roman" w:cs="Times New Roman"/>
          <w:sz w:val="28"/>
          <w:szCs w:val="28"/>
        </w:rPr>
        <w:sym w:font="Symbol" w:char="F07E"/>
      </w:r>
      <w:r w:rsidR="00E36BF9" w:rsidRPr="00F13E88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E36BF9" w:rsidRPr="00F13E88">
        <w:rPr>
          <w:rFonts w:ascii="Times New Roman" w:hAnsi="Times New Roman" w:cs="Times New Roman"/>
          <w:sz w:val="28"/>
          <w:szCs w:val="28"/>
        </w:rPr>
        <w:t xml:space="preserve"> и высушивали </w:t>
      </w:r>
      <w:r w:rsidR="00976B29" w:rsidRPr="00976B29">
        <w:rPr>
          <w:rFonts w:ascii="Times New Roman" w:hAnsi="Times New Roman" w:cs="Times New Roman"/>
          <w:sz w:val="28"/>
          <w:szCs w:val="28"/>
        </w:rPr>
        <w:t xml:space="preserve">при температуре 105 </w:t>
      </w:r>
      <w:proofErr w:type="spellStart"/>
      <w:r w:rsidR="00976B29" w:rsidRPr="00976B2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76B29" w:rsidRPr="00976B2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76B29" w:rsidRPr="00976B29">
        <w:rPr>
          <w:rFonts w:ascii="Times New Roman" w:hAnsi="Times New Roman" w:cs="Times New Roman"/>
          <w:sz w:val="28"/>
          <w:szCs w:val="28"/>
        </w:rPr>
        <w:t xml:space="preserve"> </w:t>
      </w:r>
      <w:r w:rsidR="00E36BF9" w:rsidRPr="00F13E88">
        <w:rPr>
          <w:rFonts w:ascii="Times New Roman" w:hAnsi="Times New Roman" w:cs="Times New Roman"/>
          <w:sz w:val="28"/>
          <w:szCs w:val="28"/>
        </w:rPr>
        <w:t>до постоянной массы в суш</w:t>
      </w:r>
      <w:r w:rsidR="005A7E01" w:rsidRPr="00F13E88">
        <w:rPr>
          <w:rFonts w:ascii="Times New Roman" w:hAnsi="Times New Roman" w:cs="Times New Roman"/>
          <w:sz w:val="28"/>
          <w:szCs w:val="28"/>
        </w:rPr>
        <w:t>ильном шкафу</w:t>
      </w:r>
      <w:r w:rsidR="00E36BF9" w:rsidRPr="00F13E88">
        <w:rPr>
          <w:rFonts w:ascii="Times New Roman" w:hAnsi="Times New Roman" w:cs="Times New Roman"/>
          <w:sz w:val="28"/>
          <w:szCs w:val="28"/>
        </w:rPr>
        <w:t>.</w:t>
      </w:r>
    </w:p>
    <w:p w:rsidR="00602C53" w:rsidRPr="00F13E88" w:rsidRDefault="00595684" w:rsidP="006E011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sz w:val="28"/>
          <w:szCs w:val="28"/>
        </w:rPr>
        <w:t xml:space="preserve">Сорбционную способность исходных и модифицированных образцов </w:t>
      </w:r>
      <w:proofErr w:type="spellStart"/>
      <w:r w:rsidRPr="00F13E88">
        <w:rPr>
          <w:rFonts w:ascii="Times New Roman" w:hAnsi="Times New Roman" w:cs="Times New Roman"/>
          <w:sz w:val="28"/>
          <w:szCs w:val="28"/>
        </w:rPr>
        <w:t>биоугля</w:t>
      </w:r>
      <w:proofErr w:type="spellEnd"/>
      <w:r w:rsidR="00004FED" w:rsidRPr="00F13E88">
        <w:rPr>
          <w:rFonts w:ascii="Times New Roman" w:hAnsi="Times New Roman" w:cs="Times New Roman"/>
          <w:sz w:val="28"/>
          <w:szCs w:val="28"/>
        </w:rPr>
        <w:t xml:space="preserve"> определяли по отношению к метиленовому синему</w:t>
      </w:r>
      <w:r w:rsidR="00480627" w:rsidRPr="00F13E88">
        <w:rPr>
          <w:rFonts w:ascii="Times New Roman" w:hAnsi="Times New Roman" w:cs="Times New Roman"/>
          <w:sz w:val="28"/>
          <w:szCs w:val="28"/>
        </w:rPr>
        <w:t xml:space="preserve"> (МС)</w:t>
      </w:r>
      <w:r w:rsidR="00976B29">
        <w:rPr>
          <w:rFonts w:ascii="Times New Roman" w:hAnsi="Times New Roman" w:cs="Times New Roman"/>
          <w:sz w:val="28"/>
          <w:szCs w:val="28"/>
        </w:rPr>
        <w:t xml:space="preserve"> и растворам формальдегида</w:t>
      </w:r>
      <w:r w:rsidR="00004FED" w:rsidRPr="00F13E88">
        <w:rPr>
          <w:rFonts w:ascii="Times New Roman" w:hAnsi="Times New Roman" w:cs="Times New Roman"/>
          <w:sz w:val="28"/>
          <w:szCs w:val="28"/>
        </w:rPr>
        <w:t>.</w:t>
      </w:r>
      <w:r w:rsidR="00004FED" w:rsidRPr="00F13E88">
        <w:rPr>
          <w:sz w:val="28"/>
          <w:szCs w:val="28"/>
        </w:rPr>
        <w:t xml:space="preserve"> </w:t>
      </w:r>
      <w:r w:rsidR="00004FED" w:rsidRPr="00F13E88">
        <w:rPr>
          <w:rFonts w:ascii="Times New Roman" w:hAnsi="Times New Roman" w:cs="Times New Roman"/>
          <w:sz w:val="28"/>
          <w:szCs w:val="28"/>
        </w:rPr>
        <w:t xml:space="preserve">Использование в качестве </w:t>
      </w:r>
      <w:proofErr w:type="spellStart"/>
      <w:r w:rsidR="00004FED" w:rsidRPr="00F13E88">
        <w:rPr>
          <w:rFonts w:ascii="Times New Roman" w:hAnsi="Times New Roman" w:cs="Times New Roman"/>
          <w:sz w:val="28"/>
          <w:szCs w:val="28"/>
        </w:rPr>
        <w:t>сорбата</w:t>
      </w:r>
      <w:proofErr w:type="spellEnd"/>
      <w:r w:rsidR="00004FED" w:rsidRPr="00F13E88">
        <w:rPr>
          <w:rFonts w:ascii="Times New Roman" w:hAnsi="Times New Roman" w:cs="Times New Roman"/>
          <w:sz w:val="28"/>
          <w:szCs w:val="28"/>
        </w:rPr>
        <w:t xml:space="preserve"> красителя метиленового синего обусловлен</w:t>
      </w:r>
      <w:r w:rsidR="00607ED3" w:rsidRPr="00F13E88">
        <w:rPr>
          <w:rFonts w:ascii="Times New Roman" w:hAnsi="Times New Roman" w:cs="Times New Roman"/>
          <w:sz w:val="28"/>
          <w:szCs w:val="28"/>
        </w:rPr>
        <w:t>о</w:t>
      </w:r>
      <w:r w:rsidR="00004FED" w:rsidRPr="00F13E88">
        <w:rPr>
          <w:rFonts w:ascii="Times New Roman" w:hAnsi="Times New Roman" w:cs="Times New Roman"/>
          <w:sz w:val="28"/>
          <w:szCs w:val="28"/>
        </w:rPr>
        <w:t xml:space="preserve"> его широким использованием для оценки адсорбционных </w:t>
      </w:r>
      <w:r w:rsidR="00004FED" w:rsidRPr="00F13E88">
        <w:rPr>
          <w:rFonts w:ascii="Times New Roman" w:hAnsi="Times New Roman" w:cs="Times New Roman"/>
          <w:sz w:val="28"/>
          <w:szCs w:val="28"/>
        </w:rPr>
        <w:lastRenderedPageBreak/>
        <w:t>свойств пористых материалов.</w:t>
      </w:r>
      <w:r w:rsidRPr="00F13E88">
        <w:rPr>
          <w:rFonts w:ascii="Times New Roman" w:hAnsi="Times New Roman" w:cs="Times New Roman"/>
          <w:sz w:val="28"/>
          <w:szCs w:val="28"/>
        </w:rPr>
        <w:t xml:space="preserve"> </w:t>
      </w:r>
      <w:r w:rsidR="00976B29">
        <w:rPr>
          <w:rFonts w:ascii="Times New Roman" w:hAnsi="Times New Roman" w:cs="Times New Roman"/>
          <w:sz w:val="28"/>
          <w:szCs w:val="28"/>
        </w:rPr>
        <w:t xml:space="preserve">Выбор формальдегида в качестве альтернативного </w:t>
      </w:r>
      <w:proofErr w:type="spellStart"/>
      <w:r w:rsidR="00976B29">
        <w:rPr>
          <w:rFonts w:ascii="Times New Roman" w:hAnsi="Times New Roman" w:cs="Times New Roman"/>
          <w:sz w:val="28"/>
          <w:szCs w:val="28"/>
        </w:rPr>
        <w:t>сорбата</w:t>
      </w:r>
      <w:proofErr w:type="spellEnd"/>
      <w:r w:rsidR="00976B29">
        <w:rPr>
          <w:rFonts w:ascii="Times New Roman" w:hAnsi="Times New Roman" w:cs="Times New Roman"/>
          <w:sz w:val="28"/>
          <w:szCs w:val="28"/>
        </w:rPr>
        <w:t xml:space="preserve"> обусловлен серьезной</w:t>
      </w:r>
      <w:r w:rsidR="00976B29" w:rsidRPr="00976B2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76B29">
        <w:rPr>
          <w:rFonts w:ascii="Times New Roman" w:hAnsi="Times New Roman" w:cs="Times New Roman"/>
          <w:sz w:val="28"/>
          <w:szCs w:val="28"/>
        </w:rPr>
        <w:t>ой, которую</w:t>
      </w:r>
      <w:r w:rsidR="00976B29" w:rsidRPr="00976B29">
        <w:rPr>
          <w:rFonts w:ascii="Times New Roman" w:hAnsi="Times New Roman" w:cs="Times New Roman"/>
          <w:sz w:val="28"/>
          <w:szCs w:val="28"/>
        </w:rPr>
        <w:t xml:space="preserve"> представляет попадающий в сточные воды </w:t>
      </w:r>
      <w:proofErr w:type="spellStart"/>
      <w:r w:rsidR="00976B29"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 w:rsidR="00976B29">
        <w:rPr>
          <w:rFonts w:ascii="Times New Roman" w:hAnsi="Times New Roman" w:cs="Times New Roman"/>
          <w:sz w:val="28"/>
          <w:szCs w:val="28"/>
        </w:rPr>
        <w:t xml:space="preserve">, имеющий </w:t>
      </w:r>
      <w:proofErr w:type="spellStart"/>
      <w:r w:rsidR="00976B29">
        <w:rPr>
          <w:rFonts w:ascii="Times New Roman" w:hAnsi="Times New Roman" w:cs="Times New Roman"/>
          <w:sz w:val="28"/>
          <w:szCs w:val="28"/>
        </w:rPr>
        <w:t>ПДКв</w:t>
      </w:r>
      <w:proofErr w:type="spellEnd"/>
      <w:r w:rsidR="00976B29">
        <w:rPr>
          <w:rFonts w:ascii="Times New Roman" w:hAnsi="Times New Roman" w:cs="Times New Roman"/>
          <w:sz w:val="28"/>
          <w:szCs w:val="28"/>
        </w:rPr>
        <w:t xml:space="preserve"> = 0,05 мг/дм</w:t>
      </w:r>
      <w:r w:rsidR="00976B29" w:rsidRPr="00BB0A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6B29">
        <w:rPr>
          <w:rFonts w:ascii="Times New Roman" w:hAnsi="Times New Roman" w:cs="Times New Roman"/>
          <w:sz w:val="28"/>
          <w:szCs w:val="28"/>
        </w:rPr>
        <w:t>.</w:t>
      </w:r>
      <w:r w:rsidR="00976B29" w:rsidRPr="00976B29">
        <w:rPr>
          <w:rFonts w:ascii="Times New Roman" w:hAnsi="Times New Roman" w:cs="Times New Roman"/>
          <w:sz w:val="28"/>
          <w:szCs w:val="28"/>
        </w:rPr>
        <w:t xml:space="preserve"> </w:t>
      </w:r>
      <w:r w:rsidR="00976B29">
        <w:rPr>
          <w:rFonts w:ascii="Times New Roman" w:hAnsi="Times New Roman" w:cs="Times New Roman"/>
          <w:sz w:val="28"/>
          <w:szCs w:val="28"/>
        </w:rPr>
        <w:t xml:space="preserve">Формальдегид </w:t>
      </w:r>
      <w:r w:rsidR="00976B29" w:rsidRPr="00976B29">
        <w:rPr>
          <w:rFonts w:ascii="Times New Roman" w:hAnsi="Times New Roman" w:cs="Times New Roman"/>
          <w:sz w:val="28"/>
          <w:szCs w:val="28"/>
        </w:rPr>
        <w:t>выделяется при функционировании мебельных производств, использующих карбамидоформальдегидные смолы</w:t>
      </w:r>
      <w:r w:rsidR="00BB0A65">
        <w:rPr>
          <w:rFonts w:ascii="Times New Roman" w:hAnsi="Times New Roman" w:cs="Times New Roman"/>
          <w:sz w:val="28"/>
          <w:szCs w:val="28"/>
        </w:rPr>
        <w:t>,</w:t>
      </w:r>
      <w:r w:rsidR="00976B29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 w:rsidR="00976B29" w:rsidRPr="00976B29">
        <w:rPr>
          <w:rFonts w:ascii="Times New Roman" w:hAnsi="Times New Roman" w:cs="Times New Roman"/>
          <w:sz w:val="28"/>
          <w:szCs w:val="28"/>
        </w:rPr>
        <w:t xml:space="preserve">производств органического синтеза, </w:t>
      </w:r>
      <w:r w:rsidR="00976B29">
        <w:rPr>
          <w:rFonts w:ascii="Times New Roman" w:hAnsi="Times New Roman" w:cs="Times New Roman"/>
          <w:sz w:val="28"/>
          <w:szCs w:val="28"/>
        </w:rPr>
        <w:t xml:space="preserve">предприятий по производству </w:t>
      </w:r>
      <w:r w:rsidR="00976B29" w:rsidRPr="00976B29">
        <w:rPr>
          <w:rFonts w:ascii="Times New Roman" w:hAnsi="Times New Roman" w:cs="Times New Roman"/>
          <w:sz w:val="28"/>
          <w:szCs w:val="28"/>
        </w:rPr>
        <w:t xml:space="preserve">пластмасс, лаков, красок, текстильной и целлюлозно-бумажной промышленности. </w:t>
      </w:r>
      <w:r w:rsidR="00004FED" w:rsidRPr="00F13E88">
        <w:rPr>
          <w:rFonts w:ascii="Times New Roman" w:hAnsi="Times New Roman" w:cs="Times New Roman"/>
          <w:sz w:val="28"/>
          <w:szCs w:val="28"/>
        </w:rPr>
        <w:t>Определение</w:t>
      </w:r>
      <w:r w:rsidR="00976B29">
        <w:rPr>
          <w:rFonts w:ascii="Times New Roman" w:hAnsi="Times New Roman" w:cs="Times New Roman"/>
          <w:sz w:val="28"/>
          <w:szCs w:val="28"/>
        </w:rPr>
        <w:t xml:space="preserve"> содержания МС</w:t>
      </w:r>
      <w:r w:rsidR="00004FED" w:rsidRPr="00F13E88">
        <w:rPr>
          <w:rFonts w:ascii="Times New Roman" w:hAnsi="Times New Roman" w:cs="Times New Roman"/>
          <w:sz w:val="28"/>
          <w:szCs w:val="28"/>
        </w:rPr>
        <w:t xml:space="preserve"> проводили</w:t>
      </w:r>
      <w:r w:rsidRPr="00F13E88">
        <w:rPr>
          <w:rFonts w:ascii="Times New Roman" w:hAnsi="Times New Roman" w:cs="Times New Roman"/>
          <w:sz w:val="28"/>
          <w:szCs w:val="28"/>
        </w:rPr>
        <w:t xml:space="preserve"> фотоколориметрическим методом на фотометре </w:t>
      </w:r>
      <w:r w:rsidR="00597990" w:rsidRPr="00F13E88">
        <w:rPr>
          <w:rFonts w:ascii="Times New Roman" w:hAnsi="Times New Roman" w:cs="Times New Roman"/>
          <w:sz w:val="28"/>
          <w:szCs w:val="28"/>
        </w:rPr>
        <w:t>К</w:t>
      </w:r>
      <w:r w:rsidRPr="00F13E88">
        <w:rPr>
          <w:rFonts w:ascii="Times New Roman" w:hAnsi="Times New Roman" w:cs="Times New Roman"/>
          <w:sz w:val="28"/>
          <w:szCs w:val="28"/>
        </w:rPr>
        <w:t>ФК-</w:t>
      </w:r>
      <w:r w:rsidR="00597990" w:rsidRPr="00F13E88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597990" w:rsidRPr="00F13E88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597990" w:rsidRPr="00F13E88">
        <w:rPr>
          <w:rFonts w:ascii="Times New Roman" w:hAnsi="Times New Roman" w:cs="Times New Roman"/>
          <w:sz w:val="28"/>
          <w:szCs w:val="28"/>
        </w:rPr>
        <w:t>30МЗ»</w:t>
      </w:r>
      <w:r w:rsidR="00004FED" w:rsidRPr="00F13E88">
        <w:rPr>
          <w:rFonts w:ascii="Times New Roman" w:hAnsi="Times New Roman" w:cs="Times New Roman"/>
          <w:sz w:val="28"/>
          <w:szCs w:val="28"/>
        </w:rPr>
        <w:t xml:space="preserve">, </w:t>
      </w:r>
      <w:r w:rsidR="00F73990" w:rsidRPr="00F13E88">
        <w:rPr>
          <w:rFonts w:ascii="Times New Roman" w:hAnsi="Times New Roman" w:cs="Times New Roman"/>
          <w:sz w:val="28"/>
          <w:szCs w:val="28"/>
        </w:rPr>
        <w:t>используя кювету</w:t>
      </w:r>
      <w:r w:rsidR="00F73990" w:rsidRPr="00F13E88">
        <w:rPr>
          <w:sz w:val="28"/>
          <w:szCs w:val="28"/>
        </w:rPr>
        <w:t xml:space="preserve"> </w:t>
      </w:r>
      <w:r w:rsidR="00F73990" w:rsidRPr="00F13E88">
        <w:rPr>
          <w:rFonts w:ascii="Times New Roman" w:hAnsi="Times New Roman" w:cs="Times New Roman"/>
          <w:sz w:val="28"/>
          <w:szCs w:val="28"/>
        </w:rPr>
        <w:t xml:space="preserve">с толщиной поглощающего слоя 10 мм, измеряя оптическую плотность в максимуме поглощения </w:t>
      </w:r>
      <w:r w:rsidRPr="00F13E88">
        <w:rPr>
          <w:rFonts w:ascii="Times New Roman" w:hAnsi="Times New Roman" w:cs="Times New Roman"/>
          <w:sz w:val="28"/>
          <w:szCs w:val="28"/>
        </w:rPr>
        <w:t xml:space="preserve">при длине волны 660 </w:t>
      </w:r>
      <w:proofErr w:type="spellStart"/>
      <w:r w:rsidRPr="00F13E88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13E88">
        <w:rPr>
          <w:rFonts w:ascii="Times New Roman" w:hAnsi="Times New Roman" w:cs="Times New Roman"/>
          <w:sz w:val="28"/>
          <w:szCs w:val="28"/>
        </w:rPr>
        <w:t xml:space="preserve">. </w:t>
      </w:r>
      <w:r w:rsidR="00F73990" w:rsidRPr="00F13E88">
        <w:rPr>
          <w:rFonts w:ascii="Times New Roman" w:hAnsi="Times New Roman" w:cs="Times New Roman"/>
          <w:sz w:val="28"/>
          <w:szCs w:val="28"/>
        </w:rPr>
        <w:t xml:space="preserve">Количество адсорбированного красителя из раствора при контакте с сорбентом определяли по </w:t>
      </w:r>
      <w:proofErr w:type="spellStart"/>
      <w:r w:rsidR="00F73990" w:rsidRPr="00F13E88">
        <w:rPr>
          <w:rFonts w:ascii="Times New Roman" w:hAnsi="Times New Roman" w:cs="Times New Roman"/>
          <w:sz w:val="28"/>
          <w:szCs w:val="28"/>
        </w:rPr>
        <w:t>градуировочной</w:t>
      </w:r>
      <w:proofErr w:type="spellEnd"/>
      <w:r w:rsidR="00F73990" w:rsidRPr="00F13E88">
        <w:rPr>
          <w:rFonts w:ascii="Times New Roman" w:hAnsi="Times New Roman" w:cs="Times New Roman"/>
          <w:sz w:val="28"/>
          <w:szCs w:val="28"/>
        </w:rPr>
        <w:t xml:space="preserve"> кривой. </w:t>
      </w:r>
      <w:r w:rsidRPr="00F13E88">
        <w:rPr>
          <w:rFonts w:ascii="Times New Roman" w:hAnsi="Times New Roman" w:cs="Times New Roman"/>
          <w:sz w:val="28"/>
          <w:szCs w:val="28"/>
        </w:rPr>
        <w:t>В колбы вносилась навеска образца 0,5</w:t>
      </w:r>
      <w:r w:rsidR="00F73990" w:rsidRPr="00F13E88">
        <w:rPr>
          <w:rFonts w:ascii="Times New Roman" w:hAnsi="Times New Roman" w:cs="Times New Roman"/>
          <w:sz w:val="28"/>
          <w:szCs w:val="28"/>
        </w:rPr>
        <w:t xml:space="preserve"> </w:t>
      </w:r>
      <w:r w:rsidRPr="00F13E88">
        <w:rPr>
          <w:rFonts w:ascii="Times New Roman" w:hAnsi="Times New Roman" w:cs="Times New Roman"/>
          <w:sz w:val="28"/>
          <w:szCs w:val="28"/>
        </w:rPr>
        <w:t xml:space="preserve">г и заливалась 25 мл раствора органического красителя, </w:t>
      </w:r>
      <w:r w:rsidR="00004FED" w:rsidRPr="00F13E88">
        <w:rPr>
          <w:rFonts w:ascii="Times New Roman" w:hAnsi="Times New Roman" w:cs="Times New Roman"/>
          <w:sz w:val="28"/>
          <w:szCs w:val="28"/>
        </w:rPr>
        <w:t xml:space="preserve">определение сорбции проводили в статических условиях, при </w:t>
      </w:r>
      <w:r w:rsidR="00004FED" w:rsidRPr="00F13E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04FED" w:rsidRPr="00F13E88">
        <w:rPr>
          <w:rFonts w:ascii="Times New Roman" w:hAnsi="Times New Roman" w:cs="Times New Roman"/>
          <w:sz w:val="28"/>
          <w:szCs w:val="28"/>
        </w:rPr>
        <w:t xml:space="preserve"> = 21</w:t>
      </w:r>
      <w:r w:rsidR="00004FED" w:rsidRPr="00F13E8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04FED" w:rsidRPr="00F13E88">
        <w:rPr>
          <w:rFonts w:ascii="Times New Roman" w:hAnsi="Times New Roman" w:cs="Times New Roman"/>
          <w:sz w:val="28"/>
          <w:szCs w:val="28"/>
        </w:rPr>
        <w:t xml:space="preserve">С, периодически перемешивая раствор. </w:t>
      </w:r>
      <w:r w:rsidRPr="00F13E88">
        <w:rPr>
          <w:rFonts w:ascii="Times New Roman" w:hAnsi="Times New Roman" w:cs="Times New Roman"/>
          <w:sz w:val="28"/>
          <w:szCs w:val="28"/>
        </w:rPr>
        <w:t>Количество поглощенного метиленового синего определялось по формуле</w:t>
      </w:r>
    </w:p>
    <w:p w:rsidR="00A431A6" w:rsidRPr="00F13E88" w:rsidRDefault="00602C53" w:rsidP="00140461">
      <w:pPr>
        <w:spacing w:after="0" w:line="30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Х=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Сн-Ср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  <w:r w:rsidRPr="00F13E8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02C53" w:rsidRDefault="005A7E01" w:rsidP="006E011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sz w:val="28"/>
          <w:szCs w:val="28"/>
        </w:rPr>
        <w:t>г</w:t>
      </w:r>
      <w:r w:rsidR="00602C53" w:rsidRPr="00F13E88">
        <w:rPr>
          <w:rFonts w:ascii="Times New Roman" w:hAnsi="Times New Roman" w:cs="Times New Roman"/>
          <w:sz w:val="28"/>
          <w:szCs w:val="28"/>
        </w:rPr>
        <w:t xml:space="preserve">де Х – количество адсорбированного красителя, мг/г, </w:t>
      </w:r>
      <w:proofErr w:type="spellStart"/>
      <w:r w:rsidR="00602C53" w:rsidRPr="00F13E88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602C53" w:rsidRPr="00F13E88">
        <w:rPr>
          <w:rFonts w:ascii="Times New Roman" w:hAnsi="Times New Roman" w:cs="Times New Roman"/>
          <w:sz w:val="28"/>
          <w:szCs w:val="28"/>
        </w:rPr>
        <w:t xml:space="preserve"> – начальная концентрация раствора, мг/л, Ср – равновесная концентрация раствора, мг/л, </w:t>
      </w:r>
      <w:r w:rsidR="00602C53" w:rsidRPr="00F13E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2C53" w:rsidRPr="00F13E88">
        <w:rPr>
          <w:rFonts w:ascii="Times New Roman" w:hAnsi="Times New Roman" w:cs="Times New Roman"/>
          <w:sz w:val="28"/>
          <w:szCs w:val="28"/>
        </w:rPr>
        <w:t xml:space="preserve"> – объем раствора, л, </w:t>
      </w:r>
      <w:r w:rsidR="00602C53" w:rsidRPr="00F13E8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02C53" w:rsidRPr="00F13E88">
        <w:rPr>
          <w:rFonts w:ascii="Times New Roman" w:hAnsi="Times New Roman" w:cs="Times New Roman"/>
          <w:sz w:val="28"/>
          <w:szCs w:val="28"/>
        </w:rPr>
        <w:t xml:space="preserve"> – масса образца, г.</w:t>
      </w:r>
    </w:p>
    <w:p w:rsidR="00976B29" w:rsidRPr="00F13E88" w:rsidRDefault="006F7026" w:rsidP="006E011B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поглотительной способности угля по формальдегиду </w:t>
      </w:r>
      <w:r w:rsidR="00976B29" w:rsidRPr="00976B29">
        <w:rPr>
          <w:rFonts w:ascii="Times New Roman" w:hAnsi="Times New Roman" w:cs="Times New Roman"/>
          <w:sz w:val="28"/>
          <w:szCs w:val="28"/>
        </w:rPr>
        <w:t xml:space="preserve">0,5 г сорбента заливали 25 мл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сорбата</w:t>
      </w:r>
      <w:proofErr w:type="spellEnd"/>
      <w:r w:rsidR="00976B29" w:rsidRPr="00976B29">
        <w:rPr>
          <w:rFonts w:ascii="Times New Roman" w:hAnsi="Times New Roman" w:cs="Times New Roman"/>
          <w:sz w:val="28"/>
          <w:szCs w:val="28"/>
        </w:rPr>
        <w:t>, в диапазоне концентраций 0,0</w:t>
      </w:r>
      <w:r w:rsidR="00A77E0C">
        <w:rPr>
          <w:rFonts w:ascii="Times New Roman" w:hAnsi="Times New Roman" w:cs="Times New Roman"/>
          <w:sz w:val="28"/>
          <w:szCs w:val="28"/>
        </w:rPr>
        <w:t>3</w:t>
      </w:r>
      <w:r w:rsidR="00976B29" w:rsidRPr="00976B29">
        <w:rPr>
          <w:rFonts w:ascii="Times New Roman" w:hAnsi="Times New Roman" w:cs="Times New Roman"/>
          <w:sz w:val="28"/>
          <w:szCs w:val="28"/>
        </w:rPr>
        <w:t xml:space="preserve"> – 0,3</w:t>
      </w:r>
      <w:r w:rsidR="00A77E0C">
        <w:rPr>
          <w:rFonts w:ascii="Times New Roman" w:hAnsi="Times New Roman" w:cs="Times New Roman"/>
          <w:sz w:val="28"/>
          <w:szCs w:val="28"/>
        </w:rPr>
        <w:t>6</w:t>
      </w:r>
      <w:r w:rsidR="00976B29" w:rsidRPr="00976B29">
        <w:rPr>
          <w:rFonts w:ascii="Times New Roman" w:hAnsi="Times New Roman" w:cs="Times New Roman"/>
          <w:sz w:val="28"/>
          <w:szCs w:val="28"/>
        </w:rPr>
        <w:t xml:space="preserve"> моль/л, время сорбции 2 часа, затем раствор отфильтровывали. Содержание формальдегида в растворе после адсорбции определяли сульфитным методом. Относительная ошибка определения 1-3 %.</w:t>
      </w:r>
    </w:p>
    <w:p w:rsidR="001A4D9C" w:rsidRDefault="006F7026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исследованиях [</w:t>
      </w:r>
      <w:r w:rsidR="00024E59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>] показана возможность модификации растворами различных щелочей как опилок, так и полученных на их основе углеродных сорбент</w:t>
      </w:r>
      <w:r w:rsidR="00BF03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2B6" w:rsidRPr="00F13E88">
        <w:rPr>
          <w:rFonts w:ascii="Times New Roman" w:hAnsi="Times New Roman" w:cs="Times New Roman"/>
          <w:sz w:val="28"/>
          <w:szCs w:val="28"/>
        </w:rPr>
        <w:t xml:space="preserve">Щелочная активация </w:t>
      </w:r>
      <w:r>
        <w:rPr>
          <w:rFonts w:ascii="Times New Roman" w:hAnsi="Times New Roman" w:cs="Times New Roman"/>
          <w:sz w:val="28"/>
          <w:szCs w:val="28"/>
        </w:rPr>
        <w:t xml:space="preserve">углей </w:t>
      </w:r>
      <w:r w:rsidR="002452B6" w:rsidRPr="00F13E88">
        <w:rPr>
          <w:rFonts w:ascii="Times New Roman" w:hAnsi="Times New Roman" w:cs="Times New Roman"/>
          <w:sz w:val="28"/>
          <w:szCs w:val="28"/>
        </w:rPr>
        <w:t>способствует развитию микропористой структуры [</w:t>
      </w:r>
      <w:r w:rsidR="00024E59" w:rsidRPr="00024E59">
        <w:rPr>
          <w:rFonts w:ascii="Times New Roman" w:hAnsi="Times New Roman" w:cs="Times New Roman"/>
          <w:sz w:val="28"/>
          <w:szCs w:val="28"/>
        </w:rPr>
        <w:t>8</w:t>
      </w:r>
      <w:r w:rsidR="002452B6" w:rsidRPr="00F13E88">
        <w:rPr>
          <w:rFonts w:ascii="Times New Roman" w:hAnsi="Times New Roman" w:cs="Times New Roman"/>
          <w:sz w:val="28"/>
          <w:szCs w:val="28"/>
        </w:rPr>
        <w:t>]</w:t>
      </w:r>
      <w:r w:rsidR="00E779EE" w:rsidRPr="00F13E88">
        <w:rPr>
          <w:rFonts w:ascii="Times New Roman" w:hAnsi="Times New Roman" w:cs="Times New Roman"/>
          <w:sz w:val="28"/>
          <w:szCs w:val="28"/>
        </w:rPr>
        <w:t xml:space="preserve">, </w:t>
      </w:r>
      <w:r w:rsidR="00FC4D6F" w:rsidRPr="00BF030E">
        <w:rPr>
          <w:rFonts w:ascii="Times New Roman" w:hAnsi="Times New Roman" w:cs="Times New Roman"/>
          <w:sz w:val="28"/>
          <w:szCs w:val="28"/>
        </w:rPr>
        <w:t xml:space="preserve">а </w:t>
      </w:r>
      <w:r w:rsidR="009E4231" w:rsidRPr="00BF030E">
        <w:rPr>
          <w:rFonts w:ascii="Times New Roman" w:hAnsi="Times New Roman" w:cs="Times New Roman"/>
          <w:sz w:val="28"/>
          <w:szCs w:val="28"/>
        </w:rPr>
        <w:t>ее</w:t>
      </w:r>
      <w:r w:rsidR="00E779EE" w:rsidRPr="00BF030E">
        <w:rPr>
          <w:rFonts w:ascii="Times New Roman" w:hAnsi="Times New Roman" w:cs="Times New Roman"/>
          <w:sz w:val="28"/>
          <w:szCs w:val="28"/>
        </w:rPr>
        <w:t xml:space="preserve"> </w:t>
      </w:r>
      <w:r w:rsidR="009E4231" w:rsidRPr="00BF030E">
        <w:rPr>
          <w:rFonts w:ascii="Times New Roman" w:hAnsi="Times New Roman" w:cs="Times New Roman"/>
          <w:sz w:val="28"/>
          <w:szCs w:val="28"/>
        </w:rPr>
        <w:t>эффективность</w:t>
      </w:r>
      <w:r w:rsidR="00E779EE" w:rsidRPr="00BF030E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BF030E" w:rsidRPr="00BF030E">
        <w:rPr>
          <w:rFonts w:ascii="Times New Roman" w:hAnsi="Times New Roman" w:cs="Times New Roman"/>
          <w:sz w:val="28"/>
          <w:szCs w:val="28"/>
        </w:rPr>
        <w:t xml:space="preserve">от </w:t>
      </w:r>
      <w:r w:rsidR="00560118" w:rsidRPr="00BF030E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BF030E">
        <w:rPr>
          <w:rFonts w:ascii="Times New Roman" w:hAnsi="Times New Roman" w:cs="Times New Roman"/>
          <w:sz w:val="28"/>
          <w:szCs w:val="28"/>
        </w:rPr>
        <w:t>модификатора</w:t>
      </w:r>
      <w:r w:rsidR="00560118" w:rsidRPr="00F13E88">
        <w:rPr>
          <w:rFonts w:ascii="Times New Roman" w:hAnsi="Times New Roman" w:cs="Times New Roman"/>
          <w:sz w:val="28"/>
          <w:szCs w:val="28"/>
        </w:rPr>
        <w:t xml:space="preserve"> [</w:t>
      </w:r>
      <w:r w:rsidR="001A4D9C" w:rsidRPr="001A4D9C">
        <w:rPr>
          <w:rFonts w:ascii="Times New Roman" w:hAnsi="Times New Roman" w:cs="Times New Roman"/>
          <w:sz w:val="28"/>
          <w:szCs w:val="28"/>
        </w:rPr>
        <w:t>5,9</w:t>
      </w:r>
      <w:r w:rsidR="00BF030E">
        <w:rPr>
          <w:rFonts w:ascii="Times New Roman" w:hAnsi="Times New Roman" w:cs="Times New Roman"/>
          <w:sz w:val="28"/>
          <w:szCs w:val="28"/>
        </w:rPr>
        <w:t>].</w:t>
      </w:r>
    </w:p>
    <w:p w:rsidR="00981573" w:rsidRDefault="007B6396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sz w:val="28"/>
          <w:szCs w:val="28"/>
        </w:rPr>
        <w:t xml:space="preserve">В нашей работе </w:t>
      </w:r>
      <w:r w:rsidR="006F7026">
        <w:rPr>
          <w:rFonts w:ascii="Times New Roman" w:hAnsi="Times New Roman" w:cs="Times New Roman"/>
          <w:sz w:val="28"/>
          <w:szCs w:val="28"/>
        </w:rPr>
        <w:t>исследовано влияние концентрации модификатора</w:t>
      </w:r>
      <w:r w:rsidR="00981573">
        <w:rPr>
          <w:rFonts w:ascii="Times New Roman" w:hAnsi="Times New Roman" w:cs="Times New Roman"/>
          <w:sz w:val="28"/>
          <w:szCs w:val="28"/>
        </w:rPr>
        <w:t xml:space="preserve"> и его количества </w:t>
      </w:r>
      <w:r w:rsidR="006F7026">
        <w:rPr>
          <w:rFonts w:ascii="Times New Roman" w:hAnsi="Times New Roman" w:cs="Times New Roman"/>
          <w:sz w:val="28"/>
          <w:szCs w:val="28"/>
        </w:rPr>
        <w:t xml:space="preserve">на </w:t>
      </w:r>
      <w:r w:rsidR="00981573">
        <w:rPr>
          <w:rFonts w:ascii="Times New Roman" w:hAnsi="Times New Roman" w:cs="Times New Roman"/>
          <w:sz w:val="28"/>
          <w:szCs w:val="28"/>
        </w:rPr>
        <w:t>сорбционную способность по отношению к красителю метиленовому синему</w:t>
      </w:r>
      <w:r w:rsidR="00BF030E">
        <w:rPr>
          <w:rFonts w:ascii="Times New Roman" w:hAnsi="Times New Roman" w:cs="Times New Roman"/>
          <w:sz w:val="28"/>
          <w:szCs w:val="28"/>
        </w:rPr>
        <w:t xml:space="preserve"> (табл.1)</w:t>
      </w:r>
      <w:r w:rsidR="00981573">
        <w:rPr>
          <w:rFonts w:ascii="Times New Roman" w:hAnsi="Times New Roman" w:cs="Times New Roman"/>
          <w:sz w:val="28"/>
          <w:szCs w:val="28"/>
        </w:rPr>
        <w:t>.</w:t>
      </w:r>
    </w:p>
    <w:p w:rsidR="00D26E32" w:rsidRDefault="00D26E32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E32" w:rsidRPr="00D26E32" w:rsidRDefault="00981573" w:rsidP="00D26E32">
      <w:pPr>
        <w:spacing w:after="0" w:line="30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E32"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p w:rsidR="00981573" w:rsidRPr="00D26E32" w:rsidRDefault="00981573" w:rsidP="00D26E32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32">
        <w:rPr>
          <w:rFonts w:ascii="Times New Roman" w:hAnsi="Times New Roman" w:cs="Times New Roman"/>
          <w:b/>
          <w:sz w:val="28"/>
          <w:szCs w:val="28"/>
        </w:rPr>
        <w:lastRenderedPageBreak/>
        <w:t>Зависимость сорбции МС на углеродных сорбентах от концентрации и количества модификатора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F2765" w:rsidTr="008F2765">
        <w:tc>
          <w:tcPr>
            <w:tcW w:w="3209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сорбента</w:t>
            </w:r>
          </w:p>
        </w:tc>
        <w:tc>
          <w:tcPr>
            <w:tcW w:w="3209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Соотношение</w:t>
            </w:r>
          </w:p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сорбент :</w:t>
            </w:r>
            <w:proofErr w:type="gramEnd"/>
            <w:r>
              <w:rPr>
                <w:rFonts w:cs="Times New Roman"/>
                <w:szCs w:val="28"/>
              </w:rPr>
              <w:t xml:space="preserve"> модификатор</w:t>
            </w:r>
          </w:p>
        </w:tc>
        <w:tc>
          <w:tcPr>
            <w:tcW w:w="3210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Величина адсорбции, мг/г</w:t>
            </w:r>
          </w:p>
        </w:tc>
      </w:tr>
      <w:tr w:rsidR="008F2765" w:rsidTr="008F2765">
        <w:tc>
          <w:tcPr>
            <w:tcW w:w="3209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</w:t>
            </w:r>
          </w:p>
        </w:tc>
        <w:tc>
          <w:tcPr>
            <w:tcW w:w="3209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3210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</w:t>
            </w:r>
          </w:p>
        </w:tc>
      </w:tr>
      <w:tr w:rsidR="008F2765" w:rsidTr="008F2765">
        <w:trPr>
          <w:trHeight w:val="203"/>
        </w:trPr>
        <w:tc>
          <w:tcPr>
            <w:tcW w:w="3209" w:type="dxa"/>
            <w:vMerge w:val="restart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УС+1,0 М КОН</w:t>
            </w:r>
          </w:p>
        </w:tc>
        <w:tc>
          <w:tcPr>
            <w:tcW w:w="3209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: 2</w:t>
            </w:r>
          </w:p>
        </w:tc>
        <w:tc>
          <w:tcPr>
            <w:tcW w:w="3210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0,22</w:t>
            </w:r>
          </w:p>
        </w:tc>
      </w:tr>
      <w:tr w:rsidR="008F2765" w:rsidTr="008F2765">
        <w:trPr>
          <w:trHeight w:val="202"/>
        </w:trPr>
        <w:tc>
          <w:tcPr>
            <w:tcW w:w="3209" w:type="dxa"/>
            <w:vMerge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09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: 4</w:t>
            </w:r>
          </w:p>
        </w:tc>
        <w:tc>
          <w:tcPr>
            <w:tcW w:w="3210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8F2765" w:rsidTr="008F2765">
        <w:trPr>
          <w:trHeight w:val="203"/>
        </w:trPr>
        <w:tc>
          <w:tcPr>
            <w:tcW w:w="3209" w:type="dxa"/>
            <w:vMerge w:val="restart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УС+2,0 М КОН</w:t>
            </w:r>
          </w:p>
        </w:tc>
        <w:tc>
          <w:tcPr>
            <w:tcW w:w="3209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: 2</w:t>
            </w:r>
          </w:p>
        </w:tc>
        <w:tc>
          <w:tcPr>
            <w:tcW w:w="3210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</w:t>
            </w:r>
          </w:p>
        </w:tc>
      </w:tr>
      <w:tr w:rsidR="008F2765" w:rsidTr="008F2765">
        <w:trPr>
          <w:trHeight w:val="202"/>
        </w:trPr>
        <w:tc>
          <w:tcPr>
            <w:tcW w:w="3209" w:type="dxa"/>
            <w:vMerge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09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: 4</w:t>
            </w:r>
          </w:p>
        </w:tc>
        <w:tc>
          <w:tcPr>
            <w:tcW w:w="3210" w:type="dxa"/>
          </w:tcPr>
          <w:p w:rsidR="008F2765" w:rsidRDefault="008F2765" w:rsidP="008F2765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0,35</w:t>
            </w:r>
          </w:p>
        </w:tc>
      </w:tr>
    </w:tbl>
    <w:p w:rsidR="00981573" w:rsidRDefault="008F2765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УС – уголь сосновый</w:t>
      </w:r>
    </w:p>
    <w:p w:rsidR="00D26E32" w:rsidRDefault="00D26E32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573" w:rsidRPr="001A4D9C" w:rsidRDefault="00174B9E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полученных данных свидетельствует, что наиболее эффективно проводить модификацию раствором щелочи в концентрации 2,0 М и соотношении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сорбент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модификатор 1 : 4, аналогично данным, полученным в работ</w:t>
      </w:r>
      <w:r w:rsidR="001A4D9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1A4D9C" w:rsidRPr="001A4D9C">
        <w:rPr>
          <w:rFonts w:ascii="Times New Roman" w:hAnsi="Times New Roman" w:cs="Times New Roman"/>
          <w:sz w:val="28"/>
          <w:szCs w:val="28"/>
        </w:rPr>
        <w:t>4</w:t>
      </w:r>
      <w:r w:rsidR="001A4D9C">
        <w:rPr>
          <w:rFonts w:ascii="Times New Roman" w:hAnsi="Times New Roman" w:cs="Times New Roman"/>
          <w:sz w:val="28"/>
          <w:szCs w:val="28"/>
        </w:rPr>
        <w:t>,5</w:t>
      </w:r>
      <w:r w:rsidR="001A4D9C" w:rsidRPr="001A4D9C">
        <w:rPr>
          <w:rFonts w:ascii="Times New Roman" w:hAnsi="Times New Roman" w:cs="Times New Roman"/>
          <w:sz w:val="28"/>
          <w:szCs w:val="28"/>
        </w:rPr>
        <w:t>].</w:t>
      </w:r>
    </w:p>
    <w:p w:rsidR="00E779EE" w:rsidRPr="00F13E88" w:rsidRDefault="007B6396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sz w:val="28"/>
          <w:szCs w:val="28"/>
        </w:rPr>
        <w:t>Врем</w:t>
      </w:r>
      <w:r w:rsidR="00480627" w:rsidRPr="00F13E88">
        <w:rPr>
          <w:rFonts w:ascii="Times New Roman" w:hAnsi="Times New Roman" w:cs="Times New Roman"/>
          <w:sz w:val="28"/>
          <w:szCs w:val="28"/>
        </w:rPr>
        <w:t>я</w:t>
      </w:r>
      <w:r w:rsidRPr="00F13E88">
        <w:rPr>
          <w:rFonts w:ascii="Times New Roman" w:hAnsi="Times New Roman" w:cs="Times New Roman"/>
          <w:sz w:val="28"/>
          <w:szCs w:val="28"/>
        </w:rPr>
        <w:t xml:space="preserve"> контакта раствора щелочи с углем составляло 2 и 24 часа. </w:t>
      </w:r>
      <w:r w:rsidR="00480627" w:rsidRPr="00F13E88">
        <w:rPr>
          <w:rFonts w:ascii="Times New Roman" w:hAnsi="Times New Roman" w:cs="Times New Roman"/>
          <w:sz w:val="28"/>
          <w:szCs w:val="28"/>
        </w:rPr>
        <w:t xml:space="preserve">Получены зависимости сорбции МС образцами от времени контакта (т), а также степень извлечения </w:t>
      </w:r>
      <w:proofErr w:type="spellStart"/>
      <w:r w:rsidR="00480627" w:rsidRPr="00F13E88">
        <w:rPr>
          <w:rFonts w:ascii="Times New Roman" w:hAnsi="Times New Roman" w:cs="Times New Roman"/>
          <w:sz w:val="28"/>
          <w:szCs w:val="28"/>
        </w:rPr>
        <w:t>сорбата</w:t>
      </w:r>
      <w:proofErr w:type="spellEnd"/>
      <w:r w:rsidR="00480627" w:rsidRPr="00F13E88">
        <w:rPr>
          <w:rFonts w:ascii="Times New Roman" w:hAnsi="Times New Roman" w:cs="Times New Roman"/>
          <w:sz w:val="28"/>
          <w:szCs w:val="28"/>
        </w:rPr>
        <w:t xml:space="preserve"> (табл.2).</w:t>
      </w:r>
    </w:p>
    <w:p w:rsidR="000E66AF" w:rsidRDefault="000E66AF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E32" w:rsidRPr="00D26E32" w:rsidRDefault="003476BF" w:rsidP="00D26E32">
      <w:pPr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E32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480627" w:rsidRPr="00D26E32">
        <w:rPr>
          <w:rFonts w:ascii="Times New Roman" w:hAnsi="Times New Roman" w:cs="Times New Roman"/>
          <w:b/>
          <w:sz w:val="28"/>
          <w:szCs w:val="28"/>
        </w:rPr>
        <w:t>2</w:t>
      </w:r>
    </w:p>
    <w:p w:rsidR="00D26E32" w:rsidRPr="00D26E32" w:rsidRDefault="00CD663F" w:rsidP="00D26E3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32">
        <w:rPr>
          <w:rFonts w:ascii="Times New Roman" w:hAnsi="Times New Roman" w:cs="Times New Roman"/>
          <w:b/>
          <w:sz w:val="28"/>
          <w:szCs w:val="28"/>
        </w:rPr>
        <w:t xml:space="preserve">Степень извлечения </w:t>
      </w:r>
      <w:proofErr w:type="spellStart"/>
      <w:r w:rsidRPr="00D26E32">
        <w:rPr>
          <w:rFonts w:ascii="Times New Roman" w:hAnsi="Times New Roman" w:cs="Times New Roman"/>
          <w:b/>
          <w:sz w:val="28"/>
          <w:szCs w:val="28"/>
        </w:rPr>
        <w:t>сорбата</w:t>
      </w:r>
      <w:proofErr w:type="spellEnd"/>
      <w:r w:rsidRPr="00D26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A0E" w:rsidRPr="00D26E32">
        <w:rPr>
          <w:rFonts w:ascii="Times New Roman" w:hAnsi="Times New Roman" w:cs="Times New Roman"/>
          <w:b/>
          <w:sz w:val="28"/>
          <w:szCs w:val="28"/>
        </w:rPr>
        <w:t xml:space="preserve">(R, %) </w:t>
      </w:r>
      <w:r w:rsidRPr="00D26E32">
        <w:rPr>
          <w:rFonts w:ascii="Times New Roman" w:hAnsi="Times New Roman" w:cs="Times New Roman"/>
          <w:b/>
          <w:sz w:val="28"/>
          <w:szCs w:val="28"/>
        </w:rPr>
        <w:t xml:space="preserve">в зависимости от </w:t>
      </w:r>
    </w:p>
    <w:p w:rsidR="00480627" w:rsidRPr="00D26E32" w:rsidRDefault="00CD663F" w:rsidP="00D26E3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E32">
        <w:rPr>
          <w:rFonts w:ascii="Times New Roman" w:hAnsi="Times New Roman" w:cs="Times New Roman"/>
          <w:b/>
          <w:sz w:val="28"/>
          <w:szCs w:val="28"/>
        </w:rPr>
        <w:t>времени контакта с образцами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693"/>
        <w:gridCol w:w="2687"/>
      </w:tblGrid>
      <w:tr w:rsidR="00CD663F" w:rsidRPr="00F13E88" w:rsidTr="00227A0E">
        <w:trPr>
          <w:trHeight w:val="529"/>
        </w:trPr>
        <w:tc>
          <w:tcPr>
            <w:tcW w:w="1696" w:type="dxa"/>
            <w:vMerge w:val="restart"/>
          </w:tcPr>
          <w:p w:rsidR="00CD663F" w:rsidRPr="00F13E88" w:rsidRDefault="00CD663F" w:rsidP="000E66AF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 xml:space="preserve">Время контакта, </w:t>
            </w:r>
            <w:r w:rsidR="00227A0E" w:rsidRPr="00F13E88">
              <w:rPr>
                <w:rFonts w:cs="Times New Roman"/>
                <w:szCs w:val="28"/>
              </w:rPr>
              <w:t>ч</w:t>
            </w:r>
            <w:r w:rsidRPr="00F13E88">
              <w:rPr>
                <w:rFonts w:cs="Times New Roman"/>
                <w:szCs w:val="28"/>
              </w:rPr>
              <w:t>ас</w:t>
            </w:r>
          </w:p>
        </w:tc>
        <w:tc>
          <w:tcPr>
            <w:tcW w:w="7932" w:type="dxa"/>
            <w:gridSpan w:val="3"/>
          </w:tcPr>
          <w:p w:rsidR="00CD663F" w:rsidRPr="00F13E88" w:rsidRDefault="00CD663F" w:rsidP="00CD663F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Образец</w:t>
            </w:r>
          </w:p>
        </w:tc>
      </w:tr>
      <w:tr w:rsidR="00CD663F" w:rsidRPr="00F13E88" w:rsidTr="00227A0E">
        <w:trPr>
          <w:trHeight w:val="450"/>
        </w:trPr>
        <w:tc>
          <w:tcPr>
            <w:tcW w:w="1696" w:type="dxa"/>
            <w:vMerge/>
          </w:tcPr>
          <w:p w:rsidR="00CD663F" w:rsidRPr="00F13E88" w:rsidRDefault="00CD663F" w:rsidP="00E779EE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D663F" w:rsidRPr="00F13E88" w:rsidRDefault="00174B9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CD663F" w:rsidRPr="00F13E88">
              <w:rPr>
                <w:rFonts w:cs="Times New Roman"/>
                <w:szCs w:val="28"/>
              </w:rPr>
              <w:t>С</w:t>
            </w:r>
          </w:p>
        </w:tc>
        <w:tc>
          <w:tcPr>
            <w:tcW w:w="2693" w:type="dxa"/>
          </w:tcPr>
          <w:p w:rsidR="00174B9E" w:rsidRDefault="00174B9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CD663F" w:rsidRPr="00F13E88">
              <w:rPr>
                <w:rFonts w:cs="Times New Roman"/>
                <w:szCs w:val="28"/>
              </w:rPr>
              <w:t>С+</w:t>
            </w:r>
            <w:r>
              <w:rPr>
                <w:rFonts w:cs="Times New Roman"/>
                <w:szCs w:val="28"/>
              </w:rPr>
              <w:t xml:space="preserve">2,0 М </w:t>
            </w:r>
            <w:r w:rsidR="00CD663F" w:rsidRPr="00F13E88">
              <w:rPr>
                <w:rFonts w:cs="Times New Roman"/>
                <w:szCs w:val="28"/>
              </w:rPr>
              <w:t xml:space="preserve">КОН </w:t>
            </w:r>
          </w:p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2</w:t>
            </w:r>
            <w:r w:rsidR="00174B9E">
              <w:rPr>
                <w:rFonts w:cs="Times New Roman"/>
                <w:szCs w:val="28"/>
              </w:rPr>
              <w:t xml:space="preserve"> </w:t>
            </w:r>
            <w:r w:rsidRPr="00F13E88">
              <w:rPr>
                <w:rFonts w:cs="Times New Roman"/>
                <w:szCs w:val="28"/>
              </w:rPr>
              <w:t>часа</w:t>
            </w:r>
          </w:p>
        </w:tc>
        <w:tc>
          <w:tcPr>
            <w:tcW w:w="2687" w:type="dxa"/>
          </w:tcPr>
          <w:p w:rsidR="00174B9E" w:rsidRDefault="00174B9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CD663F" w:rsidRPr="00F13E88">
              <w:rPr>
                <w:rFonts w:cs="Times New Roman"/>
                <w:szCs w:val="28"/>
              </w:rPr>
              <w:t xml:space="preserve">С+КОН </w:t>
            </w:r>
            <w:r>
              <w:rPr>
                <w:rFonts w:cs="Times New Roman"/>
                <w:szCs w:val="28"/>
              </w:rPr>
              <w:t xml:space="preserve">2,0 М </w:t>
            </w:r>
          </w:p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24 часа</w:t>
            </w:r>
          </w:p>
        </w:tc>
      </w:tr>
      <w:tr w:rsidR="00CD663F" w:rsidRPr="00F13E88" w:rsidTr="00227A0E">
        <w:tc>
          <w:tcPr>
            <w:tcW w:w="1696" w:type="dxa"/>
          </w:tcPr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1,0</w:t>
            </w:r>
          </w:p>
        </w:tc>
        <w:tc>
          <w:tcPr>
            <w:tcW w:w="2552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31</w:t>
            </w:r>
          </w:p>
        </w:tc>
        <w:tc>
          <w:tcPr>
            <w:tcW w:w="2693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81</w:t>
            </w:r>
          </w:p>
        </w:tc>
        <w:tc>
          <w:tcPr>
            <w:tcW w:w="2687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81</w:t>
            </w:r>
          </w:p>
        </w:tc>
      </w:tr>
      <w:tr w:rsidR="00CD663F" w:rsidRPr="00F13E88" w:rsidTr="00227A0E">
        <w:tc>
          <w:tcPr>
            <w:tcW w:w="1696" w:type="dxa"/>
          </w:tcPr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1,5</w:t>
            </w:r>
          </w:p>
        </w:tc>
        <w:tc>
          <w:tcPr>
            <w:tcW w:w="2552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39</w:t>
            </w:r>
          </w:p>
        </w:tc>
        <w:tc>
          <w:tcPr>
            <w:tcW w:w="2693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84</w:t>
            </w:r>
          </w:p>
        </w:tc>
        <w:tc>
          <w:tcPr>
            <w:tcW w:w="2687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84</w:t>
            </w:r>
          </w:p>
        </w:tc>
      </w:tr>
      <w:tr w:rsidR="00CD663F" w:rsidRPr="00F13E88" w:rsidTr="00227A0E">
        <w:tc>
          <w:tcPr>
            <w:tcW w:w="1696" w:type="dxa"/>
          </w:tcPr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2,0</w:t>
            </w:r>
          </w:p>
        </w:tc>
        <w:tc>
          <w:tcPr>
            <w:tcW w:w="2552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43</w:t>
            </w:r>
          </w:p>
        </w:tc>
        <w:tc>
          <w:tcPr>
            <w:tcW w:w="2693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87</w:t>
            </w:r>
          </w:p>
        </w:tc>
        <w:tc>
          <w:tcPr>
            <w:tcW w:w="2687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88</w:t>
            </w:r>
          </w:p>
        </w:tc>
      </w:tr>
      <w:tr w:rsidR="00CD663F" w:rsidRPr="00F13E88" w:rsidTr="00227A0E">
        <w:tc>
          <w:tcPr>
            <w:tcW w:w="1696" w:type="dxa"/>
          </w:tcPr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2,5</w:t>
            </w:r>
          </w:p>
        </w:tc>
        <w:tc>
          <w:tcPr>
            <w:tcW w:w="2552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45</w:t>
            </w:r>
          </w:p>
        </w:tc>
        <w:tc>
          <w:tcPr>
            <w:tcW w:w="2693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89</w:t>
            </w:r>
          </w:p>
        </w:tc>
        <w:tc>
          <w:tcPr>
            <w:tcW w:w="2687" w:type="dxa"/>
          </w:tcPr>
          <w:p w:rsidR="00CD663F" w:rsidRPr="00F13E88" w:rsidRDefault="00227A0E" w:rsidP="001B04B8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9</w:t>
            </w:r>
            <w:r w:rsidR="001B04B8" w:rsidRPr="00F13E88">
              <w:rPr>
                <w:rFonts w:cs="Times New Roman"/>
                <w:szCs w:val="28"/>
              </w:rPr>
              <w:t>1</w:t>
            </w:r>
          </w:p>
        </w:tc>
      </w:tr>
      <w:tr w:rsidR="00CD663F" w:rsidRPr="00F13E88" w:rsidTr="00227A0E">
        <w:tc>
          <w:tcPr>
            <w:tcW w:w="1696" w:type="dxa"/>
          </w:tcPr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3,0</w:t>
            </w:r>
          </w:p>
        </w:tc>
        <w:tc>
          <w:tcPr>
            <w:tcW w:w="2552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48</w:t>
            </w:r>
          </w:p>
        </w:tc>
        <w:tc>
          <w:tcPr>
            <w:tcW w:w="2693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90</w:t>
            </w:r>
          </w:p>
        </w:tc>
        <w:tc>
          <w:tcPr>
            <w:tcW w:w="2687" w:type="dxa"/>
          </w:tcPr>
          <w:p w:rsidR="00CD663F" w:rsidRPr="00F13E88" w:rsidRDefault="00227A0E" w:rsidP="001B04B8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9</w:t>
            </w:r>
            <w:r w:rsidR="001B04B8" w:rsidRPr="00F13E88">
              <w:rPr>
                <w:rFonts w:cs="Times New Roman"/>
                <w:szCs w:val="28"/>
              </w:rPr>
              <w:t>2</w:t>
            </w:r>
          </w:p>
        </w:tc>
      </w:tr>
      <w:tr w:rsidR="00CD663F" w:rsidRPr="00F13E88" w:rsidTr="00227A0E">
        <w:tc>
          <w:tcPr>
            <w:tcW w:w="1696" w:type="dxa"/>
          </w:tcPr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5,0</w:t>
            </w:r>
          </w:p>
        </w:tc>
        <w:tc>
          <w:tcPr>
            <w:tcW w:w="2552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51</w:t>
            </w:r>
          </w:p>
        </w:tc>
        <w:tc>
          <w:tcPr>
            <w:tcW w:w="2693" w:type="dxa"/>
          </w:tcPr>
          <w:p w:rsidR="00CD663F" w:rsidRPr="00F13E88" w:rsidRDefault="00227A0E" w:rsidP="001B04B8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9</w:t>
            </w:r>
            <w:r w:rsidR="001B04B8" w:rsidRPr="00F13E88">
              <w:rPr>
                <w:rFonts w:cs="Times New Roman"/>
                <w:szCs w:val="28"/>
              </w:rPr>
              <w:t>1</w:t>
            </w:r>
          </w:p>
        </w:tc>
        <w:tc>
          <w:tcPr>
            <w:tcW w:w="2687" w:type="dxa"/>
          </w:tcPr>
          <w:p w:rsidR="00CD663F" w:rsidRPr="00F13E88" w:rsidRDefault="00227A0E" w:rsidP="001B04B8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9</w:t>
            </w:r>
            <w:r w:rsidR="001B04B8" w:rsidRPr="00F13E88">
              <w:rPr>
                <w:rFonts w:cs="Times New Roman"/>
                <w:szCs w:val="28"/>
              </w:rPr>
              <w:t>2</w:t>
            </w:r>
          </w:p>
        </w:tc>
      </w:tr>
      <w:tr w:rsidR="00CD663F" w:rsidRPr="00F13E88" w:rsidTr="00227A0E">
        <w:tc>
          <w:tcPr>
            <w:tcW w:w="1696" w:type="dxa"/>
          </w:tcPr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24</w:t>
            </w:r>
          </w:p>
        </w:tc>
        <w:tc>
          <w:tcPr>
            <w:tcW w:w="2552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71</w:t>
            </w:r>
          </w:p>
        </w:tc>
        <w:tc>
          <w:tcPr>
            <w:tcW w:w="2693" w:type="dxa"/>
          </w:tcPr>
          <w:p w:rsidR="00CD663F" w:rsidRPr="00F13E88" w:rsidRDefault="00227A0E" w:rsidP="001B04B8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9</w:t>
            </w:r>
            <w:r w:rsidR="001B04B8" w:rsidRPr="00F13E88">
              <w:rPr>
                <w:rFonts w:cs="Times New Roman"/>
                <w:szCs w:val="28"/>
              </w:rPr>
              <w:t>5</w:t>
            </w:r>
          </w:p>
        </w:tc>
        <w:tc>
          <w:tcPr>
            <w:tcW w:w="2687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94</w:t>
            </w:r>
          </w:p>
        </w:tc>
      </w:tr>
      <w:tr w:rsidR="00CD663F" w:rsidRPr="00F13E88" w:rsidTr="00227A0E">
        <w:tc>
          <w:tcPr>
            <w:tcW w:w="1696" w:type="dxa"/>
          </w:tcPr>
          <w:p w:rsidR="00CD663F" w:rsidRPr="00F13E88" w:rsidRDefault="00CD663F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48</w:t>
            </w:r>
          </w:p>
        </w:tc>
        <w:tc>
          <w:tcPr>
            <w:tcW w:w="2552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69</w:t>
            </w:r>
          </w:p>
        </w:tc>
        <w:tc>
          <w:tcPr>
            <w:tcW w:w="2693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94</w:t>
            </w:r>
          </w:p>
        </w:tc>
        <w:tc>
          <w:tcPr>
            <w:tcW w:w="2687" w:type="dxa"/>
          </w:tcPr>
          <w:p w:rsidR="00CD663F" w:rsidRPr="00F13E88" w:rsidRDefault="00227A0E" w:rsidP="00227A0E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F13E88">
              <w:rPr>
                <w:rFonts w:cs="Times New Roman"/>
                <w:szCs w:val="28"/>
              </w:rPr>
              <w:t>93</w:t>
            </w:r>
          </w:p>
        </w:tc>
      </w:tr>
    </w:tbl>
    <w:p w:rsidR="00480627" w:rsidRPr="00F13E88" w:rsidRDefault="00480627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B9E" w:rsidRDefault="00174B9E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Сорбция исходным углем достигает </w:t>
      </w:r>
      <w:r w:rsidR="00227A0E" w:rsidRPr="00F13E88">
        <w:rPr>
          <w:rFonts w:ascii="Times New Roman" w:hAnsi="Times New Roman" w:cs="Times New Roman"/>
          <w:sz w:val="28"/>
          <w:szCs w:val="28"/>
        </w:rPr>
        <w:t xml:space="preserve">71 %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27A0E" w:rsidRPr="00F13E88">
        <w:rPr>
          <w:rFonts w:ascii="Times New Roman" w:hAnsi="Times New Roman" w:cs="Times New Roman"/>
          <w:sz w:val="28"/>
          <w:szCs w:val="28"/>
        </w:rPr>
        <w:t>метиленово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27A0E" w:rsidRPr="00F13E88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 xml:space="preserve">нему, сорбция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модификации</w:t>
      </w:r>
      <w:r w:rsidR="00227A0E" w:rsidRPr="00F1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достигает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95%. </w:t>
      </w:r>
      <w:r w:rsidR="00550978" w:rsidRPr="00F13E88">
        <w:rPr>
          <w:rFonts w:ascii="Times New Roman" w:hAnsi="Times New Roman" w:cs="Times New Roman"/>
          <w:sz w:val="28"/>
          <w:szCs w:val="28"/>
        </w:rPr>
        <w:t>В</w:t>
      </w:r>
      <w:r w:rsidR="00227A0E" w:rsidRPr="00F13E88">
        <w:rPr>
          <w:rFonts w:ascii="Times New Roman" w:hAnsi="Times New Roman" w:cs="Times New Roman"/>
          <w:sz w:val="28"/>
          <w:szCs w:val="28"/>
        </w:rPr>
        <w:t>еличина максимальной а</w:t>
      </w:r>
      <w:r w:rsidR="008F2FDA" w:rsidRPr="00F13E88">
        <w:rPr>
          <w:rFonts w:ascii="Times New Roman" w:hAnsi="Times New Roman" w:cs="Times New Roman"/>
          <w:sz w:val="28"/>
          <w:szCs w:val="28"/>
        </w:rPr>
        <w:t>дсорбции достигается за 24 часа.</w:t>
      </w:r>
      <w:r>
        <w:rPr>
          <w:rFonts w:ascii="Times New Roman" w:hAnsi="Times New Roman" w:cs="Times New Roman"/>
          <w:sz w:val="28"/>
          <w:szCs w:val="28"/>
        </w:rPr>
        <w:t xml:space="preserve"> Увеличение времени обработки угля с 2 до 24 часов не способствует увеличению сорбционной спос</w:t>
      </w:r>
      <w:r w:rsidR="0028589E">
        <w:rPr>
          <w:rFonts w:ascii="Times New Roman" w:hAnsi="Times New Roman" w:cs="Times New Roman"/>
          <w:sz w:val="28"/>
          <w:szCs w:val="28"/>
        </w:rPr>
        <w:t xml:space="preserve">обности, поэтому для дальнейших исследований </w:t>
      </w:r>
      <w:proofErr w:type="spellStart"/>
      <w:r w:rsidR="0028589E">
        <w:rPr>
          <w:rFonts w:ascii="Times New Roman" w:hAnsi="Times New Roman" w:cs="Times New Roman"/>
          <w:sz w:val="28"/>
          <w:szCs w:val="28"/>
        </w:rPr>
        <w:t>биоуголь</w:t>
      </w:r>
      <w:proofErr w:type="spellEnd"/>
      <w:r w:rsidR="0028589E">
        <w:rPr>
          <w:rFonts w:ascii="Times New Roman" w:hAnsi="Times New Roman" w:cs="Times New Roman"/>
          <w:sz w:val="28"/>
          <w:szCs w:val="28"/>
        </w:rPr>
        <w:t xml:space="preserve"> обрабатывали раствором КОН в течении 2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0E" w:rsidRDefault="00550978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sz w:val="28"/>
          <w:szCs w:val="28"/>
        </w:rPr>
        <w:t xml:space="preserve">Получены изотермы сорбции МС </w:t>
      </w:r>
      <w:r w:rsidR="008F2FDA" w:rsidRPr="00F13E88">
        <w:rPr>
          <w:rFonts w:ascii="Times New Roman" w:hAnsi="Times New Roman" w:cs="Times New Roman"/>
          <w:sz w:val="28"/>
          <w:szCs w:val="28"/>
        </w:rPr>
        <w:t>на исследуемых образцах</w:t>
      </w:r>
      <w:r w:rsidRPr="00F13E88">
        <w:rPr>
          <w:rFonts w:ascii="Times New Roman" w:hAnsi="Times New Roman" w:cs="Times New Roman"/>
          <w:sz w:val="28"/>
          <w:szCs w:val="28"/>
        </w:rPr>
        <w:t xml:space="preserve"> (</w:t>
      </w:r>
      <w:r w:rsidR="00BB0A65">
        <w:rPr>
          <w:rFonts w:ascii="Times New Roman" w:hAnsi="Times New Roman" w:cs="Times New Roman"/>
          <w:sz w:val="28"/>
          <w:szCs w:val="28"/>
        </w:rPr>
        <w:t>У</w:t>
      </w:r>
      <w:r w:rsidRPr="00F13E88">
        <w:rPr>
          <w:rFonts w:ascii="Times New Roman" w:hAnsi="Times New Roman" w:cs="Times New Roman"/>
          <w:sz w:val="28"/>
          <w:szCs w:val="28"/>
        </w:rPr>
        <w:t xml:space="preserve">С, </w:t>
      </w:r>
      <w:r w:rsidR="00BB0A65">
        <w:rPr>
          <w:rFonts w:ascii="Times New Roman" w:hAnsi="Times New Roman" w:cs="Times New Roman"/>
          <w:sz w:val="28"/>
          <w:szCs w:val="28"/>
        </w:rPr>
        <w:t>У</w:t>
      </w:r>
      <w:r w:rsidRPr="00F13E88">
        <w:rPr>
          <w:rFonts w:ascii="Times New Roman" w:hAnsi="Times New Roman" w:cs="Times New Roman"/>
          <w:sz w:val="28"/>
          <w:szCs w:val="28"/>
        </w:rPr>
        <w:t>С+</w:t>
      </w:r>
      <w:r w:rsidR="00BB0A65">
        <w:rPr>
          <w:rFonts w:ascii="Times New Roman" w:hAnsi="Times New Roman" w:cs="Times New Roman"/>
          <w:sz w:val="28"/>
          <w:szCs w:val="28"/>
        </w:rPr>
        <w:t xml:space="preserve">2 М </w:t>
      </w:r>
      <w:r w:rsidRPr="00F13E88">
        <w:rPr>
          <w:rFonts w:ascii="Times New Roman" w:hAnsi="Times New Roman" w:cs="Times New Roman"/>
          <w:sz w:val="28"/>
          <w:szCs w:val="28"/>
        </w:rPr>
        <w:t>КОН)</w:t>
      </w:r>
      <w:r w:rsidR="008F2FDA" w:rsidRPr="00F13E88">
        <w:rPr>
          <w:rFonts w:ascii="Times New Roman" w:hAnsi="Times New Roman" w:cs="Times New Roman"/>
          <w:sz w:val="28"/>
          <w:szCs w:val="28"/>
        </w:rPr>
        <w:t xml:space="preserve"> при установленном времени равновесия – 24 часа</w:t>
      </w:r>
      <w:r w:rsidRPr="00F13E88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8F2FDA" w:rsidRPr="00F13E88">
        <w:rPr>
          <w:rFonts w:ascii="Times New Roman" w:hAnsi="Times New Roman" w:cs="Times New Roman"/>
          <w:sz w:val="28"/>
          <w:szCs w:val="28"/>
        </w:rPr>
        <w:t>.</w:t>
      </w:r>
    </w:p>
    <w:p w:rsidR="001A4D9C" w:rsidRPr="00F13E88" w:rsidRDefault="001A4D9C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6AF" w:rsidRDefault="00A77E0C" w:rsidP="00BF03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8F99A">
            <wp:extent cx="3848100" cy="2446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347" cy="2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30E" w:rsidRDefault="00BF030E" w:rsidP="00BF030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Рис.1. </w:t>
      </w:r>
      <w:r w:rsidRPr="00BF030E">
        <w:rPr>
          <w:rFonts w:ascii="Times New Roman" w:hAnsi="Times New Roman" w:cs="Times New Roman"/>
          <w:b/>
          <w:sz w:val="28"/>
          <w:szCs w:val="28"/>
        </w:rPr>
        <w:t xml:space="preserve">Изотермы сорбции МС на полученных образцах </w:t>
      </w:r>
      <w:proofErr w:type="spellStart"/>
      <w:r w:rsidRPr="00BF030E">
        <w:rPr>
          <w:rFonts w:ascii="Times New Roman" w:hAnsi="Times New Roman" w:cs="Times New Roman"/>
          <w:b/>
          <w:sz w:val="28"/>
          <w:szCs w:val="28"/>
        </w:rPr>
        <w:t>биоугля</w:t>
      </w:r>
      <w:proofErr w:type="spellEnd"/>
      <w:r w:rsidRPr="00BF030E">
        <w:rPr>
          <w:rFonts w:ascii="Times New Roman" w:hAnsi="Times New Roman" w:cs="Times New Roman"/>
          <w:b/>
          <w:sz w:val="28"/>
          <w:szCs w:val="28"/>
        </w:rPr>
        <w:t>.</w:t>
      </w:r>
    </w:p>
    <w:p w:rsidR="00BF030E" w:rsidRDefault="00BF030E" w:rsidP="00BF03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0E" w:rsidRPr="00BF030E" w:rsidRDefault="00BB6E35" w:rsidP="00BF030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030E" w:rsidRPr="00BF030E">
        <w:rPr>
          <w:rFonts w:ascii="Times New Roman" w:hAnsi="Times New Roman" w:cs="Times New Roman"/>
          <w:sz w:val="28"/>
          <w:szCs w:val="28"/>
        </w:rPr>
        <w:t xml:space="preserve">орбционная способность образцов практически совпадает в области небольших концентраций. При концентрации МС 6 мг/л исходный </w:t>
      </w:r>
      <w:proofErr w:type="spellStart"/>
      <w:r w:rsidR="00BF030E" w:rsidRPr="00BF030E">
        <w:rPr>
          <w:rFonts w:ascii="Times New Roman" w:hAnsi="Times New Roman" w:cs="Times New Roman"/>
          <w:sz w:val="28"/>
          <w:szCs w:val="28"/>
        </w:rPr>
        <w:t>биоуголь</w:t>
      </w:r>
      <w:proofErr w:type="spellEnd"/>
      <w:r w:rsidR="00BF030E" w:rsidRPr="00BF030E">
        <w:rPr>
          <w:rFonts w:ascii="Times New Roman" w:hAnsi="Times New Roman" w:cs="Times New Roman"/>
          <w:sz w:val="28"/>
          <w:szCs w:val="28"/>
        </w:rPr>
        <w:t xml:space="preserve"> достигает предела насыщения, кривая выходит на плато</w:t>
      </w:r>
      <w:r>
        <w:rPr>
          <w:rFonts w:ascii="Times New Roman" w:hAnsi="Times New Roman" w:cs="Times New Roman"/>
          <w:sz w:val="28"/>
          <w:szCs w:val="28"/>
        </w:rPr>
        <w:t>, модифицированный уголь демонстрирует увеличение сорбции в 1,5 раза</w:t>
      </w:r>
      <w:r w:rsidR="00BF030E" w:rsidRPr="00BF030E">
        <w:rPr>
          <w:rFonts w:ascii="Times New Roman" w:hAnsi="Times New Roman" w:cs="Times New Roman"/>
          <w:sz w:val="28"/>
          <w:szCs w:val="28"/>
        </w:rPr>
        <w:t>.</w:t>
      </w:r>
    </w:p>
    <w:p w:rsidR="00B75AF8" w:rsidRDefault="00B75AF8" w:rsidP="00BF03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D871BC">
            <wp:extent cx="4578350" cy="274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978" w:rsidRDefault="00550978" w:rsidP="00BF030E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30E">
        <w:rPr>
          <w:rFonts w:ascii="Times New Roman" w:hAnsi="Times New Roman" w:cs="Times New Roman"/>
          <w:b/>
          <w:sz w:val="28"/>
          <w:szCs w:val="28"/>
        </w:rPr>
        <w:lastRenderedPageBreak/>
        <w:t>Рис</w:t>
      </w:r>
      <w:r w:rsidR="00BF030E" w:rsidRPr="00BF030E">
        <w:rPr>
          <w:rFonts w:ascii="Times New Roman" w:hAnsi="Times New Roman" w:cs="Times New Roman"/>
          <w:b/>
          <w:sz w:val="28"/>
          <w:szCs w:val="28"/>
        </w:rPr>
        <w:t>.</w:t>
      </w:r>
      <w:r w:rsidRPr="00BF0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0E" w:rsidRPr="00BF030E">
        <w:rPr>
          <w:rFonts w:ascii="Times New Roman" w:hAnsi="Times New Roman" w:cs="Times New Roman"/>
          <w:b/>
          <w:sz w:val="28"/>
          <w:szCs w:val="28"/>
        </w:rPr>
        <w:t>2</w:t>
      </w:r>
      <w:r w:rsidRPr="00BF030E">
        <w:rPr>
          <w:rFonts w:ascii="Times New Roman" w:hAnsi="Times New Roman" w:cs="Times New Roman"/>
          <w:b/>
          <w:sz w:val="28"/>
          <w:szCs w:val="28"/>
        </w:rPr>
        <w:t xml:space="preserve">. Изотермы сорбции </w:t>
      </w:r>
      <w:r w:rsidR="00BF030E" w:rsidRPr="00BF030E">
        <w:rPr>
          <w:rFonts w:ascii="Times New Roman" w:hAnsi="Times New Roman" w:cs="Times New Roman"/>
          <w:b/>
          <w:sz w:val="28"/>
          <w:szCs w:val="28"/>
        </w:rPr>
        <w:t>формальдегида</w:t>
      </w:r>
      <w:r w:rsidRPr="00BF030E">
        <w:rPr>
          <w:rFonts w:ascii="Times New Roman" w:hAnsi="Times New Roman" w:cs="Times New Roman"/>
          <w:b/>
          <w:sz w:val="28"/>
          <w:szCs w:val="28"/>
        </w:rPr>
        <w:t xml:space="preserve"> на полученных образцах </w:t>
      </w:r>
      <w:proofErr w:type="spellStart"/>
      <w:r w:rsidRPr="00BF030E">
        <w:rPr>
          <w:rFonts w:ascii="Times New Roman" w:hAnsi="Times New Roman" w:cs="Times New Roman"/>
          <w:b/>
          <w:sz w:val="28"/>
          <w:szCs w:val="28"/>
        </w:rPr>
        <w:t>биоугля</w:t>
      </w:r>
      <w:proofErr w:type="spellEnd"/>
      <w:r w:rsidRPr="00BF030E">
        <w:rPr>
          <w:rFonts w:ascii="Times New Roman" w:hAnsi="Times New Roman" w:cs="Times New Roman"/>
          <w:b/>
          <w:sz w:val="28"/>
          <w:szCs w:val="28"/>
        </w:rPr>
        <w:t>.</w:t>
      </w:r>
    </w:p>
    <w:p w:rsidR="001A4D9C" w:rsidRPr="00BF030E" w:rsidRDefault="001A4D9C" w:rsidP="00BF030E">
      <w:pPr>
        <w:spacing w:after="0" w:line="30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78" w:rsidRPr="00BF030E" w:rsidRDefault="00BB6E35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35">
        <w:rPr>
          <w:rFonts w:ascii="Times New Roman" w:hAnsi="Times New Roman" w:cs="Times New Roman"/>
          <w:sz w:val="28"/>
          <w:szCs w:val="28"/>
        </w:rPr>
        <w:t xml:space="preserve">Изотермы имеют S-образную </w:t>
      </w:r>
      <w:r>
        <w:rPr>
          <w:rFonts w:ascii="Times New Roman" w:hAnsi="Times New Roman" w:cs="Times New Roman"/>
          <w:sz w:val="28"/>
          <w:szCs w:val="28"/>
        </w:rPr>
        <w:t xml:space="preserve">форму, </w:t>
      </w:r>
      <w:r w:rsidRPr="00BB6E35">
        <w:rPr>
          <w:rFonts w:ascii="Times New Roman" w:hAnsi="Times New Roman" w:cs="Times New Roman"/>
          <w:sz w:val="28"/>
          <w:szCs w:val="28"/>
        </w:rPr>
        <w:t xml:space="preserve">не достигают насыщения при высоких концентрациях равновесного раствора,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BB6E35">
        <w:rPr>
          <w:rFonts w:ascii="Times New Roman" w:hAnsi="Times New Roman" w:cs="Times New Roman"/>
          <w:sz w:val="28"/>
          <w:szCs w:val="28"/>
        </w:rPr>
        <w:t xml:space="preserve"> указывает на полимолекулярный характер адсорбции. Вогнутая форма начального участка изотермы свидетельствует о преобладании взаимодействий по типу «</w:t>
      </w:r>
      <w:proofErr w:type="spellStart"/>
      <w:r w:rsidRPr="00BB6E35">
        <w:rPr>
          <w:rFonts w:ascii="Times New Roman" w:hAnsi="Times New Roman" w:cs="Times New Roman"/>
          <w:sz w:val="28"/>
          <w:szCs w:val="28"/>
        </w:rPr>
        <w:t>сорбат-сорбат</w:t>
      </w:r>
      <w:proofErr w:type="spellEnd"/>
      <w:r w:rsidRPr="00BB6E35">
        <w:rPr>
          <w:rFonts w:ascii="Times New Roman" w:hAnsi="Times New Roman" w:cs="Times New Roman"/>
          <w:sz w:val="28"/>
          <w:szCs w:val="28"/>
        </w:rPr>
        <w:t>», что характерно для водных растворов формальдегида</w:t>
      </w:r>
      <w:r>
        <w:rPr>
          <w:rFonts w:ascii="Times New Roman" w:hAnsi="Times New Roman" w:cs="Times New Roman"/>
          <w:sz w:val="28"/>
          <w:szCs w:val="28"/>
        </w:rPr>
        <w:t xml:space="preserve">. Щелочная модификация способствует возрастанию сорбции формальдегида на образце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биоугля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 раза.</w:t>
      </w:r>
    </w:p>
    <w:p w:rsidR="003B6984" w:rsidRDefault="003B6984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E88">
        <w:rPr>
          <w:rFonts w:ascii="Times New Roman" w:hAnsi="Times New Roman" w:cs="Times New Roman"/>
          <w:sz w:val="28"/>
          <w:szCs w:val="28"/>
        </w:rPr>
        <w:t xml:space="preserve">Проведение щелочной модификации </w:t>
      </w:r>
      <w:r w:rsidR="003476BF" w:rsidRPr="00F13E88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Pr="00F13E88">
        <w:rPr>
          <w:rFonts w:ascii="Times New Roman" w:hAnsi="Times New Roman" w:cs="Times New Roman"/>
          <w:sz w:val="28"/>
          <w:szCs w:val="28"/>
        </w:rPr>
        <w:t xml:space="preserve">возрастанию </w:t>
      </w:r>
      <w:r w:rsidR="003476BF" w:rsidRPr="00F13E88">
        <w:rPr>
          <w:rFonts w:ascii="Times New Roman" w:hAnsi="Times New Roman" w:cs="Times New Roman"/>
          <w:sz w:val="28"/>
          <w:szCs w:val="28"/>
        </w:rPr>
        <w:t xml:space="preserve">поглотительной способности </w:t>
      </w:r>
      <w:proofErr w:type="spellStart"/>
      <w:r w:rsidR="003476BF" w:rsidRPr="00F13E88">
        <w:rPr>
          <w:rFonts w:ascii="Times New Roman" w:hAnsi="Times New Roman" w:cs="Times New Roman"/>
          <w:sz w:val="28"/>
          <w:szCs w:val="28"/>
        </w:rPr>
        <w:t>биоугля</w:t>
      </w:r>
      <w:proofErr w:type="spellEnd"/>
      <w:r w:rsidRPr="00F13E88">
        <w:rPr>
          <w:rFonts w:ascii="Times New Roman" w:hAnsi="Times New Roman" w:cs="Times New Roman"/>
          <w:sz w:val="28"/>
          <w:szCs w:val="28"/>
        </w:rPr>
        <w:t xml:space="preserve"> в 1,5</w:t>
      </w:r>
      <w:r w:rsidR="00BB6E35">
        <w:rPr>
          <w:rFonts w:ascii="Times New Roman" w:hAnsi="Times New Roman" w:cs="Times New Roman"/>
          <w:sz w:val="28"/>
          <w:szCs w:val="28"/>
        </w:rPr>
        <w:t>-2</w:t>
      </w:r>
      <w:r w:rsidRPr="00F13E88">
        <w:rPr>
          <w:rFonts w:ascii="Times New Roman" w:hAnsi="Times New Roman" w:cs="Times New Roman"/>
          <w:sz w:val="28"/>
          <w:szCs w:val="28"/>
        </w:rPr>
        <w:t xml:space="preserve"> раза</w:t>
      </w:r>
      <w:r w:rsidR="00BB6E35">
        <w:rPr>
          <w:rFonts w:ascii="Times New Roman" w:hAnsi="Times New Roman" w:cs="Times New Roman"/>
          <w:sz w:val="28"/>
          <w:szCs w:val="28"/>
        </w:rPr>
        <w:t>, что вероятно связано с увеличением</w:t>
      </w:r>
      <w:r w:rsidRPr="00F13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E88">
        <w:rPr>
          <w:rFonts w:ascii="Times New Roman" w:hAnsi="Times New Roman" w:cs="Times New Roman"/>
          <w:sz w:val="28"/>
          <w:szCs w:val="28"/>
        </w:rPr>
        <w:t>микропористости</w:t>
      </w:r>
      <w:proofErr w:type="spellEnd"/>
      <w:r w:rsidRPr="00F13E88">
        <w:rPr>
          <w:rFonts w:ascii="Times New Roman" w:hAnsi="Times New Roman" w:cs="Times New Roman"/>
          <w:sz w:val="28"/>
          <w:szCs w:val="28"/>
        </w:rPr>
        <w:t xml:space="preserve"> поверхности, </w:t>
      </w:r>
      <w:r w:rsidR="00BB6E35">
        <w:rPr>
          <w:rFonts w:ascii="Times New Roman" w:hAnsi="Times New Roman" w:cs="Times New Roman"/>
          <w:sz w:val="28"/>
          <w:szCs w:val="28"/>
        </w:rPr>
        <w:t>приводящей к</w:t>
      </w:r>
      <w:r w:rsidRPr="00F13E88">
        <w:rPr>
          <w:rFonts w:ascii="Times New Roman" w:hAnsi="Times New Roman" w:cs="Times New Roman"/>
          <w:sz w:val="28"/>
          <w:szCs w:val="28"/>
        </w:rPr>
        <w:t xml:space="preserve"> росту сорбционной активности </w:t>
      </w:r>
      <w:r w:rsidR="00BB6E35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3476BF" w:rsidRPr="00F13E88">
        <w:rPr>
          <w:rFonts w:ascii="Times New Roman" w:hAnsi="Times New Roman" w:cs="Times New Roman"/>
          <w:sz w:val="28"/>
          <w:szCs w:val="28"/>
        </w:rPr>
        <w:t>углеродного сорбента</w:t>
      </w:r>
      <w:r w:rsidRPr="00F13E88">
        <w:rPr>
          <w:rFonts w:ascii="Times New Roman" w:hAnsi="Times New Roman" w:cs="Times New Roman"/>
          <w:sz w:val="28"/>
          <w:szCs w:val="28"/>
        </w:rPr>
        <w:t>.</w:t>
      </w:r>
    </w:p>
    <w:p w:rsidR="001A4D9C" w:rsidRPr="00F13E88" w:rsidRDefault="001A4D9C" w:rsidP="00E779EE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5B6" w:rsidRDefault="000D45B6" w:rsidP="001A4D9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D9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A4D9C" w:rsidRPr="001A4D9C" w:rsidRDefault="001A4D9C" w:rsidP="001A4D9C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E59" w:rsidRDefault="00024E59" w:rsidP="00024E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76F"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  <w:lang w:val="en-US"/>
        </w:rPr>
        <w:t>Schmidt</w:t>
      </w:r>
      <w:r w:rsidRPr="00E717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717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717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(2012). 55 Uses of Biochar.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Ithaka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Journal 1: 286–289. Available </w:t>
      </w:r>
      <w:r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at:  http://www.ithaka-journal.net/druckversionen/e082012-55-uses-of-bc.pdf. </w:t>
      </w:r>
    </w:p>
    <w:p w:rsidR="00024E59" w:rsidRDefault="00024E59" w:rsidP="00024E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Ahmad, M.; </w:t>
      </w:r>
      <w:proofErr w:type="spellStart"/>
      <w:r w:rsidRPr="00024E59">
        <w:rPr>
          <w:rFonts w:ascii="Times New Roman" w:hAnsi="Times New Roman" w:cs="Times New Roman"/>
          <w:sz w:val="24"/>
          <w:szCs w:val="24"/>
          <w:lang w:val="en-US"/>
        </w:rPr>
        <w:t>Rajapaksha</w:t>
      </w:r>
      <w:proofErr w:type="spellEnd"/>
      <w:r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, A.U.; Lim, J.E.; Zhang, M.; Bolan, N.; Mohan, D.; </w:t>
      </w:r>
      <w:proofErr w:type="spellStart"/>
      <w:r w:rsidRPr="00024E59">
        <w:rPr>
          <w:rFonts w:ascii="Times New Roman" w:hAnsi="Times New Roman" w:cs="Times New Roman"/>
          <w:sz w:val="24"/>
          <w:szCs w:val="24"/>
          <w:lang w:val="en-US"/>
        </w:rPr>
        <w:t>Vithanage</w:t>
      </w:r>
      <w:proofErr w:type="spellEnd"/>
      <w:r w:rsidRPr="00024E59">
        <w:rPr>
          <w:rFonts w:ascii="Times New Roman" w:hAnsi="Times New Roman" w:cs="Times New Roman"/>
          <w:sz w:val="24"/>
          <w:szCs w:val="24"/>
          <w:lang w:val="en-US"/>
        </w:rPr>
        <w:t>, M.; Lee, S.S.; Ok, Y.S. (2014). Biochar as a sorbent for contaminant management in soil and water: A review. Chemosphere 99: 19-33.</w:t>
      </w:r>
    </w:p>
    <w:p w:rsidR="00024E59" w:rsidRDefault="00024E59" w:rsidP="00024E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r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Mohan, D.; </w:t>
      </w:r>
      <w:proofErr w:type="spellStart"/>
      <w:r w:rsidRPr="00024E59">
        <w:rPr>
          <w:rFonts w:ascii="Times New Roman" w:hAnsi="Times New Roman" w:cs="Times New Roman"/>
          <w:sz w:val="24"/>
          <w:szCs w:val="24"/>
          <w:lang w:val="en-US"/>
        </w:rPr>
        <w:t>Sarswat</w:t>
      </w:r>
      <w:proofErr w:type="spellEnd"/>
      <w:r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, A.; Ok, Y.S.; Pittman, C.U. (2014). Organic and inorganic contaminants removal from water with biochar, a renewable, low cost and sustainable adsorbent - A critical review. </w:t>
      </w:r>
      <w:proofErr w:type="spellStart"/>
      <w:r w:rsidRPr="00024E59">
        <w:rPr>
          <w:rFonts w:ascii="Times New Roman" w:hAnsi="Times New Roman" w:cs="Times New Roman"/>
          <w:sz w:val="24"/>
          <w:szCs w:val="24"/>
          <w:lang w:val="en-US"/>
        </w:rPr>
        <w:t>Bioresource</w:t>
      </w:r>
      <w:proofErr w:type="spellEnd"/>
      <w:r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Technology 160: 191-202.</w:t>
      </w:r>
    </w:p>
    <w:p w:rsidR="00024E59" w:rsidRPr="00024E59" w:rsidRDefault="001A4D9C" w:rsidP="00024E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176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4] </w:t>
      </w:r>
      <w:r w:rsidR="00024E59" w:rsidRPr="00024E59">
        <w:rPr>
          <w:rFonts w:ascii="Times New Roman" w:hAnsi="Times New Roman" w:cs="Times New Roman"/>
          <w:sz w:val="24"/>
          <w:szCs w:val="24"/>
        </w:rPr>
        <w:t>Чесноков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Н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4E59" w:rsidRPr="00024E59">
        <w:rPr>
          <w:rFonts w:ascii="Times New Roman" w:hAnsi="Times New Roman" w:cs="Times New Roman"/>
          <w:sz w:val="24"/>
          <w:szCs w:val="24"/>
        </w:rPr>
        <w:t>В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</w:rPr>
        <w:t>Микова</w:t>
      </w:r>
      <w:proofErr w:type="spellEnd"/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Н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4E59" w:rsidRPr="00024E59">
        <w:rPr>
          <w:rFonts w:ascii="Times New Roman" w:hAnsi="Times New Roman" w:cs="Times New Roman"/>
          <w:sz w:val="24"/>
          <w:szCs w:val="24"/>
        </w:rPr>
        <w:t>М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024E59" w:rsidRPr="00024E59">
        <w:rPr>
          <w:rFonts w:ascii="Times New Roman" w:hAnsi="Times New Roman" w:cs="Times New Roman"/>
          <w:sz w:val="24"/>
          <w:szCs w:val="24"/>
        </w:rPr>
        <w:t>Иванов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И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4E59" w:rsidRPr="00024E59">
        <w:rPr>
          <w:rFonts w:ascii="Times New Roman" w:hAnsi="Times New Roman" w:cs="Times New Roman"/>
          <w:sz w:val="24"/>
          <w:szCs w:val="24"/>
        </w:rPr>
        <w:t>П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024E59" w:rsidRPr="00024E59">
        <w:rPr>
          <w:rFonts w:ascii="Times New Roman" w:hAnsi="Times New Roman" w:cs="Times New Roman"/>
          <w:sz w:val="24"/>
          <w:szCs w:val="24"/>
        </w:rPr>
        <w:t>Кузнецов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Б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4E59" w:rsidRPr="00024E59">
        <w:rPr>
          <w:rFonts w:ascii="Times New Roman" w:hAnsi="Times New Roman" w:cs="Times New Roman"/>
          <w:sz w:val="24"/>
          <w:szCs w:val="24"/>
        </w:rPr>
        <w:t>Н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4E59" w:rsidRPr="00024E59">
        <w:rPr>
          <w:rFonts w:ascii="Times New Roman" w:hAnsi="Times New Roman" w:cs="Times New Roman"/>
          <w:sz w:val="24"/>
          <w:szCs w:val="24"/>
        </w:rPr>
        <w:t>Получение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углеродных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сорбентов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химической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модификацией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ископаемых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углей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и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растительной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</w:rPr>
        <w:t>биомассы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4E59" w:rsidRPr="00024E59">
        <w:rPr>
          <w:rFonts w:ascii="Times New Roman" w:hAnsi="Times New Roman" w:cs="Times New Roman"/>
          <w:sz w:val="24"/>
          <w:szCs w:val="24"/>
        </w:rPr>
        <w:t>о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Siberian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Federal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Chemistry 1 – 2014. №7 – С. 42-53.</w:t>
      </w:r>
    </w:p>
    <w:p w:rsidR="00024E59" w:rsidRPr="00E7176F" w:rsidRDefault="001A4D9C" w:rsidP="00024E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24E5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Mikova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N.M.,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Chesnokov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B.N. Study of High Porous Carbons Prepared by the Alkaline Activation of Anthracites // J.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оf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Siberian Federal University. Chemistry</w:t>
      </w:r>
      <w:r w:rsidR="00024E59" w:rsidRPr="00E7176F">
        <w:rPr>
          <w:rFonts w:ascii="Times New Roman" w:hAnsi="Times New Roman" w:cs="Times New Roman"/>
          <w:sz w:val="24"/>
          <w:szCs w:val="24"/>
        </w:rPr>
        <w:t xml:space="preserve">. 2009. 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4E59" w:rsidRPr="00E7176F">
        <w:rPr>
          <w:rFonts w:ascii="Times New Roman" w:hAnsi="Times New Roman" w:cs="Times New Roman"/>
          <w:sz w:val="24"/>
          <w:szCs w:val="24"/>
        </w:rPr>
        <w:t>.2, №1. р.3-10.</w:t>
      </w:r>
    </w:p>
    <w:p w:rsidR="00024E59" w:rsidRDefault="001A4D9C" w:rsidP="00024E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24E59" w:rsidRPr="00024E59">
        <w:rPr>
          <w:rFonts w:ascii="Times New Roman" w:hAnsi="Times New Roman" w:cs="Times New Roman"/>
          <w:sz w:val="24"/>
          <w:szCs w:val="24"/>
        </w:rPr>
        <w:t xml:space="preserve">6]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</w:rPr>
        <w:t xml:space="preserve"> Г.В. Химия привитых поверхностных соединений. М.: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</w:rPr>
        <w:t>, 2003. 592 с.</w:t>
      </w:r>
    </w:p>
    <w:p w:rsidR="00024E59" w:rsidRPr="00E7176F" w:rsidRDefault="001A4D9C" w:rsidP="00024E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24E59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] 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Aik</w:t>
      </w:r>
      <w:proofErr w:type="spellEnd"/>
      <w:proofErr w:type="gram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Chong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, Ting Yang,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Jia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Guo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. Effects of pyrolysis conditions on the properties of activated carbon prepared from pistachio-nut shells // J. Anal. </w:t>
      </w:r>
      <w:r w:rsidR="00024E59" w:rsidRPr="00E7176F">
        <w:rPr>
          <w:rFonts w:ascii="Times New Roman" w:hAnsi="Times New Roman" w:cs="Times New Roman"/>
          <w:sz w:val="24"/>
          <w:szCs w:val="24"/>
          <w:lang w:val="en-US"/>
        </w:rPr>
        <w:t>Appl. Pyrolysis. 2004. V.72. P. 279–287.</w:t>
      </w:r>
    </w:p>
    <w:p w:rsidR="00024E59" w:rsidRDefault="001A4D9C" w:rsidP="00024E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24E5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] Carrot P.J.M, Ribeiro Carrot M.M.L.,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Mourao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P.A.M. Pore size control in activated carbons obtained by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pirolysis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under different conditions of chemically impregnated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corc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. // J. Anal. Appl. Pyrolysis. 2006. V.73. P. 120-127.</w:t>
      </w:r>
    </w:p>
    <w:p w:rsidR="00024E59" w:rsidRPr="00024E59" w:rsidRDefault="001A4D9C" w:rsidP="00024E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r w:rsidR="00024E5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Losano-Gastello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D., Lillo-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Rodenas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M.A., </w:t>
      </w:r>
      <w:proofErr w:type="spellStart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>Casorla-Amoros</w:t>
      </w:r>
      <w:proofErr w:type="spellEnd"/>
      <w:r w:rsidR="00024E59" w:rsidRPr="00024E59">
        <w:rPr>
          <w:rFonts w:ascii="Times New Roman" w:hAnsi="Times New Roman" w:cs="Times New Roman"/>
          <w:sz w:val="24"/>
          <w:szCs w:val="24"/>
          <w:lang w:val="en-US"/>
        </w:rPr>
        <w:t xml:space="preserve"> D., Linares-Solano A. Preparation of activated carbons from Spanish anthracite. I. Activation by KOH // Carbon. 2001. V.39. N. 5. P. 341–349.</w:t>
      </w:r>
    </w:p>
    <w:p w:rsidR="00F60B8D" w:rsidRPr="00DE7152" w:rsidRDefault="00F60B8D" w:rsidP="00413BB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0B8D" w:rsidRPr="00DE7152" w:rsidSect="00F13E8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2"/>
    <w:rsid w:val="00004FED"/>
    <w:rsid w:val="00024E59"/>
    <w:rsid w:val="0003382A"/>
    <w:rsid w:val="0009770F"/>
    <w:rsid w:val="000D45B6"/>
    <w:rsid w:val="000E66AF"/>
    <w:rsid w:val="001066F7"/>
    <w:rsid w:val="001205C9"/>
    <w:rsid w:val="00124B4B"/>
    <w:rsid w:val="001313F1"/>
    <w:rsid w:val="00140461"/>
    <w:rsid w:val="00174B9E"/>
    <w:rsid w:val="0017601C"/>
    <w:rsid w:val="001A4D9C"/>
    <w:rsid w:val="001B04B8"/>
    <w:rsid w:val="001B4CC2"/>
    <w:rsid w:val="001B683C"/>
    <w:rsid w:val="00227A0E"/>
    <w:rsid w:val="002452B6"/>
    <w:rsid w:val="002460B5"/>
    <w:rsid w:val="0028589E"/>
    <w:rsid w:val="002F1723"/>
    <w:rsid w:val="002F35B0"/>
    <w:rsid w:val="00302591"/>
    <w:rsid w:val="003130A7"/>
    <w:rsid w:val="003476BF"/>
    <w:rsid w:val="003B2A20"/>
    <w:rsid w:val="003B6984"/>
    <w:rsid w:val="00413BBC"/>
    <w:rsid w:val="004167AF"/>
    <w:rsid w:val="004275CF"/>
    <w:rsid w:val="00452B6B"/>
    <w:rsid w:val="00480627"/>
    <w:rsid w:val="00550978"/>
    <w:rsid w:val="00560118"/>
    <w:rsid w:val="00564900"/>
    <w:rsid w:val="00595684"/>
    <w:rsid w:val="00597990"/>
    <w:rsid w:val="005A7E01"/>
    <w:rsid w:val="005B2B69"/>
    <w:rsid w:val="005C11A3"/>
    <w:rsid w:val="00602368"/>
    <w:rsid w:val="00602C53"/>
    <w:rsid w:val="00607ED3"/>
    <w:rsid w:val="0061028F"/>
    <w:rsid w:val="006118AD"/>
    <w:rsid w:val="00615821"/>
    <w:rsid w:val="00616303"/>
    <w:rsid w:val="006602BC"/>
    <w:rsid w:val="00670A12"/>
    <w:rsid w:val="006B26FA"/>
    <w:rsid w:val="006D5013"/>
    <w:rsid w:val="006E011B"/>
    <w:rsid w:val="006E595D"/>
    <w:rsid w:val="006F7026"/>
    <w:rsid w:val="00714228"/>
    <w:rsid w:val="00734D32"/>
    <w:rsid w:val="0074557B"/>
    <w:rsid w:val="007B6396"/>
    <w:rsid w:val="007C16C2"/>
    <w:rsid w:val="007E4483"/>
    <w:rsid w:val="007E7457"/>
    <w:rsid w:val="008570A2"/>
    <w:rsid w:val="008711A2"/>
    <w:rsid w:val="00877198"/>
    <w:rsid w:val="00881DE9"/>
    <w:rsid w:val="00897F9E"/>
    <w:rsid w:val="008F2765"/>
    <w:rsid w:val="008F2FDA"/>
    <w:rsid w:val="00905540"/>
    <w:rsid w:val="00970263"/>
    <w:rsid w:val="00976B29"/>
    <w:rsid w:val="00981573"/>
    <w:rsid w:val="009907CC"/>
    <w:rsid w:val="009E4231"/>
    <w:rsid w:val="00A34997"/>
    <w:rsid w:val="00A3576E"/>
    <w:rsid w:val="00A431A6"/>
    <w:rsid w:val="00A649F6"/>
    <w:rsid w:val="00A77E0C"/>
    <w:rsid w:val="00A85831"/>
    <w:rsid w:val="00AF5516"/>
    <w:rsid w:val="00B2199F"/>
    <w:rsid w:val="00B75AF8"/>
    <w:rsid w:val="00B87ED4"/>
    <w:rsid w:val="00BA79DC"/>
    <w:rsid w:val="00BB0A65"/>
    <w:rsid w:val="00BB6E35"/>
    <w:rsid w:val="00BF030E"/>
    <w:rsid w:val="00BF495E"/>
    <w:rsid w:val="00C30C31"/>
    <w:rsid w:val="00C37F7D"/>
    <w:rsid w:val="00C93619"/>
    <w:rsid w:val="00CB1A60"/>
    <w:rsid w:val="00CB7BE2"/>
    <w:rsid w:val="00CC2DDA"/>
    <w:rsid w:val="00CD663F"/>
    <w:rsid w:val="00D26E32"/>
    <w:rsid w:val="00D403C8"/>
    <w:rsid w:val="00D91D96"/>
    <w:rsid w:val="00DC2011"/>
    <w:rsid w:val="00DE7152"/>
    <w:rsid w:val="00E04BDE"/>
    <w:rsid w:val="00E36BF9"/>
    <w:rsid w:val="00E651B9"/>
    <w:rsid w:val="00E7176F"/>
    <w:rsid w:val="00E73660"/>
    <w:rsid w:val="00E779EE"/>
    <w:rsid w:val="00EE66D1"/>
    <w:rsid w:val="00EF742E"/>
    <w:rsid w:val="00F13E88"/>
    <w:rsid w:val="00F46D4B"/>
    <w:rsid w:val="00F53CAA"/>
    <w:rsid w:val="00F60B8D"/>
    <w:rsid w:val="00F73990"/>
    <w:rsid w:val="00F92EAE"/>
    <w:rsid w:val="00FA1CD0"/>
    <w:rsid w:val="00FC4D6F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BF98-340B-4508-B3C1-AD271AE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76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02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2022-11-28T18:52:00Z</dcterms:created>
  <dcterms:modified xsi:type="dcterms:W3CDTF">2022-11-28T18:59:00Z</dcterms:modified>
</cp:coreProperties>
</file>