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95489" w14:textId="77777777"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«Российский экономический университет имени Г.В. Плеханова»</w:t>
      </w:r>
    </w:p>
    <w:p w14:paraId="522CE35C" w14:textId="77777777"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Высшая инженерная школа «Новые материалы и технологии»</w:t>
      </w:r>
    </w:p>
    <w:p w14:paraId="1F1B273A" w14:textId="77777777" w:rsidR="006C48AE" w:rsidRDefault="006C48AE">
      <w:pPr>
        <w:spacing w:after="0" w:line="360" w:lineRule="auto"/>
        <w:ind w:left="-141" w:right="142" w:hanging="135"/>
        <w:jc w:val="center"/>
        <w:rPr>
          <w:rFonts w:ascii="Times New Roman" w:eastAsia="Times New Roman" w:hAnsi="Times New Roman" w:cs="Times New Roman"/>
          <w:b/>
          <w:sz w:val="28"/>
          <w:szCs w:val="28"/>
        </w:rPr>
      </w:pPr>
    </w:p>
    <w:p w14:paraId="6FBC97A3" w14:textId="17FC9254"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финансов</w:t>
      </w:r>
      <w:r w:rsidR="00E04C86">
        <w:rPr>
          <w:rFonts w:ascii="Times New Roman" w:eastAsia="Times New Roman" w:hAnsi="Times New Roman" w:cs="Times New Roman"/>
          <w:b/>
          <w:sz w:val="28"/>
          <w:szCs w:val="28"/>
        </w:rPr>
        <w:t xml:space="preserve"> устойчивого развития</w:t>
      </w:r>
    </w:p>
    <w:p w14:paraId="31123191" w14:textId="77777777" w:rsidR="006C48AE" w:rsidRDefault="006C48AE">
      <w:pPr>
        <w:spacing w:after="0" w:line="360" w:lineRule="auto"/>
        <w:ind w:left="-141" w:right="142" w:hanging="135"/>
        <w:rPr>
          <w:rFonts w:ascii="Times New Roman" w:eastAsia="Times New Roman" w:hAnsi="Times New Roman" w:cs="Times New Roman"/>
          <w:b/>
          <w:sz w:val="28"/>
          <w:szCs w:val="28"/>
        </w:rPr>
      </w:pPr>
    </w:p>
    <w:p w14:paraId="22044A24" w14:textId="77777777"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КУРСОВАЯ РАБОТА</w:t>
      </w:r>
    </w:p>
    <w:p w14:paraId="199CFEFA" w14:textId="77777777" w:rsidR="006C48AE" w:rsidRDefault="006C48AE">
      <w:pPr>
        <w:spacing w:after="0" w:line="360" w:lineRule="auto"/>
        <w:ind w:left="-141" w:right="142" w:hanging="135"/>
        <w:jc w:val="center"/>
        <w:rPr>
          <w:rFonts w:ascii="Times New Roman" w:eastAsia="Times New Roman" w:hAnsi="Times New Roman" w:cs="Times New Roman"/>
          <w:b/>
          <w:sz w:val="28"/>
          <w:szCs w:val="28"/>
        </w:rPr>
      </w:pPr>
    </w:p>
    <w:p w14:paraId="36EE83A1" w14:textId="77777777"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 дисциплине «Финансовый менеджмент» </w:t>
      </w:r>
    </w:p>
    <w:p w14:paraId="773C83E9" w14:textId="77777777"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тему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«Методы и приемы финансового анализа деятельности компании»</w:t>
      </w:r>
    </w:p>
    <w:p w14:paraId="679D8C56" w14:textId="77777777" w:rsidR="006C48AE" w:rsidRDefault="006C48AE">
      <w:pPr>
        <w:spacing w:after="0" w:line="360" w:lineRule="auto"/>
        <w:ind w:left="-141" w:right="142" w:hanging="135"/>
        <w:jc w:val="center"/>
        <w:rPr>
          <w:rFonts w:ascii="Times New Roman" w:eastAsia="Times New Roman" w:hAnsi="Times New Roman" w:cs="Times New Roman"/>
          <w:sz w:val="28"/>
          <w:szCs w:val="28"/>
        </w:rPr>
      </w:pPr>
    </w:p>
    <w:p w14:paraId="221DA17A" w14:textId="77777777" w:rsidR="006C48AE" w:rsidRDefault="006C48AE">
      <w:pPr>
        <w:spacing w:after="0" w:line="360" w:lineRule="auto"/>
        <w:ind w:left="-141" w:right="142" w:hanging="135"/>
        <w:jc w:val="center"/>
        <w:rPr>
          <w:rFonts w:ascii="Times New Roman" w:eastAsia="Times New Roman" w:hAnsi="Times New Roman" w:cs="Times New Roman"/>
          <w:sz w:val="28"/>
          <w:szCs w:val="28"/>
        </w:rPr>
      </w:pPr>
    </w:p>
    <w:p w14:paraId="65C87DD0"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Выполнила</w:t>
      </w:r>
    </w:p>
    <w:p w14:paraId="578F931E"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студентка группы 15.08д-12бМ/20</w:t>
      </w:r>
    </w:p>
    <w:p w14:paraId="3A0BB7B9"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очной формы обучения</w:t>
      </w:r>
    </w:p>
    <w:p w14:paraId="6E93F52B"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высшей инженерной школы</w:t>
      </w:r>
    </w:p>
    <w:p w14:paraId="3D315EF8"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Новые материалы и технологии</w:t>
      </w:r>
      <w:r>
        <w:rPr>
          <w:rFonts w:ascii="Times New Roman" w:eastAsia="Times New Roman" w:hAnsi="Times New Roman" w:cs="Times New Roman"/>
          <w:b/>
          <w:sz w:val="28"/>
          <w:szCs w:val="28"/>
        </w:rPr>
        <w:t>»</w:t>
      </w:r>
    </w:p>
    <w:p w14:paraId="2A151CBF"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Корнакова Яна Романовна</w:t>
      </w:r>
    </w:p>
    <w:p w14:paraId="06FC9E43"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Научный руководитель: </w:t>
      </w:r>
    </w:p>
    <w:p w14:paraId="24501FC5" w14:textId="77777777"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кандидат экономических наук, </w:t>
      </w:r>
    </w:p>
    <w:p w14:paraId="30DFA195" w14:textId="57C767A4" w:rsidR="006C48AE" w:rsidRDefault="004E74FC">
      <w:pPr>
        <w:spacing w:after="0" w:line="360" w:lineRule="auto"/>
        <w:ind w:left="-141" w:right="142" w:hanging="13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кафедры финансов</w:t>
      </w:r>
      <w:r w:rsidR="00A548EF">
        <w:rPr>
          <w:rFonts w:ascii="Times New Roman" w:eastAsia="Times New Roman" w:hAnsi="Times New Roman" w:cs="Times New Roman"/>
          <w:sz w:val="28"/>
          <w:szCs w:val="28"/>
        </w:rPr>
        <w:t xml:space="preserve"> устойчивого развития</w:t>
      </w:r>
      <w:r>
        <w:rPr>
          <w:rFonts w:ascii="Times New Roman" w:eastAsia="Times New Roman" w:hAnsi="Times New Roman" w:cs="Times New Roman"/>
          <w:sz w:val="28"/>
          <w:szCs w:val="28"/>
        </w:rPr>
        <w:t xml:space="preserve"> </w:t>
      </w:r>
    </w:p>
    <w:p w14:paraId="0E46A2E1" w14:textId="4F86708A" w:rsidR="006C48AE" w:rsidRDefault="004E74FC">
      <w:pPr>
        <w:spacing w:after="0" w:line="360" w:lineRule="auto"/>
        <w:ind w:left="-141" w:right="142" w:hanging="135"/>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Ермилова М.И.</w:t>
      </w:r>
    </w:p>
    <w:p w14:paraId="46E34BBC" w14:textId="77777777" w:rsidR="006C48AE" w:rsidRDefault="006C48AE">
      <w:pPr>
        <w:spacing w:after="0" w:line="360" w:lineRule="auto"/>
        <w:ind w:left="-141" w:right="142" w:hanging="135"/>
        <w:jc w:val="center"/>
        <w:rPr>
          <w:rFonts w:ascii="Times New Roman" w:eastAsia="Times New Roman" w:hAnsi="Times New Roman" w:cs="Times New Roman"/>
          <w:b/>
          <w:sz w:val="28"/>
          <w:szCs w:val="28"/>
        </w:rPr>
      </w:pPr>
    </w:p>
    <w:p w14:paraId="18DD3567" w14:textId="77777777" w:rsidR="006C48AE" w:rsidRDefault="006C48AE">
      <w:pPr>
        <w:spacing w:after="0" w:line="360" w:lineRule="auto"/>
        <w:ind w:left="-141" w:right="-142" w:hanging="135"/>
        <w:jc w:val="center"/>
        <w:rPr>
          <w:rFonts w:ascii="Times New Roman" w:eastAsia="Times New Roman" w:hAnsi="Times New Roman" w:cs="Times New Roman"/>
          <w:b/>
          <w:sz w:val="28"/>
          <w:szCs w:val="28"/>
        </w:rPr>
      </w:pPr>
    </w:p>
    <w:p w14:paraId="79567C8B" w14:textId="77777777" w:rsidR="006C48AE" w:rsidRDefault="006C48AE">
      <w:pPr>
        <w:spacing w:after="0" w:line="360" w:lineRule="auto"/>
        <w:ind w:left="-141" w:right="-142" w:hanging="135"/>
        <w:jc w:val="center"/>
        <w:rPr>
          <w:rFonts w:ascii="Times New Roman" w:eastAsia="Times New Roman" w:hAnsi="Times New Roman" w:cs="Times New Roman"/>
          <w:b/>
          <w:sz w:val="28"/>
          <w:szCs w:val="28"/>
        </w:rPr>
      </w:pPr>
    </w:p>
    <w:p w14:paraId="05F4CF52" w14:textId="77777777" w:rsidR="006C48AE" w:rsidRDefault="004E74FC">
      <w:pPr>
        <w:spacing w:after="0" w:line="360" w:lineRule="auto"/>
        <w:ind w:left="-141" w:right="-142" w:hanging="13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Москва – 2022</w:t>
      </w:r>
    </w:p>
    <w:p w14:paraId="1BC222C8" w14:textId="77777777" w:rsidR="006C48AE" w:rsidRDefault="004E74FC">
      <w:pPr>
        <w:keepNext/>
        <w:keepLines/>
        <w:pBdr>
          <w:top w:val="nil"/>
          <w:left w:val="nil"/>
          <w:bottom w:val="nil"/>
          <w:right w:val="nil"/>
          <w:between w:val="nil"/>
        </w:pBdr>
        <w:spacing w:before="48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sz w:val="28"/>
          <w:szCs w:val="28"/>
        </w:rPr>
        <w:t>СОДЕРЖАНИЕ</w:t>
      </w:r>
    </w:p>
    <w:p w14:paraId="01BD09A8" w14:textId="77777777" w:rsidR="006C48AE" w:rsidRDefault="006C48AE"/>
    <w:sdt>
      <w:sdtPr>
        <w:id w:val="-560798920"/>
        <w:docPartObj>
          <w:docPartGallery w:val="Table of Contents"/>
          <w:docPartUnique/>
        </w:docPartObj>
      </w:sdtPr>
      <w:sdtEndPr/>
      <w:sdtContent>
        <w:p w14:paraId="4C2831F2" w14:textId="2564AD89" w:rsidR="003B2A37" w:rsidRPr="003B2A37" w:rsidRDefault="004E74FC">
          <w:pPr>
            <w:pStyle w:val="11"/>
            <w:tabs>
              <w:tab w:val="right" w:pos="9346"/>
            </w:tabs>
            <w:rPr>
              <w:rFonts w:ascii="Times New Roman" w:eastAsiaTheme="minorEastAsia" w:hAnsi="Times New Roman" w:cs="Times New Roman"/>
              <w:noProof/>
              <w:sz w:val="28"/>
              <w:szCs w:val="28"/>
            </w:rPr>
          </w:pPr>
          <w:r>
            <w:fldChar w:fldCharType="begin"/>
          </w:r>
          <w:r>
            <w:instrText xml:space="preserve"> TOC \h \u \z </w:instrText>
          </w:r>
          <w:r>
            <w:fldChar w:fldCharType="separate"/>
          </w:r>
          <w:hyperlink w:anchor="_Toc121342656" w:history="1">
            <w:r w:rsidR="003B2A37" w:rsidRPr="003B2A37">
              <w:rPr>
                <w:rStyle w:val="af4"/>
                <w:rFonts w:ascii="Times New Roman" w:eastAsia="Times New Roman" w:hAnsi="Times New Roman" w:cs="Times New Roman"/>
                <w:noProof/>
                <w:sz w:val="28"/>
                <w:szCs w:val="28"/>
              </w:rPr>
              <w:t>ВВЕДЕНИЕ</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_Toc121342656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3</w:t>
            </w:r>
            <w:r w:rsidR="003B2A37" w:rsidRPr="003B2A37">
              <w:rPr>
                <w:rFonts w:ascii="Times New Roman" w:hAnsi="Times New Roman" w:cs="Times New Roman"/>
                <w:noProof/>
                <w:webHidden/>
                <w:sz w:val="28"/>
                <w:szCs w:val="28"/>
              </w:rPr>
              <w:fldChar w:fldCharType="end"/>
            </w:r>
          </w:hyperlink>
        </w:p>
        <w:p w14:paraId="3D10E86F" w14:textId="5F77BC44"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57" w:history="1">
            <w:r w:rsidR="003B2A37" w:rsidRPr="003B2A37">
              <w:rPr>
                <w:rStyle w:val="af4"/>
                <w:rFonts w:ascii="Times New Roman" w:eastAsia="Times New Roman" w:hAnsi="Times New Roman" w:cs="Times New Roman"/>
                <w:noProof/>
                <w:sz w:val="28"/>
                <w:szCs w:val="28"/>
              </w:rPr>
              <w:t>ГЛАВА 1. ТЕОРЕТИЧЕСКИЕ ОСНОВЫ ФИНАНСОВОГО АНАЛИЗА КОМПАНИИ</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_Toc121342657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4</w:t>
            </w:r>
            <w:r w:rsidR="003B2A37" w:rsidRPr="003B2A37">
              <w:rPr>
                <w:rFonts w:ascii="Times New Roman" w:hAnsi="Times New Roman" w:cs="Times New Roman"/>
                <w:noProof/>
                <w:webHidden/>
                <w:sz w:val="28"/>
                <w:szCs w:val="28"/>
              </w:rPr>
              <w:fldChar w:fldCharType="end"/>
            </w:r>
          </w:hyperlink>
        </w:p>
        <w:p w14:paraId="4CB1BACC" w14:textId="7F0F8A0A"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58" w:history="1">
            <w:r w:rsidR="003B2A37" w:rsidRPr="003B2A37">
              <w:rPr>
                <w:rStyle w:val="af4"/>
                <w:rFonts w:ascii="Times New Roman" w:eastAsia="Times New Roman" w:hAnsi="Times New Roman" w:cs="Times New Roman"/>
                <w:noProof/>
                <w:sz w:val="28"/>
                <w:szCs w:val="28"/>
              </w:rPr>
              <w:t>1.1 Понятие и сущность финансового анализа</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_Toc121342658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4</w:t>
            </w:r>
            <w:r w:rsidR="003B2A37" w:rsidRPr="003B2A37">
              <w:rPr>
                <w:rFonts w:ascii="Times New Roman" w:hAnsi="Times New Roman" w:cs="Times New Roman"/>
                <w:noProof/>
                <w:webHidden/>
                <w:sz w:val="28"/>
                <w:szCs w:val="28"/>
              </w:rPr>
              <w:fldChar w:fldCharType="end"/>
            </w:r>
          </w:hyperlink>
        </w:p>
        <w:p w14:paraId="59580118" w14:textId="4A09CD59"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59" w:history="1">
            <w:r w:rsidR="003B2A37" w:rsidRPr="003B2A37">
              <w:rPr>
                <w:rStyle w:val="af4"/>
                <w:rFonts w:ascii="Times New Roman" w:eastAsia="Times New Roman" w:hAnsi="Times New Roman" w:cs="Times New Roman"/>
                <w:noProof/>
                <w:sz w:val="28"/>
                <w:szCs w:val="28"/>
              </w:rPr>
              <w:t>1.2 Информационная база финансового анализа</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_Toc121342659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7</w:t>
            </w:r>
            <w:r w:rsidR="003B2A37" w:rsidRPr="003B2A37">
              <w:rPr>
                <w:rFonts w:ascii="Times New Roman" w:hAnsi="Times New Roman" w:cs="Times New Roman"/>
                <w:noProof/>
                <w:webHidden/>
                <w:sz w:val="28"/>
                <w:szCs w:val="28"/>
              </w:rPr>
              <w:fldChar w:fldCharType="end"/>
            </w:r>
          </w:hyperlink>
        </w:p>
        <w:p w14:paraId="202EDF85" w14:textId="42C8351E"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0" w:history="1">
            <w:r w:rsidR="003B2A37" w:rsidRPr="003B2A37">
              <w:rPr>
                <w:rStyle w:val="af4"/>
                <w:rFonts w:ascii="Times New Roman" w:eastAsia="Times New Roman" w:hAnsi="Times New Roman" w:cs="Times New Roman"/>
                <w:noProof/>
                <w:sz w:val="28"/>
                <w:szCs w:val="28"/>
              </w:rPr>
              <w:t>1.3 Методы и приемы финансового анализа</w:t>
            </w:r>
            <w:r w:rsidR="003B2A37" w:rsidRPr="003B2A37">
              <w:rPr>
                <w:rFonts w:ascii="Times New Roman" w:hAnsi="Times New Roman" w:cs="Times New Roman"/>
                <w:noProof/>
                <w:webHidden/>
                <w:sz w:val="28"/>
                <w:szCs w:val="28"/>
              </w:rPr>
              <w:tab/>
            </w:r>
            <w:r w:rsidR="00A548EF">
              <w:rPr>
                <w:rFonts w:ascii="Times New Roman" w:hAnsi="Times New Roman" w:cs="Times New Roman"/>
                <w:noProof/>
                <w:webHidden/>
                <w:sz w:val="28"/>
                <w:szCs w:val="28"/>
              </w:rPr>
              <w:t>10</w:t>
            </w:r>
          </w:hyperlink>
        </w:p>
        <w:p w14:paraId="5878C50A" w14:textId="7974717B" w:rsidR="00E04C86" w:rsidRPr="003B2A37" w:rsidRDefault="00E02FDF" w:rsidP="00E04C86">
          <w:pPr>
            <w:pStyle w:val="11"/>
            <w:tabs>
              <w:tab w:val="right" w:pos="9346"/>
            </w:tabs>
            <w:rPr>
              <w:rFonts w:ascii="Times New Roman" w:eastAsiaTheme="minorEastAsia" w:hAnsi="Times New Roman" w:cs="Times New Roman"/>
              <w:noProof/>
              <w:sz w:val="28"/>
              <w:szCs w:val="28"/>
            </w:rPr>
          </w:pPr>
          <w:hyperlink w:anchor="_Toc121342657" w:history="1">
            <w:r w:rsidR="00E04C86" w:rsidRPr="003B2A37">
              <w:rPr>
                <w:rStyle w:val="af4"/>
                <w:rFonts w:ascii="Times New Roman" w:eastAsia="Times New Roman" w:hAnsi="Times New Roman" w:cs="Times New Roman"/>
                <w:noProof/>
                <w:sz w:val="28"/>
                <w:szCs w:val="28"/>
              </w:rPr>
              <w:t xml:space="preserve">ГЛАВА </w:t>
            </w:r>
            <w:r w:rsidR="00AC697C">
              <w:rPr>
                <w:rStyle w:val="af4"/>
                <w:rFonts w:ascii="Times New Roman" w:eastAsia="Times New Roman" w:hAnsi="Times New Roman" w:cs="Times New Roman"/>
                <w:noProof/>
                <w:sz w:val="28"/>
                <w:szCs w:val="28"/>
              </w:rPr>
              <w:t>2</w:t>
            </w:r>
            <w:r w:rsidR="00E04C86" w:rsidRPr="003B2A37">
              <w:rPr>
                <w:rStyle w:val="af4"/>
                <w:rFonts w:ascii="Times New Roman" w:eastAsia="Times New Roman" w:hAnsi="Times New Roman" w:cs="Times New Roman"/>
                <w:noProof/>
                <w:sz w:val="28"/>
                <w:szCs w:val="28"/>
              </w:rPr>
              <w:t xml:space="preserve">. </w:t>
            </w:r>
            <w:r w:rsidR="00AC697C">
              <w:rPr>
                <w:rStyle w:val="af4"/>
                <w:rFonts w:ascii="Times New Roman" w:eastAsia="Times New Roman" w:hAnsi="Times New Roman" w:cs="Times New Roman"/>
                <w:noProof/>
                <w:sz w:val="28"/>
                <w:szCs w:val="28"/>
              </w:rPr>
              <w:t>ФИНАНСОВЫЙ АНАЛИЗ ПАО «ГАЗПРОМ»</w:t>
            </w:r>
            <w:r w:rsidR="00E04C86" w:rsidRPr="003B2A37">
              <w:rPr>
                <w:rFonts w:ascii="Times New Roman" w:hAnsi="Times New Roman" w:cs="Times New Roman"/>
                <w:noProof/>
                <w:webHidden/>
                <w:sz w:val="28"/>
                <w:szCs w:val="28"/>
              </w:rPr>
              <w:tab/>
            </w:r>
            <w:r w:rsidR="00AC697C">
              <w:rPr>
                <w:rFonts w:ascii="Times New Roman" w:hAnsi="Times New Roman" w:cs="Times New Roman"/>
                <w:noProof/>
                <w:webHidden/>
                <w:sz w:val="28"/>
                <w:szCs w:val="28"/>
              </w:rPr>
              <w:t>16</w:t>
            </w:r>
          </w:hyperlink>
        </w:p>
        <w:p w14:paraId="4141B713" w14:textId="65845583"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1" w:history="1">
            <w:r w:rsidR="003B2A37" w:rsidRPr="003B2A37">
              <w:rPr>
                <w:rStyle w:val="af4"/>
                <w:rFonts w:ascii="Times New Roman" w:eastAsia="Times New Roman" w:hAnsi="Times New Roman" w:cs="Times New Roman"/>
                <w:noProof/>
                <w:sz w:val="28"/>
                <w:szCs w:val="28"/>
              </w:rPr>
              <w:t>2.1 Горизонтальный анализ компании</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_Toc121342661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16</w:t>
            </w:r>
            <w:r w:rsidR="003B2A37" w:rsidRPr="003B2A37">
              <w:rPr>
                <w:rFonts w:ascii="Times New Roman" w:hAnsi="Times New Roman" w:cs="Times New Roman"/>
                <w:noProof/>
                <w:webHidden/>
                <w:sz w:val="28"/>
                <w:szCs w:val="28"/>
              </w:rPr>
              <w:fldChar w:fldCharType="end"/>
            </w:r>
          </w:hyperlink>
        </w:p>
        <w:p w14:paraId="111931DE" w14:textId="1F3A86F0"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2" w:history="1">
            <w:r w:rsidR="003B2A37" w:rsidRPr="003B2A37">
              <w:rPr>
                <w:rStyle w:val="af4"/>
                <w:rFonts w:ascii="Times New Roman" w:eastAsia="Times New Roman" w:hAnsi="Times New Roman" w:cs="Times New Roman"/>
                <w:noProof/>
                <w:sz w:val="28"/>
                <w:szCs w:val="28"/>
              </w:rPr>
              <w:t>2.2 Вертикальный анализ компании</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_Toc121342662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18</w:t>
            </w:r>
            <w:r w:rsidR="003B2A37" w:rsidRPr="003B2A37">
              <w:rPr>
                <w:rFonts w:ascii="Times New Roman" w:hAnsi="Times New Roman" w:cs="Times New Roman"/>
                <w:noProof/>
                <w:webHidden/>
                <w:sz w:val="28"/>
                <w:szCs w:val="28"/>
              </w:rPr>
              <w:fldChar w:fldCharType="end"/>
            </w:r>
          </w:hyperlink>
        </w:p>
        <w:p w14:paraId="0E9ABC96" w14:textId="6DFEC93B"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3" w:history="1">
            <w:r w:rsidR="003B2A37" w:rsidRPr="003B2A37">
              <w:rPr>
                <w:rStyle w:val="af4"/>
                <w:rFonts w:ascii="Times New Roman" w:eastAsia="Times New Roman" w:hAnsi="Times New Roman" w:cs="Times New Roman"/>
                <w:noProof/>
                <w:sz w:val="28"/>
                <w:szCs w:val="28"/>
              </w:rPr>
              <w:t>2.3 Коэффициентный анализ</w:t>
            </w:r>
            <w:r w:rsidR="003B2A37" w:rsidRPr="003B2A37">
              <w:rPr>
                <w:rFonts w:ascii="Times New Roman" w:hAnsi="Times New Roman" w:cs="Times New Roman"/>
                <w:noProof/>
                <w:webHidden/>
                <w:sz w:val="28"/>
                <w:szCs w:val="28"/>
              </w:rPr>
              <w:tab/>
            </w:r>
            <w:r w:rsidR="003B2A37" w:rsidRPr="003B2A37">
              <w:rPr>
                <w:rFonts w:ascii="Times New Roman" w:hAnsi="Times New Roman" w:cs="Times New Roman"/>
                <w:noProof/>
                <w:webHidden/>
                <w:sz w:val="28"/>
                <w:szCs w:val="28"/>
              </w:rPr>
              <w:fldChar w:fldCharType="begin"/>
            </w:r>
            <w:r w:rsidR="003B2A37" w:rsidRPr="003B2A37">
              <w:rPr>
                <w:rFonts w:ascii="Times New Roman" w:hAnsi="Times New Roman" w:cs="Times New Roman"/>
                <w:noProof/>
                <w:webHidden/>
                <w:sz w:val="28"/>
                <w:szCs w:val="28"/>
              </w:rPr>
              <w:instrText xml:space="preserve"> PAGEREF _Toc121342663 \h </w:instrText>
            </w:r>
            <w:r w:rsidR="003B2A37" w:rsidRPr="003B2A37">
              <w:rPr>
                <w:rFonts w:ascii="Times New Roman" w:hAnsi="Times New Roman" w:cs="Times New Roman"/>
                <w:noProof/>
                <w:webHidden/>
                <w:sz w:val="28"/>
                <w:szCs w:val="28"/>
              </w:rPr>
            </w:r>
            <w:r w:rsidR="003B2A37" w:rsidRPr="003B2A37">
              <w:rPr>
                <w:rFonts w:ascii="Times New Roman" w:hAnsi="Times New Roman" w:cs="Times New Roman"/>
                <w:noProof/>
                <w:webHidden/>
                <w:sz w:val="28"/>
                <w:szCs w:val="28"/>
              </w:rPr>
              <w:fldChar w:fldCharType="separate"/>
            </w:r>
            <w:r w:rsidR="00E416E5">
              <w:rPr>
                <w:rFonts w:ascii="Times New Roman" w:hAnsi="Times New Roman" w:cs="Times New Roman"/>
                <w:noProof/>
                <w:webHidden/>
                <w:sz w:val="28"/>
                <w:szCs w:val="28"/>
              </w:rPr>
              <w:t>20</w:t>
            </w:r>
            <w:r w:rsidR="003B2A37" w:rsidRPr="003B2A37">
              <w:rPr>
                <w:rFonts w:ascii="Times New Roman" w:hAnsi="Times New Roman" w:cs="Times New Roman"/>
                <w:noProof/>
                <w:webHidden/>
                <w:sz w:val="28"/>
                <w:szCs w:val="28"/>
              </w:rPr>
              <w:fldChar w:fldCharType="end"/>
            </w:r>
          </w:hyperlink>
        </w:p>
        <w:p w14:paraId="6BE4643B" w14:textId="57A4D299" w:rsidR="00AC697C" w:rsidRPr="003B2A37" w:rsidRDefault="00E02FDF" w:rsidP="00AC697C">
          <w:pPr>
            <w:pStyle w:val="11"/>
            <w:tabs>
              <w:tab w:val="right" w:pos="9346"/>
            </w:tabs>
            <w:rPr>
              <w:rFonts w:ascii="Times New Roman" w:eastAsiaTheme="minorEastAsia" w:hAnsi="Times New Roman" w:cs="Times New Roman"/>
              <w:noProof/>
              <w:sz w:val="28"/>
              <w:szCs w:val="28"/>
            </w:rPr>
          </w:pPr>
          <w:hyperlink w:anchor="_Toc121342657" w:history="1">
            <w:r w:rsidR="00AC697C" w:rsidRPr="003B2A37">
              <w:rPr>
                <w:rStyle w:val="af4"/>
                <w:rFonts w:ascii="Times New Roman" w:eastAsia="Times New Roman" w:hAnsi="Times New Roman" w:cs="Times New Roman"/>
                <w:noProof/>
                <w:sz w:val="28"/>
                <w:szCs w:val="28"/>
              </w:rPr>
              <w:t xml:space="preserve">ГЛАВА </w:t>
            </w:r>
            <w:r w:rsidR="00AC697C">
              <w:rPr>
                <w:rStyle w:val="af4"/>
                <w:rFonts w:ascii="Times New Roman" w:eastAsia="Times New Roman" w:hAnsi="Times New Roman" w:cs="Times New Roman"/>
                <w:noProof/>
                <w:sz w:val="28"/>
                <w:szCs w:val="28"/>
              </w:rPr>
              <w:t>3</w:t>
            </w:r>
            <w:r w:rsidR="00AC697C" w:rsidRPr="003B2A37">
              <w:rPr>
                <w:rStyle w:val="af4"/>
                <w:rFonts w:ascii="Times New Roman" w:eastAsia="Times New Roman" w:hAnsi="Times New Roman" w:cs="Times New Roman"/>
                <w:noProof/>
                <w:sz w:val="28"/>
                <w:szCs w:val="28"/>
              </w:rPr>
              <w:t>.</w:t>
            </w:r>
            <w:r w:rsidR="00AC697C">
              <w:rPr>
                <w:rStyle w:val="af4"/>
                <w:rFonts w:ascii="Times New Roman" w:eastAsia="Times New Roman" w:hAnsi="Times New Roman" w:cs="Times New Roman"/>
                <w:noProof/>
                <w:sz w:val="28"/>
                <w:szCs w:val="28"/>
              </w:rPr>
              <w:t xml:space="preserve"> МЕРЫ ПО УЛУЧШЕНИЮ ФИНАНСОВОЙ ДЕЯТЕЛЬНОСТИ ПАО «ГАЗПРОМ»</w:t>
            </w:r>
            <w:r w:rsidR="00AC697C" w:rsidRPr="003B2A37">
              <w:rPr>
                <w:rFonts w:ascii="Times New Roman" w:hAnsi="Times New Roman" w:cs="Times New Roman"/>
                <w:noProof/>
                <w:webHidden/>
                <w:sz w:val="28"/>
                <w:szCs w:val="28"/>
              </w:rPr>
              <w:tab/>
            </w:r>
            <w:r w:rsidR="00A548EF">
              <w:rPr>
                <w:rFonts w:ascii="Times New Roman" w:hAnsi="Times New Roman" w:cs="Times New Roman"/>
                <w:noProof/>
                <w:webHidden/>
                <w:sz w:val="28"/>
                <w:szCs w:val="28"/>
              </w:rPr>
              <w:t>29</w:t>
            </w:r>
          </w:hyperlink>
        </w:p>
        <w:p w14:paraId="61417D0A" w14:textId="4C6D5836"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4" w:history="1">
            <w:r w:rsidR="003B2A37" w:rsidRPr="003B2A37">
              <w:rPr>
                <w:rStyle w:val="af4"/>
                <w:rFonts w:ascii="Times New Roman" w:eastAsia="Times New Roman" w:hAnsi="Times New Roman" w:cs="Times New Roman"/>
                <w:noProof/>
                <w:sz w:val="28"/>
                <w:szCs w:val="28"/>
              </w:rPr>
              <w:t>ЗАКЛЮЧЕНИЕ</w:t>
            </w:r>
            <w:r w:rsidR="003B2A37" w:rsidRPr="003B2A37">
              <w:rPr>
                <w:rFonts w:ascii="Times New Roman" w:hAnsi="Times New Roman" w:cs="Times New Roman"/>
                <w:noProof/>
                <w:webHidden/>
                <w:sz w:val="28"/>
                <w:szCs w:val="28"/>
              </w:rPr>
              <w:tab/>
            </w:r>
            <w:r w:rsidR="00A548EF">
              <w:rPr>
                <w:rFonts w:ascii="Times New Roman" w:hAnsi="Times New Roman" w:cs="Times New Roman"/>
                <w:noProof/>
                <w:webHidden/>
                <w:sz w:val="28"/>
                <w:szCs w:val="28"/>
              </w:rPr>
              <w:t>34</w:t>
            </w:r>
          </w:hyperlink>
        </w:p>
        <w:p w14:paraId="2866CB77" w14:textId="4E05D44E"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5" w:history="1">
            <w:r w:rsidR="003B2A37" w:rsidRPr="003B2A37">
              <w:rPr>
                <w:rStyle w:val="af4"/>
                <w:rFonts w:ascii="Times New Roman" w:eastAsia="Times New Roman" w:hAnsi="Times New Roman" w:cs="Times New Roman"/>
                <w:noProof/>
                <w:sz w:val="28"/>
                <w:szCs w:val="28"/>
              </w:rPr>
              <w:t>СПИСОК ИСПОЛЬЗОВАННЫХ ИСТОЧНИКОВ</w:t>
            </w:r>
            <w:r w:rsidR="003B2A37" w:rsidRPr="003B2A37">
              <w:rPr>
                <w:rFonts w:ascii="Times New Roman" w:hAnsi="Times New Roman" w:cs="Times New Roman"/>
                <w:noProof/>
                <w:webHidden/>
                <w:sz w:val="28"/>
                <w:szCs w:val="28"/>
              </w:rPr>
              <w:tab/>
            </w:r>
            <w:r w:rsidR="00A548EF">
              <w:rPr>
                <w:rFonts w:ascii="Times New Roman" w:hAnsi="Times New Roman" w:cs="Times New Roman"/>
                <w:noProof/>
                <w:webHidden/>
                <w:sz w:val="28"/>
                <w:szCs w:val="28"/>
              </w:rPr>
              <w:t>36</w:t>
            </w:r>
          </w:hyperlink>
        </w:p>
        <w:p w14:paraId="0A985E1D" w14:textId="20386FB6" w:rsidR="003B2A37" w:rsidRPr="003B2A37" w:rsidRDefault="00E02FDF">
          <w:pPr>
            <w:pStyle w:val="11"/>
            <w:tabs>
              <w:tab w:val="right" w:pos="9346"/>
            </w:tabs>
            <w:rPr>
              <w:rFonts w:ascii="Times New Roman" w:eastAsiaTheme="minorEastAsia" w:hAnsi="Times New Roman" w:cs="Times New Roman"/>
              <w:noProof/>
              <w:sz w:val="28"/>
              <w:szCs w:val="28"/>
            </w:rPr>
          </w:pPr>
          <w:hyperlink w:anchor="_Toc121342666" w:history="1">
            <w:r w:rsidR="003B2A37" w:rsidRPr="003B2A37">
              <w:rPr>
                <w:rStyle w:val="af4"/>
                <w:rFonts w:ascii="Times New Roman" w:eastAsia="Times New Roman" w:hAnsi="Times New Roman" w:cs="Times New Roman"/>
                <w:noProof/>
                <w:sz w:val="28"/>
                <w:szCs w:val="28"/>
              </w:rPr>
              <w:t>ПРИЛОЖЕНИЯ</w:t>
            </w:r>
            <w:r w:rsidR="003B2A37" w:rsidRPr="003B2A37">
              <w:rPr>
                <w:rFonts w:ascii="Times New Roman" w:hAnsi="Times New Roman" w:cs="Times New Roman"/>
                <w:noProof/>
                <w:webHidden/>
                <w:sz w:val="28"/>
                <w:szCs w:val="28"/>
              </w:rPr>
              <w:tab/>
            </w:r>
            <w:r w:rsidR="00A548EF">
              <w:rPr>
                <w:rFonts w:ascii="Times New Roman" w:hAnsi="Times New Roman" w:cs="Times New Roman"/>
                <w:noProof/>
                <w:webHidden/>
                <w:sz w:val="28"/>
                <w:szCs w:val="28"/>
              </w:rPr>
              <w:t>39</w:t>
            </w:r>
          </w:hyperlink>
        </w:p>
        <w:p w14:paraId="5D8D50F0" w14:textId="590638E4" w:rsidR="003B2A37" w:rsidRPr="00E04C86" w:rsidRDefault="003B2A37">
          <w:pPr>
            <w:pStyle w:val="11"/>
            <w:tabs>
              <w:tab w:val="right" w:pos="9346"/>
            </w:tabs>
            <w:rPr>
              <w:rFonts w:ascii="Times New Roman" w:eastAsiaTheme="minorEastAsia" w:hAnsi="Times New Roman" w:cs="Times New Roman"/>
              <w:noProof/>
              <w:sz w:val="28"/>
              <w:szCs w:val="28"/>
            </w:rPr>
          </w:pPr>
        </w:p>
        <w:p w14:paraId="1166FDBA" w14:textId="77777777" w:rsidR="006C48AE" w:rsidRDefault="004E74FC">
          <w:pPr>
            <w:pBdr>
              <w:top w:val="nil"/>
              <w:left w:val="nil"/>
              <w:bottom w:val="nil"/>
              <w:right w:val="nil"/>
              <w:between w:val="nil"/>
            </w:pBdr>
            <w:tabs>
              <w:tab w:val="right" w:pos="9345"/>
            </w:tabs>
            <w:spacing w:after="0" w:line="360" w:lineRule="auto"/>
            <w:ind w:firstLine="567"/>
            <w:jc w:val="both"/>
            <w:rPr>
              <w:rFonts w:ascii="Times New Roman" w:eastAsia="Times New Roman" w:hAnsi="Times New Roman" w:cs="Times New Roman"/>
              <w:color w:val="000000"/>
              <w:sz w:val="28"/>
              <w:szCs w:val="28"/>
            </w:rPr>
          </w:pPr>
          <w:r>
            <w:fldChar w:fldCharType="end"/>
          </w:r>
        </w:p>
      </w:sdtContent>
    </w:sdt>
    <w:p w14:paraId="372089AF" w14:textId="77777777" w:rsidR="006C48AE" w:rsidRDefault="004E74FC">
      <w:pPr>
        <w:rPr>
          <w:rFonts w:ascii="Times New Roman" w:eastAsia="Times New Roman" w:hAnsi="Times New Roman" w:cs="Times New Roman"/>
          <w:b/>
          <w:sz w:val="28"/>
          <w:szCs w:val="28"/>
        </w:rPr>
      </w:pPr>
      <w:r>
        <w:br w:type="page"/>
      </w:r>
    </w:p>
    <w:p w14:paraId="764ED27E" w14:textId="0712F7F7" w:rsidR="006C48AE" w:rsidRDefault="004E74FC" w:rsidP="00C95296">
      <w:pPr>
        <w:pStyle w:val="1"/>
        <w:spacing w:before="0" w:line="360" w:lineRule="auto"/>
        <w:ind w:right="851"/>
        <w:jc w:val="center"/>
        <w:rPr>
          <w:rFonts w:ascii="Times New Roman" w:eastAsia="Times New Roman" w:hAnsi="Times New Roman" w:cs="Times New Roman"/>
          <w:color w:val="000000"/>
        </w:rPr>
      </w:pPr>
      <w:bookmarkStart w:id="0" w:name="_Toc121342656"/>
      <w:bookmarkStart w:id="1" w:name="_n77rdnp6iezl"/>
      <w:bookmarkEnd w:id="1"/>
      <w:r>
        <w:rPr>
          <w:rFonts w:ascii="Times New Roman" w:eastAsia="Times New Roman" w:hAnsi="Times New Roman" w:cs="Times New Roman"/>
          <w:color w:val="000000"/>
        </w:rPr>
        <w:lastRenderedPageBreak/>
        <w:t>ВВЕДЕНИЕ</w:t>
      </w:r>
      <w:bookmarkEnd w:id="0"/>
    </w:p>
    <w:p w14:paraId="48EE1665"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70DE0CCF"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Актуальность темы заключается в том, что на базе анализа финансового состояния организации можно выявить его конкурентоспособность, потенциал, оценить гарантии экономических интересов предприятия и контрагентов. Анализ позволяет определить стратегию и тактику развития предприятия, обосновать планы и управленческие решения, определить слабые и сильные стороны.</w:t>
      </w:r>
    </w:p>
    <w:p w14:paraId="119E6587" w14:textId="77777777" w:rsidR="00010ECA"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данной работы заключается в разработке рекомендаций по устранению выявленных финансовых проблем </w:t>
      </w:r>
      <w:r w:rsidRPr="004E74FC">
        <w:rPr>
          <w:rFonts w:ascii="Times New Roman" w:eastAsia="Times New Roman" w:hAnsi="Times New Roman" w:cs="Times New Roman"/>
          <w:sz w:val="28"/>
          <w:szCs w:val="28"/>
        </w:rPr>
        <w:t>ПАО «Газпром»</w:t>
      </w:r>
      <w:r>
        <w:rPr>
          <w:rFonts w:ascii="Times New Roman" w:eastAsia="Times New Roman" w:hAnsi="Times New Roman" w:cs="Times New Roman"/>
          <w:sz w:val="28"/>
          <w:szCs w:val="28"/>
        </w:rPr>
        <w:t xml:space="preserve">. </w:t>
      </w:r>
      <w:r w:rsidRPr="004E74FC">
        <w:rPr>
          <w:rFonts w:ascii="Times New Roman" w:eastAsia="Times New Roman" w:hAnsi="Times New Roman" w:cs="Times New Roman"/>
          <w:sz w:val="28"/>
          <w:szCs w:val="28"/>
        </w:rPr>
        <w:t>Для достижения поставленной цели необходимо решить следующие задачи:</w:t>
      </w:r>
      <w:r>
        <w:rPr>
          <w:rFonts w:ascii="Times New Roman" w:eastAsia="Times New Roman" w:hAnsi="Times New Roman" w:cs="Times New Roman"/>
          <w:sz w:val="28"/>
          <w:szCs w:val="28"/>
        </w:rPr>
        <w:t xml:space="preserve"> рассмотреть методы и приемы финансового анализа, провести финансовый анализ деятельности ПАО «Газпром» и предложить меры по устранению выявленных проблем в финансовой деятельности ПАО «Газпром».</w:t>
      </w:r>
      <w:r w:rsidR="00010ECA">
        <w:rPr>
          <w:rFonts w:ascii="Times New Roman" w:eastAsia="Times New Roman" w:hAnsi="Times New Roman" w:cs="Times New Roman"/>
          <w:sz w:val="28"/>
          <w:szCs w:val="28"/>
        </w:rPr>
        <w:t xml:space="preserve"> </w:t>
      </w:r>
    </w:p>
    <w:p w14:paraId="04A99721" w14:textId="37FCA1B4"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Объектом исследования является </w:t>
      </w:r>
      <w:r w:rsidR="00010ECA">
        <w:rPr>
          <w:rFonts w:ascii="Times New Roman" w:eastAsia="Times New Roman" w:hAnsi="Times New Roman" w:cs="Times New Roman"/>
          <w:sz w:val="28"/>
          <w:szCs w:val="28"/>
        </w:rPr>
        <w:t>финансовая деятельность компании</w:t>
      </w:r>
      <w:r>
        <w:rPr>
          <w:rFonts w:ascii="Times New Roman" w:eastAsia="Times New Roman" w:hAnsi="Times New Roman" w:cs="Times New Roman"/>
          <w:sz w:val="28"/>
          <w:szCs w:val="28"/>
        </w:rPr>
        <w:t xml:space="preserve">. Предмет исследования – </w:t>
      </w:r>
      <w:r w:rsidR="00BD4CC0">
        <w:rPr>
          <w:rFonts w:ascii="Times New Roman" w:eastAsia="Times New Roman" w:hAnsi="Times New Roman" w:cs="Times New Roman"/>
          <w:sz w:val="28"/>
          <w:szCs w:val="28"/>
        </w:rPr>
        <w:t xml:space="preserve">оценка </w:t>
      </w:r>
      <w:r w:rsidR="00010ECA">
        <w:rPr>
          <w:rFonts w:ascii="Times New Roman" w:eastAsia="Times New Roman" w:hAnsi="Times New Roman" w:cs="Times New Roman"/>
          <w:sz w:val="28"/>
          <w:szCs w:val="28"/>
        </w:rPr>
        <w:t>финансов</w:t>
      </w:r>
      <w:r w:rsidR="00BD4CC0">
        <w:rPr>
          <w:rFonts w:ascii="Times New Roman" w:eastAsia="Times New Roman" w:hAnsi="Times New Roman" w:cs="Times New Roman"/>
          <w:sz w:val="28"/>
          <w:szCs w:val="28"/>
        </w:rPr>
        <w:t>ой</w:t>
      </w:r>
      <w:r w:rsidR="00010ECA">
        <w:rPr>
          <w:rFonts w:ascii="Times New Roman" w:eastAsia="Times New Roman" w:hAnsi="Times New Roman" w:cs="Times New Roman"/>
          <w:sz w:val="28"/>
          <w:szCs w:val="28"/>
        </w:rPr>
        <w:t xml:space="preserve"> устойчивост</w:t>
      </w:r>
      <w:r w:rsidR="00BD4CC0">
        <w:rPr>
          <w:rFonts w:ascii="Times New Roman" w:eastAsia="Times New Roman" w:hAnsi="Times New Roman" w:cs="Times New Roman"/>
          <w:sz w:val="28"/>
          <w:szCs w:val="28"/>
        </w:rPr>
        <w:t>и</w:t>
      </w:r>
      <w:r w:rsidR="00010ECA">
        <w:rPr>
          <w:rFonts w:ascii="Times New Roman" w:eastAsia="Times New Roman" w:hAnsi="Times New Roman" w:cs="Times New Roman"/>
          <w:sz w:val="28"/>
          <w:szCs w:val="28"/>
        </w:rPr>
        <w:t xml:space="preserve"> и </w:t>
      </w:r>
      <w:r w:rsidR="007D64AD">
        <w:rPr>
          <w:rFonts w:ascii="Times New Roman" w:eastAsia="Times New Roman" w:hAnsi="Times New Roman" w:cs="Times New Roman"/>
          <w:sz w:val="28"/>
          <w:szCs w:val="28"/>
        </w:rPr>
        <w:t>эффективност</w:t>
      </w:r>
      <w:r w:rsidR="00BD4CC0">
        <w:rPr>
          <w:rFonts w:ascii="Times New Roman" w:eastAsia="Times New Roman" w:hAnsi="Times New Roman" w:cs="Times New Roman"/>
          <w:sz w:val="28"/>
          <w:szCs w:val="28"/>
        </w:rPr>
        <w:t>и</w:t>
      </w:r>
      <w:r w:rsidR="00010ECA">
        <w:rPr>
          <w:rFonts w:ascii="Times New Roman" w:eastAsia="Times New Roman" w:hAnsi="Times New Roman" w:cs="Times New Roman"/>
          <w:sz w:val="28"/>
          <w:szCs w:val="28"/>
        </w:rPr>
        <w:t xml:space="preserve"> финансовой деятельности</w:t>
      </w:r>
      <w:r w:rsidR="00010ECA" w:rsidRPr="00010ECA">
        <w:rPr>
          <w:rFonts w:ascii="Times New Roman" w:eastAsia="Times New Roman" w:hAnsi="Times New Roman" w:cs="Times New Roman"/>
          <w:sz w:val="28"/>
          <w:szCs w:val="28"/>
        </w:rPr>
        <w:t xml:space="preserve"> ПАО «Газпром»</w:t>
      </w:r>
      <w:r w:rsidR="00010ECA">
        <w:rPr>
          <w:rFonts w:ascii="Times New Roman" w:eastAsia="Times New Roman" w:hAnsi="Times New Roman" w:cs="Times New Roman"/>
          <w:sz w:val="28"/>
          <w:szCs w:val="28"/>
        </w:rPr>
        <w:t>.</w:t>
      </w:r>
      <w:r w:rsidR="00DA6B22" w:rsidRPr="00DA6B22">
        <w:t xml:space="preserve"> </w:t>
      </w:r>
      <w:r w:rsidR="00DA6B22" w:rsidRPr="00DA6B22">
        <w:rPr>
          <w:rFonts w:ascii="Times New Roman" w:eastAsia="Times New Roman" w:hAnsi="Times New Roman" w:cs="Times New Roman"/>
          <w:sz w:val="28"/>
          <w:szCs w:val="28"/>
        </w:rPr>
        <w:t xml:space="preserve">Информационной базой финансового анализа являются </w:t>
      </w:r>
      <w:r w:rsidR="00DA6B22" w:rsidRPr="00DA6B22">
        <w:rPr>
          <w:rFonts w:ascii="Times New Roman" w:eastAsia="Times New Roman" w:hAnsi="Times New Roman" w:cs="Times New Roman"/>
          <w:bCs/>
          <w:sz w:val="28"/>
          <w:szCs w:val="28"/>
        </w:rPr>
        <w:t>данные бухгалтерского учета и отчетности</w:t>
      </w:r>
      <w:r w:rsidR="00DA6B22" w:rsidRPr="00DA6B22">
        <w:rPr>
          <w:rFonts w:ascii="Times New Roman" w:eastAsia="Times New Roman" w:hAnsi="Times New Roman" w:cs="Times New Roman"/>
          <w:sz w:val="28"/>
          <w:szCs w:val="28"/>
        </w:rPr>
        <w:t xml:space="preserve"> </w:t>
      </w:r>
      <w:proofErr w:type="spellStart"/>
      <w:r w:rsidR="00DA6B22">
        <w:rPr>
          <w:rFonts w:ascii="Times New Roman" w:eastAsia="Times New Roman" w:hAnsi="Times New Roman" w:cs="Times New Roman"/>
          <w:sz w:val="28"/>
          <w:szCs w:val="28"/>
        </w:rPr>
        <w:t>ПАО</w:t>
      </w:r>
      <w:proofErr w:type="spellEnd"/>
      <w:r w:rsidR="00DA6B22">
        <w:rPr>
          <w:rFonts w:ascii="Times New Roman" w:eastAsia="Times New Roman" w:hAnsi="Times New Roman" w:cs="Times New Roman"/>
          <w:sz w:val="28"/>
          <w:szCs w:val="28"/>
        </w:rPr>
        <w:t xml:space="preserve"> «Газпром»</w:t>
      </w:r>
      <w:r w:rsidR="00DA6B22" w:rsidRPr="00DA6B22">
        <w:rPr>
          <w:rFonts w:ascii="Times New Roman" w:eastAsia="Times New Roman" w:hAnsi="Times New Roman" w:cs="Times New Roman"/>
          <w:sz w:val="28"/>
          <w:szCs w:val="28"/>
        </w:rPr>
        <w:t>.</w:t>
      </w:r>
      <w:r w:rsidR="00DA6B22" w:rsidRPr="00DA6B22">
        <w:rPr>
          <w:rFonts w:ascii="Times New Roman" w:eastAsia="Times New Roman" w:hAnsi="Times New Roman" w:cs="Times New Roman"/>
          <w:sz w:val="28"/>
          <w:szCs w:val="28"/>
          <w:lang w:val="ru"/>
        </w:rPr>
        <w:t xml:space="preserve"> </w:t>
      </w:r>
      <w:r w:rsidR="00DA6B22">
        <w:rPr>
          <w:rFonts w:ascii="Times New Roman" w:eastAsia="Times New Roman" w:hAnsi="Times New Roman" w:cs="Times New Roman"/>
          <w:sz w:val="28"/>
          <w:szCs w:val="28"/>
          <w:lang w:val="ru"/>
        </w:rPr>
        <w:t xml:space="preserve">Финансовый анализ </w:t>
      </w:r>
      <w:r w:rsidR="00DA6B22" w:rsidRPr="00DA6B22">
        <w:rPr>
          <w:rFonts w:ascii="Times New Roman" w:eastAsia="Times New Roman" w:hAnsi="Times New Roman" w:cs="Times New Roman"/>
          <w:sz w:val="28"/>
          <w:szCs w:val="28"/>
          <w:lang w:val="ru"/>
        </w:rPr>
        <w:t xml:space="preserve">компании проводится за счет использования различных аналитических методик российских и зарубежных авторов: </w:t>
      </w:r>
      <w:proofErr w:type="spellStart"/>
      <w:r w:rsidR="00DA6B22">
        <w:rPr>
          <w:rFonts w:ascii="Times New Roman" w:eastAsia="Times New Roman" w:hAnsi="Times New Roman" w:cs="Times New Roman"/>
          <w:sz w:val="28"/>
          <w:szCs w:val="28"/>
          <w:lang w:val="ru"/>
        </w:rPr>
        <w:t>В.В</w:t>
      </w:r>
      <w:proofErr w:type="spellEnd"/>
      <w:r w:rsidR="00DA6B22">
        <w:rPr>
          <w:rFonts w:ascii="Times New Roman" w:eastAsia="Times New Roman" w:hAnsi="Times New Roman" w:cs="Times New Roman"/>
          <w:sz w:val="28"/>
          <w:szCs w:val="28"/>
          <w:lang w:val="ru"/>
        </w:rPr>
        <w:t xml:space="preserve">. Ковалев, </w:t>
      </w:r>
      <w:proofErr w:type="spellStart"/>
      <w:r w:rsidR="00DA6B22">
        <w:rPr>
          <w:rFonts w:ascii="Times New Roman" w:eastAsia="Times New Roman" w:hAnsi="Times New Roman" w:cs="Times New Roman"/>
          <w:sz w:val="28"/>
          <w:szCs w:val="28"/>
          <w:lang w:val="ru"/>
        </w:rPr>
        <w:t>А.Д</w:t>
      </w:r>
      <w:proofErr w:type="spellEnd"/>
      <w:r w:rsidR="00DA6B22">
        <w:rPr>
          <w:rFonts w:ascii="Times New Roman" w:eastAsia="Times New Roman" w:hAnsi="Times New Roman" w:cs="Times New Roman"/>
          <w:sz w:val="28"/>
          <w:szCs w:val="28"/>
          <w:lang w:val="ru"/>
        </w:rPr>
        <w:t xml:space="preserve">. </w:t>
      </w:r>
      <w:proofErr w:type="spellStart"/>
      <w:r w:rsidR="00DA6B22">
        <w:rPr>
          <w:rFonts w:ascii="Times New Roman" w:eastAsia="Times New Roman" w:hAnsi="Times New Roman" w:cs="Times New Roman"/>
          <w:sz w:val="28"/>
          <w:szCs w:val="28"/>
          <w:lang w:val="ru"/>
        </w:rPr>
        <w:t>Шеремет</w:t>
      </w:r>
      <w:proofErr w:type="spellEnd"/>
      <w:r w:rsidR="00DA6B22">
        <w:rPr>
          <w:rFonts w:ascii="Times New Roman" w:eastAsia="Times New Roman" w:hAnsi="Times New Roman" w:cs="Times New Roman"/>
          <w:sz w:val="28"/>
          <w:szCs w:val="28"/>
          <w:lang w:val="ru"/>
        </w:rPr>
        <w:t xml:space="preserve">, </w:t>
      </w:r>
      <w:proofErr w:type="spellStart"/>
      <w:r w:rsidR="00DA6B22">
        <w:rPr>
          <w:rFonts w:ascii="Times New Roman" w:eastAsia="Times New Roman" w:hAnsi="Times New Roman" w:cs="Times New Roman"/>
          <w:sz w:val="28"/>
          <w:szCs w:val="28"/>
          <w:lang w:val="ru"/>
        </w:rPr>
        <w:t>Г.В</w:t>
      </w:r>
      <w:proofErr w:type="spellEnd"/>
      <w:r w:rsidR="00DA6B22">
        <w:rPr>
          <w:rFonts w:ascii="Times New Roman" w:eastAsia="Times New Roman" w:hAnsi="Times New Roman" w:cs="Times New Roman"/>
          <w:sz w:val="28"/>
          <w:szCs w:val="28"/>
          <w:lang w:val="ru"/>
        </w:rPr>
        <w:t>. Савицкая</w:t>
      </w:r>
      <w:r w:rsidR="00DA6B22" w:rsidRPr="00DA6B22">
        <w:rPr>
          <w:rFonts w:ascii="Times New Roman" w:eastAsia="Times New Roman" w:hAnsi="Times New Roman" w:cs="Times New Roman"/>
          <w:sz w:val="28"/>
          <w:szCs w:val="28"/>
          <w:lang w:val="ru"/>
        </w:rPr>
        <w:t>.</w:t>
      </w:r>
    </w:p>
    <w:p w14:paraId="79179178" w14:textId="2B63C2A7" w:rsidR="006C48AE" w:rsidRDefault="004E74F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работе </w:t>
      </w:r>
      <w:r>
        <w:rPr>
          <w:rFonts w:ascii="Times New Roman" w:eastAsia="Times New Roman" w:hAnsi="Times New Roman" w:cs="Times New Roman"/>
          <w:color w:val="000000"/>
          <w:sz w:val="28"/>
          <w:szCs w:val="28"/>
        </w:rPr>
        <w:t>использованы следующие методы научного исследования: сравнительный метод; изучение соответствующей литературы, статей; аналитический метод.</w:t>
      </w:r>
      <w:r>
        <w:rPr>
          <w:rFonts w:ascii="Times New Roman" w:eastAsia="Times New Roman" w:hAnsi="Times New Roman" w:cs="Times New Roman"/>
          <w:sz w:val="28"/>
          <w:szCs w:val="28"/>
        </w:rPr>
        <w:t xml:space="preserve"> Для проведения анализа были использованы следующие формы отчетности: бухгалтерский баланс, отчет о финансовых результатах, отчет об изменениях капитала, отчет о движении денежных средств</w:t>
      </w:r>
      <w:r w:rsidR="007D64A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пояснения к бухгалтерскому балансу и аудиторское заключение.</w:t>
      </w:r>
    </w:p>
    <w:p w14:paraId="1834A98C" w14:textId="77777777" w:rsidR="006C48AE" w:rsidRDefault="004E74F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состоит из трех глав, введения; заключения, списка используемых источников, приложений.</w:t>
      </w:r>
    </w:p>
    <w:p w14:paraId="37592A90" w14:textId="4DFBFEB5" w:rsidR="006C48AE" w:rsidRDefault="004E74FC" w:rsidP="00B26CD2">
      <w:pPr>
        <w:pStyle w:val="1"/>
        <w:spacing w:line="360" w:lineRule="auto"/>
        <w:ind w:right="851"/>
        <w:jc w:val="center"/>
        <w:rPr>
          <w:rFonts w:ascii="Times New Roman" w:eastAsia="Times New Roman" w:hAnsi="Times New Roman" w:cs="Times New Roman"/>
          <w:color w:val="000000"/>
        </w:rPr>
      </w:pPr>
      <w:bookmarkStart w:id="2" w:name="_Toc121342657"/>
      <w:r>
        <w:rPr>
          <w:rFonts w:ascii="Times New Roman" w:eastAsia="Times New Roman" w:hAnsi="Times New Roman" w:cs="Times New Roman"/>
          <w:color w:val="000000"/>
        </w:rPr>
        <w:lastRenderedPageBreak/>
        <w:t>ГЛАВА 1. ТЕОРЕТИЧЕСКИЕ ОСНОВЫ ФИНАНСОВОГО АНАЛИЗА КОМПАНИИ</w:t>
      </w:r>
      <w:bookmarkEnd w:id="2"/>
    </w:p>
    <w:p w14:paraId="72C2B3D2" w14:textId="576743B6" w:rsidR="006C48AE" w:rsidRDefault="004E74FC" w:rsidP="00B26CD2">
      <w:pPr>
        <w:pStyle w:val="1"/>
        <w:spacing w:line="360" w:lineRule="auto"/>
        <w:ind w:right="851"/>
        <w:jc w:val="center"/>
        <w:rPr>
          <w:rFonts w:ascii="Times New Roman" w:eastAsia="Times New Roman" w:hAnsi="Times New Roman" w:cs="Times New Roman"/>
          <w:color w:val="000000"/>
        </w:rPr>
      </w:pPr>
      <w:bookmarkStart w:id="3" w:name="_Toc121342658"/>
      <w:bookmarkStart w:id="4" w:name="_ytq2robaki7e"/>
      <w:bookmarkEnd w:id="4"/>
      <w:r>
        <w:rPr>
          <w:rFonts w:ascii="Times New Roman" w:eastAsia="Times New Roman" w:hAnsi="Times New Roman" w:cs="Times New Roman"/>
          <w:color w:val="000000"/>
        </w:rPr>
        <w:t>1.1 Понятие и сущность финансового анализа</w:t>
      </w:r>
      <w:bookmarkEnd w:id="3"/>
    </w:p>
    <w:p w14:paraId="32797381"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7850EB36"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Финансовый анализ на сегодняшний день является одним из инструментов управления предприятием. На основании результатов финансового анализа происходит формирование мероприятий, нацеленных на улучшение сложившейся ситуации, устранение проблем. </w:t>
      </w:r>
    </w:p>
    <w:p w14:paraId="535C5E2B"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сегодняшний день не сформировано единого понятия «экономический анализ». На основании чего следует рассмотреть наиболее популярные понятия, сформулированные отечественными экономистами-аналитиками. </w:t>
      </w:r>
      <w:r w:rsidR="00084341">
        <w:rPr>
          <w:rFonts w:ascii="Times New Roman" w:eastAsia="Times New Roman" w:hAnsi="Times New Roman" w:cs="Times New Roman"/>
          <w:sz w:val="28"/>
          <w:szCs w:val="28"/>
        </w:rPr>
        <w:t>В таблице</w:t>
      </w:r>
      <w:r>
        <w:rPr>
          <w:rFonts w:ascii="Times New Roman" w:eastAsia="Times New Roman" w:hAnsi="Times New Roman" w:cs="Times New Roman"/>
          <w:sz w:val="28"/>
          <w:szCs w:val="28"/>
        </w:rPr>
        <w:t xml:space="preserve"> 1.1 представлены данные определения.</w:t>
      </w:r>
    </w:p>
    <w:p w14:paraId="199572A9" w14:textId="77777777" w:rsidR="001E4433" w:rsidRDefault="00753D2E" w:rsidP="00981DA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 – Группировка понятий «экономический анализ» согласно мнению различных авторов</w:t>
      </w:r>
    </w:p>
    <w:tbl>
      <w:tblPr>
        <w:tblStyle w:val="af"/>
        <w:tblW w:w="0" w:type="auto"/>
        <w:tblLook w:val="04A0" w:firstRow="1" w:lastRow="0" w:firstColumn="1" w:lastColumn="0" w:noHBand="0" w:noVBand="1"/>
      </w:tblPr>
      <w:tblGrid>
        <w:gridCol w:w="2122"/>
        <w:gridCol w:w="7224"/>
      </w:tblGrid>
      <w:tr w:rsidR="001E4433" w:rsidRPr="001E4433" w14:paraId="57C3A626" w14:textId="77777777" w:rsidTr="001E4433">
        <w:tc>
          <w:tcPr>
            <w:tcW w:w="2122" w:type="dxa"/>
          </w:tcPr>
          <w:p w14:paraId="155C8B79" w14:textId="77777777" w:rsidR="001E4433" w:rsidRPr="001E4433" w:rsidRDefault="001E4433" w:rsidP="004314DC">
            <w:pPr>
              <w:jc w:val="both"/>
              <w:rPr>
                <w:rFonts w:ascii="Times New Roman" w:eastAsia="Times New Roman" w:hAnsi="Times New Roman" w:cs="Times New Roman"/>
                <w:sz w:val="24"/>
                <w:szCs w:val="24"/>
              </w:rPr>
            </w:pPr>
            <w:r w:rsidRPr="001E4433">
              <w:rPr>
                <w:rFonts w:ascii="Times New Roman" w:eastAsia="Times New Roman" w:hAnsi="Times New Roman" w:cs="Times New Roman"/>
                <w:sz w:val="24"/>
                <w:szCs w:val="24"/>
              </w:rPr>
              <w:t xml:space="preserve">Автор </w:t>
            </w:r>
          </w:p>
        </w:tc>
        <w:tc>
          <w:tcPr>
            <w:tcW w:w="7224" w:type="dxa"/>
          </w:tcPr>
          <w:p w14:paraId="1A5F5EC7" w14:textId="77777777" w:rsidR="001E4433" w:rsidRPr="001E4433" w:rsidRDefault="001E4433" w:rsidP="004314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Формулировка понятия «экономический анализ»</w:t>
            </w:r>
          </w:p>
        </w:tc>
      </w:tr>
      <w:tr w:rsidR="001E4433" w:rsidRPr="001E4433" w14:paraId="4334FF3E" w14:textId="77777777" w:rsidTr="001E4433">
        <w:tc>
          <w:tcPr>
            <w:tcW w:w="2122" w:type="dxa"/>
          </w:tcPr>
          <w:p w14:paraId="07C9DFF1" w14:textId="77777777" w:rsidR="001E4433" w:rsidRPr="001E4433" w:rsidRDefault="001E4433" w:rsidP="004314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Ковалев В.В.</w:t>
            </w:r>
          </w:p>
        </w:tc>
        <w:tc>
          <w:tcPr>
            <w:tcW w:w="7224" w:type="dxa"/>
          </w:tcPr>
          <w:p w14:paraId="66A0D5BF" w14:textId="77777777" w:rsidR="001E4433" w:rsidRPr="001E4433" w:rsidRDefault="001E4433" w:rsidP="004314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экономически анализом понимается важная часть формирования управленческих решений на экономическом уровне предприятия. Данный вид анализа нельзя воспринимать как расчленение объекта на отдельные элементы, поскольку предприятие или компания является сложной системой с различными связями между ними и взаимодействием с внешней средой</w:t>
            </w:r>
          </w:p>
        </w:tc>
      </w:tr>
      <w:tr w:rsidR="001E4433" w:rsidRPr="001E4433" w14:paraId="63C392E6" w14:textId="77777777" w:rsidTr="001E4433">
        <w:tc>
          <w:tcPr>
            <w:tcW w:w="2122" w:type="dxa"/>
          </w:tcPr>
          <w:p w14:paraId="6330B4DA" w14:textId="77777777" w:rsidR="001E4433" w:rsidRPr="001E4433" w:rsidRDefault="001E4433" w:rsidP="004314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Шеремет А.Д.</w:t>
            </w:r>
          </w:p>
        </w:tc>
        <w:tc>
          <w:tcPr>
            <w:tcW w:w="7224" w:type="dxa"/>
          </w:tcPr>
          <w:p w14:paraId="5E970C66" w14:textId="77777777" w:rsidR="001E4433" w:rsidRPr="001E4433" w:rsidRDefault="001E4433" w:rsidP="004314DC">
            <w:pPr>
              <w:jc w:val="both"/>
              <w:rPr>
                <w:rFonts w:ascii="Times New Roman" w:eastAsia="Times New Roman" w:hAnsi="Times New Roman" w:cs="Times New Roman"/>
                <w:sz w:val="24"/>
                <w:szCs w:val="24"/>
              </w:rPr>
            </w:pPr>
            <w:r w:rsidRPr="001E4433">
              <w:rPr>
                <w:rFonts w:ascii="Times New Roman" w:eastAsia="Times New Roman" w:hAnsi="Times New Roman" w:cs="Times New Roman"/>
                <w:sz w:val="24"/>
                <w:szCs w:val="24"/>
              </w:rPr>
              <w:t>Под экономически анализом</w:t>
            </w:r>
            <w:r>
              <w:rPr>
                <w:rFonts w:ascii="Times New Roman" w:eastAsia="Times New Roman" w:hAnsi="Times New Roman" w:cs="Times New Roman"/>
                <w:sz w:val="24"/>
                <w:szCs w:val="24"/>
              </w:rPr>
              <w:t xml:space="preserve"> подразумевается научный способ изучения </w:t>
            </w:r>
            <w:r w:rsidR="00601595">
              <w:rPr>
                <w:rFonts w:ascii="Times New Roman" w:eastAsia="Times New Roman" w:hAnsi="Times New Roman" w:cs="Times New Roman"/>
                <w:sz w:val="24"/>
                <w:szCs w:val="24"/>
              </w:rPr>
              <w:t xml:space="preserve">сущности экономических явлений и процессов, базирующейся на расчленении их элементов и изучении связей и зависимостей. На базе результатов экономического анализа разрабатываются управленческие решения. Ни одно управленческое решение не может быть принято без оценки его экономической целесообразности, связанной с расчетами и всесторонним анализом финансового состояния предприятия. </w:t>
            </w:r>
          </w:p>
        </w:tc>
      </w:tr>
    </w:tbl>
    <w:p w14:paraId="60E76655" w14:textId="77777777" w:rsidR="006C48AE" w:rsidRPr="00C0250B" w:rsidRDefault="004E74FC">
      <w:pPr>
        <w:spacing w:after="0" w:line="360" w:lineRule="auto"/>
        <w:rPr>
          <w:rFonts w:ascii="Times New Roman" w:eastAsia="Times New Roman" w:hAnsi="Times New Roman" w:cs="Times New Roman"/>
          <w:sz w:val="24"/>
          <w:szCs w:val="24"/>
        </w:rPr>
      </w:pPr>
      <w:r w:rsidRPr="00C0250B">
        <w:rPr>
          <w:rFonts w:ascii="Times New Roman" w:eastAsia="Times New Roman" w:hAnsi="Times New Roman" w:cs="Times New Roman"/>
          <w:sz w:val="24"/>
          <w:szCs w:val="24"/>
        </w:rPr>
        <w:t xml:space="preserve">Источник: </w:t>
      </w:r>
      <w:r w:rsidR="004314DC" w:rsidRPr="00C0250B">
        <w:rPr>
          <w:rFonts w:ascii="Times New Roman" w:eastAsia="Times New Roman" w:hAnsi="Times New Roman" w:cs="Times New Roman"/>
          <w:sz w:val="24"/>
          <w:szCs w:val="24"/>
        </w:rPr>
        <w:t>Составлено автором на основе литературных источников</w:t>
      </w:r>
    </w:p>
    <w:p w14:paraId="284DB07C"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предприятие было конкурентоспособным, имело возможность укреплять свои рыночные позиции, развиваться в дальнейшем, требуется наличие у предприятия определенных резервов роста эффективности деятельности. На основании финансового анализа </w:t>
      </w:r>
      <w:r>
        <w:rPr>
          <w:rFonts w:ascii="Times New Roman" w:eastAsia="Times New Roman" w:hAnsi="Times New Roman" w:cs="Times New Roman"/>
          <w:sz w:val="28"/>
          <w:szCs w:val="28"/>
        </w:rPr>
        <w:lastRenderedPageBreak/>
        <w:t xml:space="preserve">руководство получает информацию о наличии у предприятия определенных ресурсов, эффективности их использования, возможности внедрения передового опыта и новых технологий. Результаты финансового анализа позволяют направлять меры на укрепление экономического состояния предприятия, а также на повышение эффективности его деятельности. </w:t>
      </w:r>
    </w:p>
    <w:p w14:paraId="47784436"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можно выделить несколько видов финансового анализа, которые проводятся в организации на основании разнообразных целей. Каждый вид связан с тем, что желает получить аналитик при его проведении. </w:t>
      </w:r>
      <w:r w:rsidR="004314DC">
        <w:rPr>
          <w:rFonts w:ascii="Times New Roman" w:eastAsia="Times New Roman" w:hAnsi="Times New Roman" w:cs="Times New Roman"/>
          <w:sz w:val="28"/>
          <w:szCs w:val="28"/>
        </w:rPr>
        <w:t>В таблице 1.2</w:t>
      </w:r>
      <w:r>
        <w:rPr>
          <w:rFonts w:ascii="Times New Roman" w:eastAsia="Times New Roman" w:hAnsi="Times New Roman" w:cs="Times New Roman"/>
          <w:sz w:val="28"/>
          <w:szCs w:val="28"/>
        </w:rPr>
        <w:t xml:space="preserve"> выделены основные виды финансового анализа.</w:t>
      </w:r>
    </w:p>
    <w:p w14:paraId="6BDDAA2D" w14:textId="77777777" w:rsidR="00247656" w:rsidRPr="00247656" w:rsidRDefault="00247656" w:rsidP="00981DAC">
      <w:pPr>
        <w:spacing w:after="0" w:line="240" w:lineRule="auto"/>
        <w:contextualSpacing/>
        <w:jc w:val="both"/>
        <w:rPr>
          <w:rFonts w:ascii="Times New Roman" w:eastAsia="Times New Roman" w:hAnsi="Times New Roman" w:cs="Times New Roman"/>
          <w:sz w:val="28"/>
          <w:szCs w:val="28"/>
          <w:vertAlign w:val="superscript"/>
        </w:rPr>
      </w:pPr>
      <w:r w:rsidRPr="00247656">
        <w:rPr>
          <w:rFonts w:ascii="Times New Roman" w:eastAsia="Times New Roman" w:hAnsi="Times New Roman" w:cs="Times New Roman"/>
          <w:sz w:val="28"/>
          <w:szCs w:val="28"/>
        </w:rPr>
        <w:t>Таблица 1.2</w:t>
      </w:r>
      <w:r w:rsidRPr="00247656">
        <w:rPr>
          <w:rFonts w:ascii="Times New Roman" w:eastAsia="Times New Roman" w:hAnsi="Times New Roman" w:cs="Times New Roman"/>
          <w:b/>
          <w:i/>
          <w:sz w:val="28"/>
          <w:szCs w:val="28"/>
        </w:rPr>
        <w:t xml:space="preserve"> </w:t>
      </w:r>
      <w:r w:rsidRPr="00247656">
        <w:rPr>
          <w:rFonts w:ascii="Times New Roman" w:eastAsia="Times New Roman" w:hAnsi="Times New Roman" w:cs="Times New Roman"/>
          <w:sz w:val="28"/>
          <w:szCs w:val="28"/>
        </w:rPr>
        <w:t>– Основные виды финансового анализа</w:t>
      </w:r>
    </w:p>
    <w:tbl>
      <w:tblPr>
        <w:tblStyle w:val="af"/>
        <w:tblW w:w="0" w:type="auto"/>
        <w:tblLook w:val="04A0" w:firstRow="1" w:lastRow="0" w:firstColumn="1" w:lastColumn="0" w:noHBand="0" w:noVBand="1"/>
      </w:tblPr>
      <w:tblGrid>
        <w:gridCol w:w="2689"/>
        <w:gridCol w:w="6657"/>
      </w:tblGrid>
      <w:tr w:rsidR="00247656" w:rsidRPr="00247656" w14:paraId="45FE7B88" w14:textId="77777777" w:rsidTr="004D3500">
        <w:tc>
          <w:tcPr>
            <w:tcW w:w="2689" w:type="dxa"/>
          </w:tcPr>
          <w:p w14:paraId="31D66308" w14:textId="77777777" w:rsidR="00247656" w:rsidRPr="00247656" w:rsidRDefault="00247656" w:rsidP="004425DE">
            <w:pPr>
              <w:contextualSpacing/>
              <w:jc w:val="both"/>
              <w:rPr>
                <w:rFonts w:ascii="Times New Roman" w:eastAsia="Times New Roman" w:hAnsi="Times New Roman" w:cs="Times New Roman"/>
                <w:sz w:val="24"/>
                <w:szCs w:val="24"/>
              </w:rPr>
            </w:pPr>
            <w:r w:rsidRPr="00247656">
              <w:rPr>
                <w:rFonts w:ascii="Times New Roman" w:eastAsia="Times New Roman" w:hAnsi="Times New Roman" w:cs="Times New Roman"/>
                <w:sz w:val="24"/>
                <w:szCs w:val="24"/>
              </w:rPr>
              <w:t xml:space="preserve">Вид анализа </w:t>
            </w:r>
          </w:p>
        </w:tc>
        <w:tc>
          <w:tcPr>
            <w:tcW w:w="6657" w:type="dxa"/>
          </w:tcPr>
          <w:p w14:paraId="08A1E5ED" w14:textId="77777777" w:rsidR="00247656" w:rsidRPr="00247656" w:rsidRDefault="00247656" w:rsidP="004425DE">
            <w:pPr>
              <w:contextualSpacing/>
              <w:jc w:val="both"/>
              <w:rPr>
                <w:rFonts w:ascii="Times New Roman" w:eastAsia="Times New Roman" w:hAnsi="Times New Roman" w:cs="Times New Roman"/>
                <w:sz w:val="24"/>
                <w:szCs w:val="24"/>
              </w:rPr>
            </w:pPr>
            <w:r w:rsidRPr="00247656">
              <w:rPr>
                <w:rFonts w:ascii="Times New Roman" w:eastAsia="Times New Roman" w:hAnsi="Times New Roman" w:cs="Times New Roman"/>
                <w:sz w:val="24"/>
                <w:szCs w:val="24"/>
              </w:rPr>
              <w:t xml:space="preserve">Основные принципы </w:t>
            </w:r>
          </w:p>
        </w:tc>
      </w:tr>
      <w:tr w:rsidR="00247656" w:rsidRPr="00247656" w14:paraId="4D6C61C5" w14:textId="77777777" w:rsidTr="004D3500">
        <w:tc>
          <w:tcPr>
            <w:tcW w:w="2689" w:type="dxa"/>
          </w:tcPr>
          <w:p w14:paraId="4ED5E05B" w14:textId="77777777" w:rsidR="00247656" w:rsidRPr="00247656" w:rsidRDefault="00247656"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Факторный анализ </w:t>
            </w:r>
          </w:p>
        </w:tc>
        <w:tc>
          <w:tcPr>
            <w:tcW w:w="6657" w:type="dxa"/>
          </w:tcPr>
          <w:p w14:paraId="7E0CD5A0" w14:textId="77777777" w:rsidR="00247656" w:rsidRPr="00247656" w:rsidRDefault="00072683" w:rsidP="008B1D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Заключается </w:t>
            </w:r>
            <w:r w:rsidR="006A386A">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выделении и</w:t>
            </w:r>
            <w:r w:rsidR="006A38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оценке факторов, воздействующих на показатели деятельности</w:t>
            </w:r>
            <w:r w:rsidR="006A386A">
              <w:rPr>
                <w:rFonts w:ascii="Times New Roman" w:eastAsia="Times New Roman" w:hAnsi="Times New Roman" w:cs="Times New Roman"/>
                <w:sz w:val="24"/>
                <w:szCs w:val="24"/>
              </w:rPr>
              <w:t>. Пр</w:t>
            </w:r>
            <w:r w:rsidR="008B1DA1">
              <w:rPr>
                <w:rFonts w:ascii="Times New Roman" w:eastAsia="Times New Roman" w:hAnsi="Times New Roman" w:cs="Times New Roman"/>
                <w:sz w:val="24"/>
                <w:szCs w:val="24"/>
              </w:rPr>
              <w:t>и</w:t>
            </w:r>
            <w:r w:rsidR="006A386A">
              <w:rPr>
                <w:rFonts w:ascii="Times New Roman" w:eastAsia="Times New Roman" w:hAnsi="Times New Roman" w:cs="Times New Roman"/>
                <w:sz w:val="24"/>
                <w:szCs w:val="24"/>
              </w:rPr>
              <w:t xml:space="preserve"> его проведении выявляют факторы, имеющие количественную оценку и проводят анализ их влияния на деятельность предприятия.</w:t>
            </w:r>
            <w:r>
              <w:rPr>
                <w:rFonts w:ascii="Times New Roman" w:eastAsia="Times New Roman" w:hAnsi="Times New Roman" w:cs="Times New Roman"/>
                <w:sz w:val="24"/>
                <w:szCs w:val="24"/>
              </w:rPr>
              <w:t xml:space="preserve"> </w:t>
            </w:r>
          </w:p>
        </w:tc>
      </w:tr>
      <w:tr w:rsidR="00247656" w:rsidRPr="00247656" w14:paraId="40C9FF92" w14:textId="77777777" w:rsidTr="004D3500">
        <w:tc>
          <w:tcPr>
            <w:tcW w:w="2689" w:type="dxa"/>
          </w:tcPr>
          <w:p w14:paraId="51EFAC24" w14:textId="77777777" w:rsidR="00247656" w:rsidRPr="00247656" w:rsidRDefault="00BE5EAB"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Оценочный анализ</w:t>
            </w:r>
          </w:p>
        </w:tc>
        <w:tc>
          <w:tcPr>
            <w:tcW w:w="6657" w:type="dxa"/>
          </w:tcPr>
          <w:p w14:paraId="72ABB84B" w14:textId="77777777" w:rsidR="00247656" w:rsidRPr="00247656" w:rsidRDefault="006A386A" w:rsidP="006E78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Является экономическим анализом, результатом которого выступает качественная и количественная оценка определенных ситуаций и явлений. Целью данного анализа </w:t>
            </w:r>
            <w:r w:rsidR="006E7848">
              <w:rPr>
                <w:rFonts w:ascii="Times New Roman" w:eastAsia="Times New Roman" w:hAnsi="Times New Roman" w:cs="Times New Roman"/>
                <w:sz w:val="24"/>
                <w:szCs w:val="24"/>
              </w:rPr>
              <w:t xml:space="preserve">может быть оценка стоимости бизнеса, интеллектуальной собственности и т.д. Данный анализ проводится на базе затратного метода, метода дисконтирования денежных потоков и метода капитализации доходов. </w:t>
            </w:r>
          </w:p>
        </w:tc>
      </w:tr>
      <w:tr w:rsidR="00247656" w:rsidRPr="00247656" w14:paraId="37E56D88" w14:textId="77777777" w:rsidTr="004D3500">
        <w:tc>
          <w:tcPr>
            <w:tcW w:w="2689" w:type="dxa"/>
          </w:tcPr>
          <w:p w14:paraId="205E544A" w14:textId="77777777" w:rsidR="00247656" w:rsidRPr="00247656" w:rsidRDefault="00BE5EAB"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Диагностический анализ </w:t>
            </w:r>
          </w:p>
        </w:tc>
        <w:tc>
          <w:tcPr>
            <w:tcW w:w="6657" w:type="dxa"/>
          </w:tcPr>
          <w:p w14:paraId="5DD462F6" w14:textId="77777777" w:rsidR="00247656" w:rsidRPr="00247656" w:rsidRDefault="00BE6CFD"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Применяется для выявления несоответствия в финансово-хозяйственных процессах. Он проводится при помощи метода сопоставления системы или отдельных показателей, где по отдельным признакам выявляют причины отклонений</w:t>
            </w:r>
            <w:r w:rsidR="00D8636B">
              <w:rPr>
                <w:rFonts w:ascii="Times New Roman" w:eastAsia="Times New Roman" w:hAnsi="Times New Roman" w:cs="Times New Roman"/>
                <w:sz w:val="24"/>
                <w:szCs w:val="24"/>
              </w:rPr>
              <w:t>.</w:t>
            </w:r>
          </w:p>
        </w:tc>
      </w:tr>
      <w:tr w:rsidR="00247656" w:rsidRPr="00247656" w14:paraId="5E76A65B" w14:textId="77777777" w:rsidTr="004D3500">
        <w:tc>
          <w:tcPr>
            <w:tcW w:w="2689" w:type="dxa"/>
          </w:tcPr>
          <w:p w14:paraId="77A7BF0A" w14:textId="77777777" w:rsidR="00247656" w:rsidRPr="00247656" w:rsidRDefault="004F64A6"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Технико-экономический анализ</w:t>
            </w:r>
          </w:p>
        </w:tc>
        <w:tc>
          <w:tcPr>
            <w:tcW w:w="6657" w:type="dxa"/>
          </w:tcPr>
          <w:p w14:paraId="7958CB28" w14:textId="77777777" w:rsidR="00247656" w:rsidRPr="00247656" w:rsidRDefault="00D8636B" w:rsidP="00F9287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Позволяет оценить влияние технологических процессов на показатели финансово-хозяйственной</w:t>
            </w:r>
            <w:r w:rsidR="00B56D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деятельности предприятий</w:t>
            </w:r>
            <w:r w:rsidR="00B56D4B">
              <w:rPr>
                <w:rFonts w:ascii="Times New Roman" w:eastAsia="Times New Roman" w:hAnsi="Times New Roman" w:cs="Times New Roman"/>
                <w:sz w:val="24"/>
                <w:szCs w:val="24"/>
              </w:rPr>
              <w:t>. Анализ проводится при помощи</w:t>
            </w:r>
            <w:r>
              <w:rPr>
                <w:rFonts w:ascii="Times New Roman" w:eastAsia="Times New Roman" w:hAnsi="Times New Roman" w:cs="Times New Roman"/>
                <w:sz w:val="24"/>
                <w:szCs w:val="24"/>
              </w:rPr>
              <w:t xml:space="preserve"> </w:t>
            </w:r>
            <w:r w:rsidR="00B56D4B">
              <w:rPr>
                <w:rFonts w:ascii="Times New Roman" w:eastAsia="Times New Roman" w:hAnsi="Times New Roman" w:cs="Times New Roman"/>
                <w:sz w:val="24"/>
                <w:szCs w:val="24"/>
              </w:rPr>
              <w:t xml:space="preserve">изучения технического уровня предприятия, прогрессивности технологий и их воздействия на эффективность производства. </w:t>
            </w:r>
          </w:p>
        </w:tc>
      </w:tr>
      <w:tr w:rsidR="004F64A6" w:rsidRPr="00247656" w14:paraId="0DF27AE7" w14:textId="77777777" w:rsidTr="004D3500">
        <w:tc>
          <w:tcPr>
            <w:tcW w:w="2689" w:type="dxa"/>
          </w:tcPr>
          <w:p w14:paraId="08D8CF66" w14:textId="77777777" w:rsidR="004F64A6" w:rsidRPr="00247656" w:rsidRDefault="004F64A6"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Маркетинговый анализ</w:t>
            </w:r>
          </w:p>
        </w:tc>
        <w:tc>
          <w:tcPr>
            <w:tcW w:w="6657" w:type="dxa"/>
          </w:tcPr>
          <w:p w14:paraId="00992379" w14:textId="77777777" w:rsidR="004F64A6" w:rsidRPr="00247656" w:rsidRDefault="004D3500" w:rsidP="002476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вид анализа связан с исследованием внешней и внутренней среды предприятия, его конкурентоспособности, каналов сбыта и т.п. На основе данного анализа разрабатывают комплекс маркетинговых мероприятий </w:t>
            </w:r>
          </w:p>
        </w:tc>
      </w:tr>
    </w:tbl>
    <w:p w14:paraId="2A61AE43" w14:textId="77777777" w:rsidR="006C48AE" w:rsidRPr="00C0250B" w:rsidRDefault="004E74FC" w:rsidP="004D3500">
      <w:pPr>
        <w:spacing w:after="0" w:line="240" w:lineRule="auto"/>
        <w:ind w:right="567"/>
        <w:rPr>
          <w:rFonts w:ascii="Times New Roman" w:eastAsia="Times New Roman" w:hAnsi="Times New Roman" w:cs="Times New Roman"/>
          <w:color w:val="FF0000"/>
          <w:sz w:val="24"/>
          <w:szCs w:val="24"/>
        </w:rPr>
      </w:pPr>
      <w:r w:rsidRPr="00C0250B">
        <w:rPr>
          <w:rFonts w:ascii="Times New Roman" w:eastAsia="Times New Roman" w:hAnsi="Times New Roman" w:cs="Times New Roman"/>
          <w:sz w:val="24"/>
          <w:szCs w:val="24"/>
        </w:rPr>
        <w:t xml:space="preserve">Источник: </w:t>
      </w:r>
      <w:r w:rsidR="00981DAC">
        <w:rPr>
          <w:rFonts w:ascii="Times New Roman" w:eastAsia="Times New Roman" w:hAnsi="Times New Roman" w:cs="Times New Roman"/>
          <w:sz w:val="24"/>
          <w:szCs w:val="24"/>
        </w:rPr>
        <w:t>Составлено автором на основе данных источника</w:t>
      </w:r>
      <w:r w:rsidRPr="00C0250B">
        <w:rPr>
          <w:rFonts w:ascii="Times New Roman" w:eastAsia="Times New Roman" w:hAnsi="Times New Roman" w:cs="Times New Roman"/>
          <w:sz w:val="24"/>
          <w:szCs w:val="24"/>
          <w:vertAlign w:val="superscript"/>
        </w:rPr>
        <w:footnoteReference w:id="1"/>
      </w:r>
    </w:p>
    <w:p w14:paraId="0067041E"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Финансовый анализ также классифицируют по отраслевому признаку на отраслевой и межотраслевой анализ. Отраслевой анализ связан с проведением </w:t>
      </w:r>
      <w:r>
        <w:rPr>
          <w:rFonts w:ascii="Times New Roman" w:eastAsia="Times New Roman" w:hAnsi="Times New Roman" w:cs="Times New Roman"/>
          <w:sz w:val="28"/>
          <w:szCs w:val="28"/>
        </w:rPr>
        <w:lastRenderedPageBreak/>
        <w:t xml:space="preserve">анализа конкретной отрасли экономики, при котором происходит учет специфики данной отрасли. Межотраслевой анализ связан с проведением анализа разных отраслей. </w:t>
      </w:r>
    </w:p>
    <w:p w14:paraId="0B159E79"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Финансовый анализ по пространственному признаку подразделяют на внутрифирменный и межфирменный анализ. Внутрифирменный анализ связан с рассмотрением конкретного предприятия и его деятельности. Межфирменный анализ связан с проведением сравнения ряда аналогичных предприятий. На основании данного анализа можно выявить резервы улучшения эффективности деятельности анализируемого предприятия. </w:t>
      </w:r>
    </w:p>
    <w:p w14:paraId="576D4031"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Финансовый анализ по временному признаку бывает предварительный и последующий. Предварительный анализ связан с проведением его до реализации определенных действий, а последующий анализ связан с оценкой предприятия после проведения определенных действий. На основании предварительного анализа происходит обоснование намеченных управленческих решений, а последующий позволяет оценить эффективность проводимых мероприятий. </w:t>
      </w:r>
    </w:p>
    <w:p w14:paraId="1544792A"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Финансовый анализ по периодичности проведения бывает периодический и разовый. По субъектам финансовый анализ подразделен на внешний и внутренний анализ. Внутренний анализ проводится управленческим персоналом для предоставления данных руководству. Внешний анализ проводится контрагентами предприятия для определенных целей. </w:t>
      </w:r>
    </w:p>
    <w:p w14:paraId="7EE8F946"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Финансовый анализ по объему бывает сплошным и выборочным. Сплошной анализ связан с исследованием всех элементов организации, а выборочный анализ связан с исследованием определенной части</w:t>
      </w:r>
      <w:r>
        <w:rPr>
          <w:rFonts w:ascii="Times New Roman" w:eastAsia="Times New Roman" w:hAnsi="Times New Roman" w:cs="Times New Roman"/>
          <w:sz w:val="28"/>
          <w:szCs w:val="28"/>
          <w:vertAlign w:val="superscript"/>
        </w:rPr>
        <w:footnoteReference w:id="2"/>
      </w:r>
      <w:r w:rsidR="002456F2">
        <w:rPr>
          <w:rFonts w:ascii="Times New Roman" w:eastAsia="Times New Roman" w:hAnsi="Times New Roman" w:cs="Times New Roman"/>
          <w:sz w:val="28"/>
          <w:szCs w:val="28"/>
        </w:rPr>
        <w:t>.</w:t>
      </w:r>
    </w:p>
    <w:p w14:paraId="4AAFFB66" w14:textId="77777777" w:rsidR="006C48AE" w:rsidRDefault="004E74FC">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Таким образом, можно сделать вывод о том, что при помощи финансового анализа происходит определение организационных, </w:t>
      </w:r>
      <w:r>
        <w:rPr>
          <w:rFonts w:ascii="Times New Roman" w:eastAsia="Times New Roman" w:hAnsi="Times New Roman" w:cs="Times New Roman"/>
          <w:sz w:val="28"/>
          <w:szCs w:val="28"/>
        </w:rPr>
        <w:lastRenderedPageBreak/>
        <w:t xml:space="preserve">экономических и социальных факторов деятельности предприятия.  Результаты финансового анализа позволяют определить недостатки в деятельности предприятия и своевременно устранить их. Также на основании проведенного анализа руководство получает информацию об имеющихся у предприятия резервов и эффективности использования ресурсов. </w:t>
      </w:r>
    </w:p>
    <w:p w14:paraId="5C4C5364" w14:textId="79EDD4B9" w:rsidR="006C48AE" w:rsidRDefault="004E74FC" w:rsidP="00B26CD2">
      <w:pPr>
        <w:pStyle w:val="1"/>
        <w:spacing w:line="360" w:lineRule="auto"/>
        <w:ind w:right="851"/>
        <w:jc w:val="center"/>
        <w:rPr>
          <w:rFonts w:ascii="Times New Roman" w:eastAsia="Times New Roman" w:hAnsi="Times New Roman" w:cs="Times New Roman"/>
          <w:color w:val="000000"/>
        </w:rPr>
      </w:pPr>
      <w:bookmarkStart w:id="5" w:name="_Toc121342659"/>
      <w:r>
        <w:rPr>
          <w:rFonts w:ascii="Times New Roman" w:eastAsia="Times New Roman" w:hAnsi="Times New Roman" w:cs="Times New Roman"/>
          <w:color w:val="000000"/>
        </w:rPr>
        <w:t>1.2 Информационная база финансового анализа</w:t>
      </w:r>
      <w:bookmarkEnd w:id="5"/>
    </w:p>
    <w:p w14:paraId="77280D46"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5692307D"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проведении финансового анализа основным источником информации выступает бухгалтерская финансовая отчетность, которая обладает достаточно высоким уровнем информативности и содержит в себе данные о показателях деятельности предприятия за отчетный год.</w:t>
      </w:r>
    </w:p>
    <w:p w14:paraId="415B0134"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Бухгалтерская финансовая отчетность – единая система финансовых показателей деятельности организации. Она содержит в себе информацию об имеющемся у организации имуществе, источниках его формировании, денежных потоках, финансовых результатах, изменении капитала </w:t>
      </w:r>
      <w:proofErr w:type="gramStart"/>
      <w:r>
        <w:rPr>
          <w:rFonts w:ascii="Times New Roman" w:eastAsia="Times New Roman" w:hAnsi="Times New Roman" w:cs="Times New Roman"/>
          <w:sz w:val="28"/>
          <w:szCs w:val="28"/>
        </w:rPr>
        <w:t>и  т.п.</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w:t>
      </w:r>
      <w:proofErr w:type="gramEnd"/>
    </w:p>
    <w:p w14:paraId="5B4A00E7"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Бухгалтерская финансовая отчетность формируется при помощи использования данных бухгалтерского учета, что обуславливает ее высокую информативную значимость. Данные бухгалтерского учета содержат в себе сведения обо всех проведенных предприятием операциям за отчетный период, а также об их влиянии на те или иные показатели деятельности</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Pr>
        <w:t xml:space="preserve">. </w:t>
      </w:r>
    </w:p>
    <w:p w14:paraId="41119607"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использования данных бухгалтерской финансовой отчетности руководство может принимать наиболее эффективные управленческие решения, которые могут быть обоснованы экономически. Также на основании результатов анализа по данным бухгалтерской отчетности руководство может планировать определенные показатели деятельности. </w:t>
      </w:r>
    </w:p>
    <w:p w14:paraId="5AB56AE6"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Отраженная в бухгалтерской финансовой отчетности информация также используется внешними пользователями при проведении анализа. Целью проведения такого анализа выступает рассмотрение целесообразности вложения средств в деятельность предприятия, проверка со стороны налоговых органов, проверка кредитоспособности предприятия со стороны банков и т.п. </w:t>
      </w:r>
    </w:p>
    <w:p w14:paraId="7CD2EA05"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Бухгалтерская финансовая отчетность содержит в себе информацию обо всех проведенных предприятием хозяйственных операциях за отчетный период. Данная информация в учете отражается в учетных регистрах. Учетные регистры представляют собой источник информации, на основании которого формируется отчетность</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 xml:space="preserve">. </w:t>
      </w:r>
    </w:p>
    <w:p w14:paraId="4268B44F"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Бухгалтерская финансовая отчетность содержит информацию, которая позволяет определять факторы, указывающие на уровень финансового состояния предприятия и его финансовых результатов. </w:t>
      </w:r>
    </w:p>
    <w:p w14:paraId="45DA0328"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Бухгалтерская отчетность состоит из бухгалтерского баланса, отчета о финансовых результатах, отчета об изменении капитала, отчета о движении денежных средств и приложений к бухгалтерскому учету и отчету о финансовых результатах. </w:t>
      </w:r>
    </w:p>
    <w:p w14:paraId="57B7E1CF"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информативной формой для финансового анализа выступает бухгалтерский баланс. На основании данных бухгалтерского баланса происходит исследование наличия у предприятия того или иного имущества, источников его формирования. Также бухгалтерский баланс отражает имеющиеся у предприятия ресурсы и источники их финансирования. На основании данных бухгалтерского баланса можно сделать вывод о том, зависит ли предприятие от заемных средств, является ли предприятие платежеспособным, есть ли у него собственные оборотные средства, тип финансовой устойчивости и т.п.  </w:t>
      </w:r>
    </w:p>
    <w:p w14:paraId="445E9897"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Второй значимой формой выступает отчет о финансовых результатах, который содержит данные о финансовых результатах за анализируемый период. Данная форма позволяет проанализировать показатели рентабельности и деловой активности предприятия, а также оценить эффективность ведения деятельности в целом</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 xml:space="preserve">. </w:t>
      </w:r>
    </w:p>
    <w:p w14:paraId="7C10C340" w14:textId="77777777" w:rsidR="006C48AE" w:rsidRDefault="004E74FC">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В отчете об изменениях капитала содержится информация об увеличении уставного, добавочного и резервного капиталов предприятия. На основании данной формы можно оценить изменение капитала и структуру. </w:t>
      </w:r>
    </w:p>
    <w:p w14:paraId="2A1F6BC2"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одной формой, по которой проводится анализ, выступает отчет о движении денежных средств. Чтобы получить прибыль, необходимо пустить в оборот денежные средства, для этого необходимо провести оценку движения денежных потоков, исследовать их динамику, проанализировать превышение доходов над платежами. Данные мероприятия позволяют оценить возможности внутреннего финансирования. Анализ денежных потоков представляет собой один из главных аспектов анализа финансового состояния предприятия, так как позволяет оценить эффективность управления денежными потоками на предприятии.</w:t>
      </w:r>
    </w:p>
    <w:p w14:paraId="1275AE8C"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Приложения к бухгалтерскому балансу и отчету о финансовых результатах содержат более подробную расшифровку строк, содержащихся в данных формах, что обладает высокой информативностью при проведении более детального анализа. </w:t>
      </w:r>
    </w:p>
    <w:p w14:paraId="47B5E5C2" w14:textId="3022694B"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бухгалтерская финансовая отчетность представляет собой основной источник информации, на основании которого происходит расчет показателей финансового анализа.</w:t>
      </w:r>
    </w:p>
    <w:p w14:paraId="332E235C" w14:textId="77777777" w:rsidR="00A548EF" w:rsidRDefault="00A548EF">
      <w:pPr>
        <w:spacing w:after="0" w:line="360" w:lineRule="auto"/>
        <w:ind w:firstLine="709"/>
        <w:jc w:val="both"/>
        <w:rPr>
          <w:rFonts w:ascii="Times New Roman" w:eastAsia="Times New Roman" w:hAnsi="Times New Roman" w:cs="Times New Roman"/>
          <w:sz w:val="28"/>
          <w:szCs w:val="28"/>
        </w:rPr>
      </w:pPr>
    </w:p>
    <w:p w14:paraId="283C2675" w14:textId="10172668" w:rsidR="006C48AE" w:rsidRDefault="004E74FC" w:rsidP="00B26CD2">
      <w:pPr>
        <w:pStyle w:val="1"/>
        <w:tabs>
          <w:tab w:val="left" w:pos="8647"/>
        </w:tabs>
        <w:spacing w:line="360" w:lineRule="auto"/>
        <w:ind w:right="851"/>
        <w:jc w:val="center"/>
        <w:rPr>
          <w:rFonts w:ascii="Times New Roman" w:eastAsia="Times New Roman" w:hAnsi="Times New Roman" w:cs="Times New Roman"/>
          <w:color w:val="000000"/>
        </w:rPr>
      </w:pPr>
      <w:bookmarkStart w:id="6" w:name="_Toc121342660"/>
      <w:bookmarkStart w:id="7" w:name="_a9e4gxc3xova"/>
      <w:bookmarkEnd w:id="7"/>
      <w:r>
        <w:rPr>
          <w:rFonts w:ascii="Times New Roman" w:eastAsia="Times New Roman" w:hAnsi="Times New Roman" w:cs="Times New Roman"/>
          <w:color w:val="000000"/>
        </w:rPr>
        <w:lastRenderedPageBreak/>
        <w:t>1.3 Методы и приемы финансового анализа</w:t>
      </w:r>
      <w:bookmarkEnd w:id="6"/>
    </w:p>
    <w:p w14:paraId="269C2E52" w14:textId="77777777" w:rsidR="006C48AE" w:rsidRDefault="006C48AE">
      <w:pPr>
        <w:spacing w:after="0" w:line="360" w:lineRule="auto"/>
        <w:jc w:val="both"/>
        <w:rPr>
          <w:rFonts w:ascii="Times New Roman" w:eastAsia="Times New Roman" w:hAnsi="Times New Roman" w:cs="Times New Roman"/>
          <w:sz w:val="28"/>
          <w:szCs w:val="28"/>
        </w:rPr>
      </w:pPr>
    </w:p>
    <w:p w14:paraId="50A9D522" w14:textId="77777777" w:rsidR="006C48AE" w:rsidRDefault="004E74F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Полученный при проведении финансового анализа результат является информативным, если была применена правильная методика расчета показателей. Под методикой следует понимать систему приемов и методов, на основании которых проводится анализ. </w:t>
      </w:r>
    </w:p>
    <w:p w14:paraId="1E624EEC"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наиболее распространенных методик проведения финансового анализа выступает методика Шеремета А.Д. Она состоит из семи основных этапов, представленных на рисунке 1.</w:t>
      </w:r>
      <w:r w:rsidR="001D39DA">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3C7A77D8" w14:textId="77777777" w:rsidR="001D39DA" w:rsidRDefault="001D39DA" w:rsidP="001D39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финансового анализа должны позволять сделать вывод об обеспеченности ресурсами предприятия и эффективности их использования. Результаты финансового анализа являются основой для принятия управленческих решений и их обоснования. </w:t>
      </w:r>
    </w:p>
    <w:p w14:paraId="563523A2" w14:textId="77777777" w:rsidR="00444A7B" w:rsidRDefault="00444A7B" w:rsidP="00444A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Методами финансового анализа выступают</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горизонтальный, вертикальный, трендовый, анализ коэффициентов и факторный анализ. Данные методы охарактеризованы на рисунке 1.2.</w:t>
      </w:r>
    </w:p>
    <w:p w14:paraId="41547794" w14:textId="77777777" w:rsidR="001D39DA" w:rsidRDefault="001D39DA">
      <w:pPr>
        <w:spacing w:after="0" w:line="360" w:lineRule="auto"/>
        <w:ind w:firstLine="709"/>
        <w:jc w:val="both"/>
        <w:rPr>
          <w:rFonts w:ascii="Times New Roman" w:eastAsia="Times New Roman" w:hAnsi="Times New Roman" w:cs="Times New Roman"/>
          <w:sz w:val="28"/>
          <w:szCs w:val="28"/>
        </w:rPr>
      </w:pPr>
    </w:p>
    <w:p w14:paraId="607C47FF" w14:textId="2D2F4993" w:rsidR="006C48AE" w:rsidRDefault="006C48AE">
      <w:pPr>
        <w:spacing w:after="0" w:line="360" w:lineRule="auto"/>
        <w:ind w:firstLine="709"/>
        <w:jc w:val="both"/>
        <w:rPr>
          <w:rFonts w:ascii="Times New Roman" w:eastAsia="Times New Roman" w:hAnsi="Times New Roman" w:cs="Times New Roman"/>
          <w:sz w:val="28"/>
          <w:szCs w:val="28"/>
        </w:rPr>
      </w:pPr>
    </w:p>
    <w:p w14:paraId="0A265C21" w14:textId="77777777" w:rsidR="00BD4CC0" w:rsidRDefault="00BD4CC0">
      <w:pPr>
        <w:spacing w:after="0" w:line="360" w:lineRule="auto"/>
        <w:ind w:firstLine="709"/>
        <w:jc w:val="both"/>
        <w:rPr>
          <w:rFonts w:ascii="Times New Roman" w:eastAsia="Times New Roman" w:hAnsi="Times New Roman" w:cs="Times New Roman"/>
          <w:sz w:val="28"/>
          <w:szCs w:val="28"/>
        </w:rPr>
      </w:pPr>
    </w:p>
    <w:p w14:paraId="1AE2FCAC" w14:textId="77777777" w:rsidR="006C48AE" w:rsidRDefault="004E74FC">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14:anchorId="4A55E7C8" wp14:editId="5CA9B986">
            <wp:extent cx="5591175" cy="4867275"/>
            <wp:effectExtent l="0" t="0" r="9525" b="952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37709" cy="4907784"/>
                    </a:xfrm>
                    <a:prstGeom prst="rect">
                      <a:avLst/>
                    </a:prstGeom>
                    <a:ln/>
                  </pic:spPr>
                </pic:pic>
              </a:graphicData>
            </a:graphic>
          </wp:inline>
        </w:drawing>
      </w:r>
    </w:p>
    <w:p w14:paraId="4FA4F07E" w14:textId="77777777" w:rsidR="00444A7B" w:rsidRDefault="00444A7B" w:rsidP="00F93998">
      <w:pPr>
        <w:spacing w:after="0" w:line="360" w:lineRule="auto"/>
        <w:jc w:val="center"/>
        <w:rPr>
          <w:rFonts w:ascii="Times New Roman" w:eastAsia="Times New Roman" w:hAnsi="Times New Roman" w:cs="Times New Roman"/>
          <w:sz w:val="28"/>
          <w:szCs w:val="28"/>
        </w:rPr>
      </w:pPr>
    </w:p>
    <w:p w14:paraId="63DB2F3A" w14:textId="77777777" w:rsidR="006C48AE" w:rsidRDefault="004E74FC" w:rsidP="00F93998">
      <w:pPr>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Рисунок 1.</w:t>
      </w:r>
      <w:r w:rsidR="00EF5C2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Этапы финансового анализа по Шеремету А.Д.</w:t>
      </w:r>
      <w:r>
        <w:rPr>
          <w:rFonts w:ascii="Times New Roman" w:eastAsia="Times New Roman" w:hAnsi="Times New Roman" w:cs="Times New Roman"/>
          <w:color w:val="FF0000"/>
          <w:sz w:val="28"/>
          <w:szCs w:val="28"/>
          <w:vertAlign w:val="superscript"/>
        </w:rPr>
        <w:t xml:space="preserve"> </w:t>
      </w:r>
    </w:p>
    <w:p w14:paraId="6AAF9ECE" w14:textId="77777777" w:rsidR="006C48AE" w:rsidRPr="0039521B" w:rsidRDefault="004E74FC" w:rsidP="00F93998">
      <w:pPr>
        <w:spacing w:after="0" w:line="240" w:lineRule="auto"/>
        <w:jc w:val="center"/>
        <w:rPr>
          <w:rFonts w:ascii="Times New Roman" w:eastAsia="Times New Roman" w:hAnsi="Times New Roman" w:cs="Times New Roman"/>
          <w:sz w:val="24"/>
          <w:szCs w:val="24"/>
        </w:rPr>
      </w:pPr>
      <w:r w:rsidRPr="0039521B">
        <w:rPr>
          <w:rFonts w:ascii="Times New Roman" w:eastAsia="Times New Roman" w:hAnsi="Times New Roman" w:cs="Times New Roman"/>
          <w:sz w:val="24"/>
          <w:szCs w:val="24"/>
        </w:rPr>
        <w:t xml:space="preserve">Источник: </w:t>
      </w:r>
      <w:r w:rsidR="00F93998" w:rsidRPr="0039521B">
        <w:rPr>
          <w:rFonts w:ascii="Times New Roman" w:eastAsia="Times New Roman" w:hAnsi="Times New Roman" w:cs="Times New Roman"/>
          <w:sz w:val="24"/>
          <w:szCs w:val="24"/>
        </w:rPr>
        <w:t>Составлено автором на основе данных источника</w:t>
      </w:r>
      <w:r w:rsidRPr="0039521B">
        <w:rPr>
          <w:rFonts w:ascii="Times New Roman" w:eastAsia="Times New Roman" w:hAnsi="Times New Roman" w:cs="Times New Roman"/>
          <w:sz w:val="24"/>
          <w:szCs w:val="24"/>
          <w:vertAlign w:val="superscript"/>
        </w:rPr>
        <w:footnoteReference w:id="7"/>
      </w:r>
    </w:p>
    <w:p w14:paraId="6E6C43C3" w14:textId="77777777" w:rsidR="006C48AE" w:rsidRDefault="006C48AE">
      <w:pPr>
        <w:spacing w:after="0" w:line="360" w:lineRule="auto"/>
        <w:jc w:val="both"/>
        <w:rPr>
          <w:rFonts w:ascii="Times New Roman" w:eastAsia="Times New Roman" w:hAnsi="Times New Roman" w:cs="Times New Roman"/>
          <w:color w:val="FF0000"/>
          <w:sz w:val="28"/>
          <w:szCs w:val="28"/>
        </w:rPr>
      </w:pPr>
    </w:p>
    <w:p w14:paraId="59981BA8"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3B69F138" w14:textId="77777777" w:rsidR="006C48AE" w:rsidRDefault="004E74FC">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14:anchorId="763F29A9" wp14:editId="702E2C62">
            <wp:extent cx="6200140" cy="731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244437" cy="7367463"/>
                    </a:xfrm>
                    <a:prstGeom prst="rect">
                      <a:avLst/>
                    </a:prstGeom>
                    <a:ln/>
                  </pic:spPr>
                </pic:pic>
              </a:graphicData>
            </a:graphic>
          </wp:inline>
        </w:drawing>
      </w:r>
    </w:p>
    <w:p w14:paraId="6A57CE7A" w14:textId="77777777" w:rsidR="006C48AE" w:rsidRDefault="004E74FC" w:rsidP="00643CAC">
      <w:pPr>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Рисунок 1.</w:t>
      </w:r>
      <w:r w:rsidR="001D39DA">
        <w:rPr>
          <w:rFonts w:ascii="Times New Roman" w:eastAsia="Times New Roman" w:hAnsi="Times New Roman" w:cs="Times New Roman"/>
          <w:sz w:val="28"/>
          <w:szCs w:val="28"/>
        </w:rPr>
        <w:t>2</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Характеристика методов финансового анализа</w:t>
      </w:r>
    </w:p>
    <w:p w14:paraId="4599160E" w14:textId="77777777" w:rsidR="006C48AE" w:rsidRPr="00CE74B7" w:rsidRDefault="004E74FC" w:rsidP="00643CAC">
      <w:pPr>
        <w:spacing w:after="0" w:line="240" w:lineRule="auto"/>
        <w:jc w:val="center"/>
        <w:rPr>
          <w:rFonts w:ascii="Times New Roman" w:eastAsia="Times New Roman" w:hAnsi="Times New Roman" w:cs="Times New Roman"/>
          <w:sz w:val="24"/>
          <w:szCs w:val="24"/>
        </w:rPr>
      </w:pPr>
      <w:proofErr w:type="gramStart"/>
      <w:r w:rsidRPr="00CE74B7">
        <w:rPr>
          <w:rFonts w:ascii="Times New Roman" w:eastAsia="Times New Roman" w:hAnsi="Times New Roman" w:cs="Times New Roman"/>
          <w:sz w:val="24"/>
          <w:szCs w:val="24"/>
        </w:rPr>
        <w:t xml:space="preserve">Источник:  </w:t>
      </w:r>
      <w:r w:rsidR="00643CAC" w:rsidRPr="00CE74B7">
        <w:rPr>
          <w:rFonts w:ascii="Times New Roman" w:eastAsia="Times New Roman" w:hAnsi="Times New Roman" w:cs="Times New Roman"/>
          <w:sz w:val="24"/>
          <w:szCs w:val="24"/>
        </w:rPr>
        <w:t>Составлено</w:t>
      </w:r>
      <w:proofErr w:type="gramEnd"/>
      <w:r w:rsidR="00643CAC" w:rsidRPr="00CE74B7">
        <w:rPr>
          <w:rFonts w:ascii="Times New Roman" w:eastAsia="Times New Roman" w:hAnsi="Times New Roman" w:cs="Times New Roman"/>
          <w:sz w:val="24"/>
          <w:szCs w:val="24"/>
        </w:rPr>
        <w:t xml:space="preserve"> автором по данным источника</w:t>
      </w:r>
      <w:r w:rsidRPr="00CE74B7">
        <w:rPr>
          <w:rFonts w:ascii="Times New Roman" w:eastAsia="Times New Roman" w:hAnsi="Times New Roman" w:cs="Times New Roman"/>
          <w:sz w:val="24"/>
          <w:szCs w:val="24"/>
          <w:vertAlign w:val="superscript"/>
        </w:rPr>
        <w:footnoteReference w:id="8"/>
      </w:r>
    </w:p>
    <w:p w14:paraId="1CEFFAF8"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Проведение финансового анализа предприятия основано на анализе бухгалтерской финансовой отчетности. В целях проведения анализа предприятия зачастую на основании данных бухгалтерской финансовой отчетности проводят экспресс-анализ, который состоит из трех основных этапов: анализ имущественного положения, анализ финансовых результатов, анализ финансового состояния. </w:t>
      </w:r>
    </w:p>
    <w:p w14:paraId="3D7BB471"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Рассмотрим более подробно данную методику. Первый этап связан с формированием наиболее общего представления о произошедших в структуре имущества и источников формирования изменений, а также рассматривается динамика данных изменений.  На данном этапе проводят горизонтальный и вертикальный анализ показателей отчетности. </w:t>
      </w:r>
    </w:p>
    <w:p w14:paraId="4DC61D4E"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этап связан с проведением анализа финансовых результатов, а именно с рассмотрением динамики и структуры показателей отчета о финансовых результат</w:t>
      </w:r>
      <w:r w:rsidR="00643CAC">
        <w:rPr>
          <w:rFonts w:ascii="Times New Roman" w:eastAsia="Times New Roman" w:hAnsi="Times New Roman" w:cs="Times New Roman"/>
          <w:sz w:val="28"/>
          <w:szCs w:val="28"/>
        </w:rPr>
        <w:t>ах</w:t>
      </w:r>
      <w:r w:rsidR="004425DE" w:rsidRPr="004425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также рассмотрением показателей рентабельности. В таблице представлены формулы показателей рентабельности (таблица 1.</w:t>
      </w:r>
      <w:r w:rsidR="004425DE">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445F1366" w14:textId="77777777" w:rsidR="006C48AE" w:rsidRDefault="004E74FC" w:rsidP="00643CAC">
      <w:pPr>
        <w:shd w:val="clear" w:color="auto" w:fill="FFFFFF"/>
        <w:tabs>
          <w:tab w:val="left" w:pos="6521"/>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r w:rsidR="004425D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Расчет показателей рентабельности</w:t>
      </w:r>
    </w:p>
    <w:tbl>
      <w:tblPr>
        <w:tblStyle w:val="a5"/>
        <w:tblW w:w="946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202"/>
      </w:tblGrid>
      <w:tr w:rsidR="006C48AE" w14:paraId="66FFB416" w14:textId="77777777">
        <w:trPr>
          <w:cantSplit/>
          <w:trHeight w:val="317"/>
        </w:trPr>
        <w:tc>
          <w:tcPr>
            <w:tcW w:w="3261" w:type="dxa"/>
            <w:vMerge w:val="restart"/>
            <w:tcBorders>
              <w:top w:val="single" w:sz="4" w:space="0" w:color="000000"/>
              <w:left w:val="single" w:sz="4" w:space="0" w:color="000000"/>
              <w:bottom w:val="single" w:sz="4" w:space="0" w:color="000000"/>
              <w:right w:val="single" w:sz="4" w:space="0" w:color="000000"/>
            </w:tcBorders>
          </w:tcPr>
          <w:p w14:paraId="0E7816A3" w14:textId="77777777" w:rsidR="006C48AE" w:rsidRDefault="004E74FC" w:rsidP="005E57BC">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w:t>
            </w:r>
          </w:p>
        </w:tc>
        <w:tc>
          <w:tcPr>
            <w:tcW w:w="6202" w:type="dxa"/>
            <w:vMerge w:val="restart"/>
            <w:tcBorders>
              <w:top w:val="single" w:sz="4" w:space="0" w:color="000000"/>
              <w:left w:val="single" w:sz="4" w:space="0" w:color="000000"/>
              <w:bottom w:val="single" w:sz="4" w:space="0" w:color="000000"/>
              <w:right w:val="single" w:sz="4" w:space="0" w:color="000000"/>
            </w:tcBorders>
          </w:tcPr>
          <w:p w14:paraId="300911E1" w14:textId="77777777" w:rsidR="006C48AE" w:rsidRDefault="004E74FC" w:rsidP="005E57BC">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w:t>
            </w:r>
          </w:p>
        </w:tc>
      </w:tr>
      <w:tr w:rsidR="006C48AE" w14:paraId="5C4FB82D" w14:textId="77777777">
        <w:trPr>
          <w:trHeight w:val="317"/>
        </w:trPr>
        <w:tc>
          <w:tcPr>
            <w:tcW w:w="3261" w:type="dxa"/>
            <w:vMerge/>
            <w:tcBorders>
              <w:top w:val="single" w:sz="4" w:space="0" w:color="000000"/>
              <w:left w:val="single" w:sz="4" w:space="0" w:color="000000"/>
              <w:bottom w:val="single" w:sz="4" w:space="0" w:color="000000"/>
              <w:right w:val="single" w:sz="4" w:space="0" w:color="000000"/>
            </w:tcBorders>
          </w:tcPr>
          <w:p w14:paraId="7AAC978A" w14:textId="77777777" w:rsidR="006C48AE" w:rsidRDefault="006C48AE" w:rsidP="005E57B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202" w:type="dxa"/>
            <w:vMerge/>
            <w:tcBorders>
              <w:top w:val="single" w:sz="4" w:space="0" w:color="000000"/>
              <w:left w:val="single" w:sz="4" w:space="0" w:color="000000"/>
              <w:bottom w:val="single" w:sz="4" w:space="0" w:color="000000"/>
              <w:right w:val="single" w:sz="4" w:space="0" w:color="000000"/>
            </w:tcBorders>
          </w:tcPr>
          <w:p w14:paraId="4A3E8A62" w14:textId="77777777" w:rsidR="006C48AE" w:rsidRDefault="006C48AE" w:rsidP="005E57B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C48AE" w14:paraId="2C7C1F5B"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795989BC"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1.Рентабельность предприятия </w:t>
            </w:r>
          </w:p>
        </w:tc>
        <w:tc>
          <w:tcPr>
            <w:tcW w:w="6202" w:type="dxa"/>
            <w:tcBorders>
              <w:top w:val="single" w:sz="4" w:space="0" w:color="000000"/>
              <w:left w:val="single" w:sz="4" w:space="0" w:color="000000"/>
              <w:bottom w:val="single" w:sz="4" w:space="0" w:color="000000"/>
              <w:right w:val="single" w:sz="4" w:space="0" w:color="000000"/>
            </w:tcBorders>
          </w:tcPr>
          <w:p w14:paraId="7B05E702"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Рп</w:t>
            </w:r>
            <w:proofErr w:type="spellEnd"/>
            <w:r>
              <w:rPr>
                <w:rFonts w:ascii="Times New Roman" w:eastAsia="Times New Roman" w:hAnsi="Times New Roman" w:cs="Times New Roman"/>
                <w:sz w:val="24"/>
                <w:szCs w:val="24"/>
              </w:rPr>
              <w:t>=Прибыль до налогообложения / стоимость имущества</w:t>
            </w:r>
          </w:p>
        </w:tc>
      </w:tr>
      <w:tr w:rsidR="006C48AE" w14:paraId="35F5EAA2"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30CBA1A1"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2.Рентабельность активов </w:t>
            </w:r>
          </w:p>
        </w:tc>
        <w:tc>
          <w:tcPr>
            <w:tcW w:w="6202" w:type="dxa"/>
            <w:tcBorders>
              <w:top w:val="single" w:sz="4" w:space="0" w:color="000000"/>
              <w:left w:val="single" w:sz="4" w:space="0" w:color="000000"/>
              <w:bottom w:val="single" w:sz="4" w:space="0" w:color="000000"/>
              <w:right w:val="single" w:sz="4" w:space="0" w:color="000000"/>
            </w:tcBorders>
          </w:tcPr>
          <w:p w14:paraId="0F04607A"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Рэ=Чистая прибыль / Активы</w:t>
            </w:r>
          </w:p>
        </w:tc>
      </w:tr>
      <w:tr w:rsidR="006C48AE" w14:paraId="3DDBEEBC"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3637192D"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2.Рентабельность собственного капитала</w:t>
            </w:r>
          </w:p>
        </w:tc>
        <w:tc>
          <w:tcPr>
            <w:tcW w:w="6202" w:type="dxa"/>
            <w:tcBorders>
              <w:top w:val="single" w:sz="4" w:space="0" w:color="000000"/>
              <w:left w:val="single" w:sz="4" w:space="0" w:color="000000"/>
              <w:bottom w:val="single" w:sz="4" w:space="0" w:color="000000"/>
              <w:right w:val="single" w:sz="4" w:space="0" w:color="000000"/>
            </w:tcBorders>
          </w:tcPr>
          <w:p w14:paraId="7ACDA265"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Рск</w:t>
            </w:r>
            <w:proofErr w:type="spellEnd"/>
            <w:r>
              <w:rPr>
                <w:rFonts w:ascii="Times New Roman" w:eastAsia="Times New Roman" w:hAnsi="Times New Roman" w:cs="Times New Roman"/>
                <w:sz w:val="24"/>
                <w:szCs w:val="24"/>
              </w:rPr>
              <w:t>=Чистая прибыль / Собственный капитал</w:t>
            </w:r>
          </w:p>
        </w:tc>
      </w:tr>
      <w:tr w:rsidR="006C48AE" w14:paraId="0300B189"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39626775"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3.Рентабельность продаж</w:t>
            </w:r>
          </w:p>
        </w:tc>
        <w:tc>
          <w:tcPr>
            <w:tcW w:w="6202" w:type="dxa"/>
            <w:tcBorders>
              <w:top w:val="single" w:sz="4" w:space="0" w:color="000000"/>
              <w:left w:val="single" w:sz="4" w:space="0" w:color="000000"/>
              <w:bottom w:val="single" w:sz="4" w:space="0" w:color="000000"/>
              <w:right w:val="single" w:sz="4" w:space="0" w:color="000000"/>
            </w:tcBorders>
          </w:tcPr>
          <w:p w14:paraId="0F27C015"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Рр</w:t>
            </w:r>
            <w:proofErr w:type="spellEnd"/>
            <w:r>
              <w:rPr>
                <w:rFonts w:ascii="Times New Roman" w:eastAsia="Times New Roman" w:hAnsi="Times New Roman" w:cs="Times New Roman"/>
                <w:sz w:val="24"/>
                <w:szCs w:val="24"/>
              </w:rPr>
              <w:t>=Прибыль от продаж /Выручка от реализации</w:t>
            </w:r>
          </w:p>
        </w:tc>
      </w:tr>
      <w:tr w:rsidR="006C48AE" w14:paraId="053C8A3C"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4CA78852"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4.Рентабельность текущих затрат</w:t>
            </w:r>
          </w:p>
        </w:tc>
        <w:tc>
          <w:tcPr>
            <w:tcW w:w="6202" w:type="dxa"/>
            <w:tcBorders>
              <w:top w:val="single" w:sz="4" w:space="0" w:color="000000"/>
              <w:left w:val="single" w:sz="4" w:space="0" w:color="000000"/>
              <w:bottom w:val="single" w:sz="4" w:space="0" w:color="000000"/>
              <w:right w:val="single" w:sz="4" w:space="0" w:color="000000"/>
            </w:tcBorders>
          </w:tcPr>
          <w:p w14:paraId="52258A6E"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Рт</w:t>
            </w:r>
            <w:proofErr w:type="spellEnd"/>
            <w:r>
              <w:rPr>
                <w:rFonts w:ascii="Times New Roman" w:eastAsia="Times New Roman" w:hAnsi="Times New Roman" w:cs="Times New Roman"/>
                <w:sz w:val="24"/>
                <w:szCs w:val="24"/>
              </w:rPr>
              <w:t>/з=Прибыль от продаж/ Себестоимость реализованной продукции</w:t>
            </w:r>
          </w:p>
        </w:tc>
      </w:tr>
      <w:tr w:rsidR="006C48AE" w14:paraId="333FCC90"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7E8FE554"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5.Чистая рентабельность</w:t>
            </w:r>
          </w:p>
        </w:tc>
        <w:tc>
          <w:tcPr>
            <w:tcW w:w="6202" w:type="dxa"/>
            <w:tcBorders>
              <w:top w:val="single" w:sz="4" w:space="0" w:color="000000"/>
              <w:left w:val="single" w:sz="4" w:space="0" w:color="000000"/>
              <w:bottom w:val="single" w:sz="4" w:space="0" w:color="000000"/>
              <w:right w:val="single" w:sz="4" w:space="0" w:color="000000"/>
            </w:tcBorders>
          </w:tcPr>
          <w:p w14:paraId="715DB6EE"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Рч</w:t>
            </w:r>
            <w:proofErr w:type="spellEnd"/>
            <w:r>
              <w:rPr>
                <w:rFonts w:ascii="Times New Roman" w:eastAsia="Times New Roman" w:hAnsi="Times New Roman" w:cs="Times New Roman"/>
                <w:sz w:val="24"/>
                <w:szCs w:val="24"/>
              </w:rPr>
              <w:t xml:space="preserve">=Чистая прибыль / Выручка от реализации </w:t>
            </w:r>
          </w:p>
        </w:tc>
      </w:tr>
      <w:tr w:rsidR="006C48AE" w14:paraId="2115AB5B"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31976CC8"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6.Бухгалтерская рентабельность от обычной деятельности</w:t>
            </w:r>
          </w:p>
        </w:tc>
        <w:tc>
          <w:tcPr>
            <w:tcW w:w="6202" w:type="dxa"/>
            <w:tcBorders>
              <w:top w:val="single" w:sz="4" w:space="0" w:color="000000"/>
              <w:left w:val="single" w:sz="4" w:space="0" w:color="000000"/>
              <w:bottom w:val="single" w:sz="4" w:space="0" w:color="000000"/>
              <w:right w:val="single" w:sz="4" w:space="0" w:color="000000"/>
            </w:tcBorders>
          </w:tcPr>
          <w:p w14:paraId="1934FE8A"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Рб</w:t>
            </w:r>
            <w:proofErr w:type="spellEnd"/>
            <w:r>
              <w:rPr>
                <w:rFonts w:ascii="Times New Roman" w:eastAsia="Times New Roman" w:hAnsi="Times New Roman" w:cs="Times New Roman"/>
                <w:sz w:val="24"/>
                <w:szCs w:val="24"/>
              </w:rPr>
              <w:t>=Прибыль до налогообложения/ Выручка от реализации</w:t>
            </w:r>
          </w:p>
        </w:tc>
      </w:tr>
      <w:tr w:rsidR="006C48AE" w14:paraId="01070BCA" w14:textId="77777777">
        <w:trPr>
          <w:trHeight w:val="20"/>
        </w:trPr>
        <w:tc>
          <w:tcPr>
            <w:tcW w:w="3261" w:type="dxa"/>
            <w:tcBorders>
              <w:top w:val="single" w:sz="4" w:space="0" w:color="000000"/>
              <w:left w:val="single" w:sz="4" w:space="0" w:color="000000"/>
              <w:bottom w:val="single" w:sz="4" w:space="0" w:color="000000"/>
              <w:right w:val="single" w:sz="4" w:space="0" w:color="000000"/>
            </w:tcBorders>
          </w:tcPr>
          <w:p w14:paraId="575B96E0" w14:textId="77777777" w:rsidR="006C48AE" w:rsidRDefault="004E74FC" w:rsidP="005E57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7.Рентабельность перманентного капитала </w:t>
            </w:r>
          </w:p>
        </w:tc>
        <w:tc>
          <w:tcPr>
            <w:tcW w:w="6202" w:type="dxa"/>
            <w:tcBorders>
              <w:top w:val="single" w:sz="4" w:space="0" w:color="000000"/>
              <w:left w:val="single" w:sz="4" w:space="0" w:color="000000"/>
              <w:bottom w:val="single" w:sz="4" w:space="0" w:color="000000"/>
              <w:right w:val="single" w:sz="4" w:space="0" w:color="000000"/>
            </w:tcBorders>
          </w:tcPr>
          <w:p w14:paraId="6FB800E4" w14:textId="77777777" w:rsidR="006C48AE" w:rsidRDefault="004E74FC" w:rsidP="005E57B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Рпк</w:t>
            </w:r>
            <w:proofErr w:type="spellEnd"/>
            <w:r>
              <w:rPr>
                <w:rFonts w:ascii="Times New Roman" w:eastAsia="Times New Roman" w:hAnsi="Times New Roman" w:cs="Times New Roman"/>
                <w:sz w:val="24"/>
                <w:szCs w:val="24"/>
              </w:rPr>
              <w:t>= Чистая прибыль / собственный капитал + долгосрочные обязательства</w:t>
            </w:r>
          </w:p>
        </w:tc>
      </w:tr>
    </w:tbl>
    <w:p w14:paraId="065BF9A9" w14:textId="77777777" w:rsidR="006C48AE" w:rsidRDefault="004E7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Источник: </w:t>
      </w:r>
      <w:r w:rsidR="005E57BC">
        <w:rPr>
          <w:rFonts w:ascii="Times New Roman" w:eastAsia="Times New Roman" w:hAnsi="Times New Roman" w:cs="Times New Roman"/>
          <w:sz w:val="24"/>
          <w:szCs w:val="24"/>
        </w:rPr>
        <w:t>Составлено автором по данным источника</w:t>
      </w:r>
      <w:r>
        <w:rPr>
          <w:rFonts w:ascii="Times New Roman" w:eastAsia="Times New Roman" w:hAnsi="Times New Roman" w:cs="Times New Roman"/>
          <w:sz w:val="24"/>
          <w:szCs w:val="24"/>
          <w:vertAlign w:val="superscript"/>
        </w:rPr>
        <w:footnoteReference w:id="9"/>
      </w:r>
    </w:p>
    <w:p w14:paraId="1185817F" w14:textId="77777777" w:rsidR="006C48AE" w:rsidRDefault="006C48AE">
      <w:pPr>
        <w:spacing w:after="0" w:line="240" w:lineRule="auto"/>
        <w:rPr>
          <w:rFonts w:ascii="Times New Roman" w:eastAsia="Times New Roman" w:hAnsi="Times New Roman" w:cs="Times New Roman"/>
          <w:sz w:val="24"/>
          <w:szCs w:val="24"/>
          <w:vertAlign w:val="superscript"/>
        </w:rPr>
      </w:pPr>
    </w:p>
    <w:p w14:paraId="49C58D7B" w14:textId="77777777" w:rsidR="00643CAC" w:rsidRPr="004425DE" w:rsidRDefault="00643CAC" w:rsidP="00643CAC">
      <w:pPr>
        <w:spacing w:after="0" w:line="360" w:lineRule="auto"/>
        <w:ind w:firstLine="709"/>
        <w:jc w:val="both"/>
        <w:rPr>
          <w:rFonts w:ascii="Times New Roman" w:eastAsia="Times New Roman" w:hAnsi="Times New Roman" w:cs="Times New Roman"/>
          <w:sz w:val="28"/>
          <w:szCs w:val="28"/>
        </w:rPr>
      </w:pPr>
      <w:r w:rsidRPr="004425DE">
        <w:rPr>
          <w:rFonts w:ascii="Times New Roman" w:eastAsia="Times New Roman" w:hAnsi="Times New Roman" w:cs="Times New Roman"/>
          <w:sz w:val="28"/>
          <w:szCs w:val="28"/>
        </w:rPr>
        <w:lastRenderedPageBreak/>
        <w:t>Также на данном этапе можно провести анализ деловой активности предприятий (таблица 1.</w:t>
      </w:r>
      <w:r>
        <w:rPr>
          <w:rFonts w:ascii="Times New Roman" w:eastAsia="Times New Roman" w:hAnsi="Times New Roman" w:cs="Times New Roman"/>
          <w:sz w:val="28"/>
          <w:szCs w:val="28"/>
        </w:rPr>
        <w:t>4</w:t>
      </w:r>
      <w:r w:rsidRPr="004425DE">
        <w:rPr>
          <w:rFonts w:ascii="Times New Roman" w:eastAsia="Times New Roman" w:hAnsi="Times New Roman" w:cs="Times New Roman"/>
          <w:sz w:val="28"/>
          <w:szCs w:val="28"/>
        </w:rPr>
        <w:t>).</w:t>
      </w:r>
    </w:p>
    <w:p w14:paraId="3AD185ED" w14:textId="77777777" w:rsidR="006C48AE" w:rsidRPr="004425DE" w:rsidRDefault="004E74FC" w:rsidP="00FF5EE1">
      <w:pPr>
        <w:shd w:val="clear" w:color="auto" w:fill="FFFFFF"/>
        <w:tabs>
          <w:tab w:val="left" w:pos="6521"/>
        </w:tabs>
        <w:spacing w:after="0"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Таблица 1.</w:t>
      </w:r>
      <w:r w:rsidR="004425DE">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Показатели деловой активности</w:t>
      </w:r>
      <w:r w:rsidR="004425DE">
        <w:rPr>
          <w:rFonts w:ascii="Times New Roman" w:eastAsia="Times New Roman" w:hAnsi="Times New Roman" w:cs="Times New Roman"/>
          <w:sz w:val="28"/>
          <w:szCs w:val="28"/>
        </w:rPr>
        <w:t xml:space="preserve"> </w:t>
      </w:r>
    </w:p>
    <w:tbl>
      <w:tblPr>
        <w:tblStyle w:val="a6"/>
        <w:tblW w:w="9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925"/>
      </w:tblGrid>
      <w:tr w:rsidR="006C48AE" w14:paraId="703C759A" w14:textId="77777777" w:rsidTr="00E7449A">
        <w:trPr>
          <w:cantSplit/>
          <w:trHeight w:val="317"/>
        </w:trPr>
        <w:tc>
          <w:tcPr>
            <w:tcW w:w="4536" w:type="dxa"/>
            <w:vMerge w:val="restart"/>
            <w:tcBorders>
              <w:top w:val="single" w:sz="4" w:space="0" w:color="000000"/>
              <w:left w:val="single" w:sz="4" w:space="0" w:color="000000"/>
              <w:bottom w:val="single" w:sz="4" w:space="0" w:color="000000"/>
              <w:right w:val="single" w:sz="4" w:space="0" w:color="000000"/>
            </w:tcBorders>
            <w:vAlign w:val="center"/>
          </w:tcPr>
          <w:p w14:paraId="130BA3C7" w14:textId="77777777" w:rsidR="006C48AE" w:rsidRDefault="004E74FC" w:rsidP="00E744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w:t>
            </w:r>
          </w:p>
        </w:tc>
        <w:tc>
          <w:tcPr>
            <w:tcW w:w="4925" w:type="dxa"/>
            <w:vMerge w:val="restart"/>
            <w:tcBorders>
              <w:top w:val="single" w:sz="4" w:space="0" w:color="000000"/>
              <w:left w:val="single" w:sz="4" w:space="0" w:color="000000"/>
              <w:bottom w:val="single" w:sz="4" w:space="0" w:color="000000"/>
              <w:right w:val="single" w:sz="4" w:space="0" w:color="000000"/>
            </w:tcBorders>
            <w:vAlign w:val="center"/>
          </w:tcPr>
          <w:p w14:paraId="4096B221" w14:textId="77777777" w:rsidR="006C48AE" w:rsidRDefault="004E74FC" w:rsidP="00E744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w:t>
            </w:r>
          </w:p>
        </w:tc>
      </w:tr>
      <w:tr w:rsidR="006C48AE" w14:paraId="47431801" w14:textId="77777777" w:rsidTr="00E7449A">
        <w:trPr>
          <w:cantSplit/>
          <w:trHeight w:val="317"/>
        </w:trPr>
        <w:tc>
          <w:tcPr>
            <w:tcW w:w="4536" w:type="dxa"/>
            <w:vMerge/>
            <w:tcBorders>
              <w:top w:val="single" w:sz="4" w:space="0" w:color="000000"/>
              <w:left w:val="single" w:sz="4" w:space="0" w:color="000000"/>
              <w:bottom w:val="single" w:sz="4" w:space="0" w:color="000000"/>
              <w:right w:val="single" w:sz="4" w:space="0" w:color="000000"/>
            </w:tcBorders>
            <w:vAlign w:val="center"/>
          </w:tcPr>
          <w:p w14:paraId="5A787813" w14:textId="77777777" w:rsidR="006C48AE" w:rsidRDefault="006C48AE" w:rsidP="00E7449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925" w:type="dxa"/>
            <w:vMerge/>
            <w:tcBorders>
              <w:top w:val="single" w:sz="4" w:space="0" w:color="000000"/>
              <w:left w:val="single" w:sz="4" w:space="0" w:color="000000"/>
              <w:bottom w:val="single" w:sz="4" w:space="0" w:color="000000"/>
              <w:right w:val="single" w:sz="4" w:space="0" w:color="000000"/>
            </w:tcBorders>
            <w:vAlign w:val="center"/>
          </w:tcPr>
          <w:p w14:paraId="5AA356BB" w14:textId="77777777" w:rsidR="006C48AE" w:rsidRDefault="006C48AE" w:rsidP="00E7449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C48AE" w14:paraId="7DFD60DA"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73FCB08F" w14:textId="77777777" w:rsidR="006C48AE" w:rsidRDefault="002543F7"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E74FC">
              <w:rPr>
                <w:rFonts w:ascii="Times New Roman" w:eastAsia="Times New Roman" w:hAnsi="Times New Roman" w:cs="Times New Roman"/>
                <w:sz w:val="24"/>
                <w:szCs w:val="24"/>
              </w:rPr>
              <w:t xml:space="preserve">.Коэф-т оборачиваемости оборотных </w:t>
            </w:r>
            <w:r w:rsidR="00D22A99">
              <w:rPr>
                <w:rFonts w:ascii="Times New Roman" w:eastAsia="Times New Roman" w:hAnsi="Times New Roman" w:cs="Times New Roman"/>
                <w:sz w:val="24"/>
                <w:szCs w:val="24"/>
              </w:rPr>
              <w:t>активов</w:t>
            </w:r>
          </w:p>
        </w:tc>
        <w:tc>
          <w:tcPr>
            <w:tcW w:w="4925" w:type="dxa"/>
            <w:tcBorders>
              <w:top w:val="single" w:sz="4" w:space="0" w:color="000000"/>
              <w:left w:val="single" w:sz="4" w:space="0" w:color="000000"/>
              <w:bottom w:val="single" w:sz="4" w:space="0" w:color="000000"/>
              <w:right w:val="single" w:sz="4" w:space="0" w:color="000000"/>
            </w:tcBorders>
          </w:tcPr>
          <w:p w14:paraId="400E41C1" w14:textId="77777777" w:rsidR="006C48AE" w:rsidRDefault="004E74FC"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Выручка от реализации/ </w:t>
            </w:r>
            <w:r w:rsidR="002543F7">
              <w:rPr>
                <w:rFonts w:ascii="Times New Roman" w:eastAsia="Times New Roman" w:hAnsi="Times New Roman" w:cs="Times New Roman"/>
                <w:sz w:val="24"/>
                <w:szCs w:val="24"/>
              </w:rPr>
              <w:t>Средний остаток оборотных активов</w:t>
            </w:r>
          </w:p>
        </w:tc>
      </w:tr>
      <w:tr w:rsidR="00D22A99" w14:paraId="6437C481"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7C797FEE" w14:textId="77777777" w:rsidR="00D22A99" w:rsidRDefault="00D22A99"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Продолжительность одного оборота в днях</w:t>
            </w:r>
          </w:p>
        </w:tc>
        <w:tc>
          <w:tcPr>
            <w:tcW w:w="4925" w:type="dxa"/>
            <w:tcBorders>
              <w:top w:val="single" w:sz="4" w:space="0" w:color="000000"/>
              <w:left w:val="single" w:sz="4" w:space="0" w:color="000000"/>
              <w:bottom w:val="single" w:sz="4" w:space="0" w:color="000000"/>
              <w:right w:val="single" w:sz="4" w:space="0" w:color="000000"/>
            </w:tcBorders>
          </w:tcPr>
          <w:p w14:paraId="5C2DCDA9" w14:textId="77777777" w:rsidR="00D22A99" w:rsidRDefault="00D22A99"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Длительность периода/Коэффициент оборачиваемости оборотных активов</w:t>
            </w:r>
          </w:p>
        </w:tc>
      </w:tr>
      <w:tr w:rsidR="007B1D8C" w14:paraId="4D04ECB0"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4A7A6939" w14:textId="77777777" w:rsidR="007B1D8C" w:rsidRDefault="007B1D8C"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Коэффициент загрузки оборотных средств</w:t>
            </w:r>
          </w:p>
        </w:tc>
        <w:tc>
          <w:tcPr>
            <w:tcW w:w="4925" w:type="dxa"/>
            <w:tcBorders>
              <w:top w:val="single" w:sz="4" w:space="0" w:color="000000"/>
              <w:left w:val="single" w:sz="4" w:space="0" w:color="000000"/>
              <w:bottom w:val="single" w:sz="4" w:space="0" w:color="000000"/>
              <w:right w:val="single" w:sz="4" w:space="0" w:color="000000"/>
            </w:tcBorders>
          </w:tcPr>
          <w:p w14:paraId="552379CF" w14:textId="77777777" w:rsidR="007B1D8C" w:rsidRDefault="007B1D8C" w:rsidP="00E7449A">
            <w:pPr>
              <w:spacing w:after="0" w:line="240" w:lineRule="auto"/>
              <w:rPr>
                <w:rFonts w:ascii="Times New Roman" w:eastAsia="Times New Roman" w:hAnsi="Times New Roman" w:cs="Times New Roman"/>
                <w:sz w:val="24"/>
                <w:szCs w:val="24"/>
              </w:rPr>
            </w:pPr>
            <w:r w:rsidRPr="007B1D8C">
              <w:rPr>
                <w:rFonts w:ascii="Times New Roman" w:eastAsia="Times New Roman" w:hAnsi="Times New Roman" w:cs="Times New Roman"/>
                <w:sz w:val="24"/>
                <w:szCs w:val="24"/>
              </w:rPr>
              <w:t>Средний остаток оборотных активов</w:t>
            </w:r>
            <w:r>
              <w:rPr>
                <w:rFonts w:ascii="Times New Roman" w:eastAsia="Times New Roman" w:hAnsi="Times New Roman" w:cs="Times New Roman"/>
                <w:sz w:val="24"/>
                <w:szCs w:val="24"/>
              </w:rPr>
              <w:t>/Выручку от реализации</w:t>
            </w:r>
          </w:p>
        </w:tc>
      </w:tr>
      <w:tr w:rsidR="002543F7" w14:paraId="163E4282"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50F90AC1" w14:textId="77777777" w:rsidR="002543F7" w:rsidRPr="00D22A99" w:rsidRDefault="007B1D8C" w:rsidP="00E7449A">
            <w:pPr>
              <w:spacing w:line="240" w:lineRule="auto"/>
              <w:rPr>
                <w:rFonts w:ascii="Times New Roman" w:hAnsi="Times New Roman" w:cs="Times New Roman"/>
                <w:sz w:val="24"/>
                <w:szCs w:val="24"/>
              </w:rPr>
            </w:pPr>
            <w:r>
              <w:rPr>
                <w:rFonts w:ascii="Times New Roman" w:hAnsi="Times New Roman" w:cs="Times New Roman"/>
                <w:sz w:val="24"/>
                <w:szCs w:val="24"/>
              </w:rPr>
              <w:t>4</w:t>
            </w:r>
            <w:r w:rsidR="002543F7" w:rsidRPr="00D22A99">
              <w:rPr>
                <w:rFonts w:ascii="Times New Roman" w:hAnsi="Times New Roman" w:cs="Times New Roman"/>
                <w:sz w:val="24"/>
                <w:szCs w:val="24"/>
              </w:rPr>
              <w:t>.Коэф-т оборачиваемости активов</w:t>
            </w:r>
          </w:p>
        </w:tc>
        <w:tc>
          <w:tcPr>
            <w:tcW w:w="4925" w:type="dxa"/>
            <w:tcBorders>
              <w:top w:val="single" w:sz="4" w:space="0" w:color="000000"/>
              <w:left w:val="single" w:sz="4" w:space="0" w:color="000000"/>
              <w:bottom w:val="single" w:sz="4" w:space="0" w:color="000000"/>
              <w:right w:val="single" w:sz="4" w:space="0" w:color="000000"/>
            </w:tcBorders>
          </w:tcPr>
          <w:p w14:paraId="7D1E80C0" w14:textId="77777777" w:rsidR="002543F7" w:rsidRPr="00D22A99" w:rsidRDefault="002543F7" w:rsidP="00E7449A">
            <w:pPr>
              <w:spacing w:line="240" w:lineRule="auto"/>
              <w:rPr>
                <w:rFonts w:ascii="Times New Roman" w:hAnsi="Times New Roman" w:cs="Times New Roman"/>
                <w:sz w:val="24"/>
                <w:szCs w:val="24"/>
              </w:rPr>
            </w:pPr>
            <w:r w:rsidRPr="00D22A99">
              <w:rPr>
                <w:rFonts w:ascii="Times New Roman" w:hAnsi="Times New Roman" w:cs="Times New Roman"/>
                <w:sz w:val="24"/>
                <w:szCs w:val="24"/>
              </w:rPr>
              <w:t>Выручка от реализации/</w:t>
            </w:r>
            <w:r w:rsidR="007B1D8C">
              <w:rPr>
                <w:rFonts w:ascii="Times New Roman" w:hAnsi="Times New Roman" w:cs="Times New Roman"/>
                <w:sz w:val="24"/>
                <w:szCs w:val="24"/>
              </w:rPr>
              <w:t>Валюта баланса</w:t>
            </w:r>
          </w:p>
        </w:tc>
      </w:tr>
      <w:tr w:rsidR="002543F7" w14:paraId="5AB739EE"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6D8A3955" w14:textId="77777777" w:rsidR="002543F7" w:rsidRPr="00D22A99" w:rsidRDefault="007B1D8C" w:rsidP="00E7449A">
            <w:pPr>
              <w:spacing w:line="240" w:lineRule="auto"/>
              <w:rPr>
                <w:rFonts w:ascii="Times New Roman" w:hAnsi="Times New Roman" w:cs="Times New Roman"/>
                <w:sz w:val="24"/>
                <w:szCs w:val="24"/>
              </w:rPr>
            </w:pPr>
            <w:r>
              <w:rPr>
                <w:rFonts w:ascii="Times New Roman" w:hAnsi="Times New Roman" w:cs="Times New Roman"/>
                <w:sz w:val="24"/>
                <w:szCs w:val="24"/>
              </w:rPr>
              <w:t>5</w:t>
            </w:r>
            <w:r w:rsidR="002543F7" w:rsidRPr="00D22A99">
              <w:rPr>
                <w:rFonts w:ascii="Times New Roman" w:hAnsi="Times New Roman" w:cs="Times New Roman"/>
                <w:sz w:val="24"/>
                <w:szCs w:val="24"/>
              </w:rPr>
              <w:t>.Коэф-т отдачи собственного капитала</w:t>
            </w:r>
          </w:p>
        </w:tc>
        <w:tc>
          <w:tcPr>
            <w:tcW w:w="4925" w:type="dxa"/>
            <w:tcBorders>
              <w:top w:val="single" w:sz="4" w:space="0" w:color="000000"/>
              <w:left w:val="single" w:sz="4" w:space="0" w:color="000000"/>
              <w:bottom w:val="single" w:sz="4" w:space="0" w:color="000000"/>
              <w:right w:val="single" w:sz="4" w:space="0" w:color="000000"/>
            </w:tcBorders>
          </w:tcPr>
          <w:p w14:paraId="6AC6765A" w14:textId="77777777" w:rsidR="002543F7" w:rsidRPr="00D22A99" w:rsidRDefault="002543F7" w:rsidP="00E7449A">
            <w:pPr>
              <w:spacing w:line="240" w:lineRule="auto"/>
              <w:rPr>
                <w:rFonts w:ascii="Times New Roman" w:hAnsi="Times New Roman" w:cs="Times New Roman"/>
                <w:sz w:val="24"/>
                <w:szCs w:val="24"/>
              </w:rPr>
            </w:pPr>
            <w:r w:rsidRPr="00D22A99">
              <w:rPr>
                <w:rFonts w:ascii="Times New Roman" w:hAnsi="Times New Roman" w:cs="Times New Roman"/>
                <w:sz w:val="24"/>
                <w:szCs w:val="24"/>
              </w:rPr>
              <w:t>Выручка от реализации/     стоимость собственного капитала</w:t>
            </w:r>
          </w:p>
        </w:tc>
      </w:tr>
      <w:tr w:rsidR="006C48AE" w14:paraId="517442C4"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42363434" w14:textId="77777777" w:rsidR="006C48AE" w:rsidRDefault="007B1D8C"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E74FC">
              <w:rPr>
                <w:rFonts w:ascii="Times New Roman" w:eastAsia="Times New Roman" w:hAnsi="Times New Roman" w:cs="Times New Roman"/>
                <w:sz w:val="24"/>
                <w:szCs w:val="24"/>
              </w:rPr>
              <w:t>.Оборачиваемость дебиторской задолженности в днях</w:t>
            </w:r>
          </w:p>
        </w:tc>
        <w:tc>
          <w:tcPr>
            <w:tcW w:w="4925" w:type="dxa"/>
            <w:tcBorders>
              <w:top w:val="single" w:sz="4" w:space="0" w:color="000000"/>
              <w:left w:val="single" w:sz="4" w:space="0" w:color="000000"/>
              <w:bottom w:val="single" w:sz="4" w:space="0" w:color="000000"/>
              <w:right w:val="single" w:sz="4" w:space="0" w:color="000000"/>
            </w:tcBorders>
          </w:tcPr>
          <w:p w14:paraId="347D9971" w14:textId="77777777" w:rsidR="006C48AE" w:rsidRDefault="004E74FC" w:rsidP="00E7449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/з=360*Дебиторская задолженность/ Выручка от реализации</w:t>
            </w:r>
          </w:p>
        </w:tc>
      </w:tr>
      <w:tr w:rsidR="006C48AE" w14:paraId="3FCFC7BA"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74323450" w14:textId="77777777" w:rsidR="006C48AE" w:rsidRDefault="007B1D8C"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E74FC">
              <w:rPr>
                <w:rFonts w:ascii="Times New Roman" w:eastAsia="Times New Roman" w:hAnsi="Times New Roman" w:cs="Times New Roman"/>
                <w:sz w:val="24"/>
                <w:szCs w:val="24"/>
              </w:rPr>
              <w:t>.Оборачиваемость кредиторской задолженности в днях</w:t>
            </w:r>
          </w:p>
        </w:tc>
        <w:tc>
          <w:tcPr>
            <w:tcW w:w="4925" w:type="dxa"/>
            <w:tcBorders>
              <w:top w:val="single" w:sz="4" w:space="0" w:color="000000"/>
              <w:left w:val="single" w:sz="4" w:space="0" w:color="000000"/>
              <w:bottom w:val="single" w:sz="4" w:space="0" w:color="000000"/>
              <w:right w:val="single" w:sz="4" w:space="0" w:color="000000"/>
            </w:tcBorders>
          </w:tcPr>
          <w:p w14:paraId="450DDC78" w14:textId="77777777" w:rsidR="006C48AE" w:rsidRDefault="004E74FC" w:rsidP="00E7449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Тк</w:t>
            </w:r>
            <w:proofErr w:type="spellEnd"/>
            <w:r>
              <w:rPr>
                <w:rFonts w:ascii="Times New Roman" w:eastAsia="Times New Roman" w:hAnsi="Times New Roman" w:cs="Times New Roman"/>
                <w:sz w:val="24"/>
                <w:szCs w:val="24"/>
              </w:rPr>
              <w:t>/з=360*Кредиторская задолженность/ Себестоимость реализованной продукции</w:t>
            </w:r>
          </w:p>
        </w:tc>
      </w:tr>
      <w:tr w:rsidR="006C48AE" w14:paraId="1BE20BCE" w14:textId="77777777" w:rsidTr="00E7449A">
        <w:trPr>
          <w:trHeight w:val="20"/>
        </w:trPr>
        <w:tc>
          <w:tcPr>
            <w:tcW w:w="4536" w:type="dxa"/>
            <w:tcBorders>
              <w:top w:val="single" w:sz="4" w:space="0" w:color="000000"/>
              <w:left w:val="single" w:sz="4" w:space="0" w:color="000000"/>
              <w:bottom w:val="single" w:sz="4" w:space="0" w:color="000000"/>
              <w:right w:val="single" w:sz="4" w:space="0" w:color="000000"/>
            </w:tcBorders>
          </w:tcPr>
          <w:p w14:paraId="212E0623" w14:textId="77777777" w:rsidR="006C48AE" w:rsidRDefault="00102D1D"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Коэффициент оборачиваемости запасов</w:t>
            </w:r>
          </w:p>
        </w:tc>
        <w:tc>
          <w:tcPr>
            <w:tcW w:w="4925" w:type="dxa"/>
            <w:tcBorders>
              <w:top w:val="single" w:sz="4" w:space="0" w:color="000000"/>
              <w:left w:val="single" w:sz="4" w:space="0" w:color="000000"/>
              <w:bottom w:val="single" w:sz="4" w:space="0" w:color="000000"/>
              <w:right w:val="single" w:sz="4" w:space="0" w:color="000000"/>
            </w:tcBorders>
          </w:tcPr>
          <w:p w14:paraId="7DAE1ED7" w14:textId="77777777" w:rsidR="006C48AE" w:rsidRDefault="00102D1D" w:rsidP="00E74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Выручка от реализации продукции/среднегодовое значение производственных запасов </w:t>
            </w:r>
          </w:p>
        </w:tc>
      </w:tr>
    </w:tbl>
    <w:p w14:paraId="49EB8E50" w14:textId="77777777" w:rsidR="006C48AE" w:rsidRPr="006B08DF" w:rsidRDefault="004E74FC">
      <w:pPr>
        <w:spacing w:after="0" w:line="240" w:lineRule="auto"/>
        <w:rPr>
          <w:rFonts w:ascii="Times New Roman" w:eastAsia="Times New Roman" w:hAnsi="Times New Roman" w:cs="Times New Roman"/>
          <w:b/>
          <w:sz w:val="24"/>
          <w:szCs w:val="24"/>
          <w:vertAlign w:val="superscript"/>
        </w:rPr>
      </w:pPr>
      <w:r w:rsidRPr="006B08DF">
        <w:rPr>
          <w:rFonts w:ascii="Times New Roman" w:eastAsia="Times New Roman" w:hAnsi="Times New Roman" w:cs="Times New Roman"/>
          <w:sz w:val="24"/>
          <w:szCs w:val="24"/>
        </w:rPr>
        <w:t>Источник:</w:t>
      </w:r>
      <w:r w:rsidR="007B1D8C" w:rsidRPr="006B08DF">
        <w:rPr>
          <w:rFonts w:ascii="Times New Roman" w:eastAsia="Times New Roman" w:hAnsi="Times New Roman" w:cs="Times New Roman"/>
          <w:sz w:val="24"/>
          <w:szCs w:val="24"/>
        </w:rPr>
        <w:t xml:space="preserve"> Составлено автором по данным источника</w:t>
      </w:r>
      <w:r w:rsidRPr="006B08DF">
        <w:rPr>
          <w:rFonts w:ascii="Times New Roman" w:eastAsia="Times New Roman" w:hAnsi="Times New Roman" w:cs="Times New Roman"/>
          <w:b/>
          <w:sz w:val="24"/>
          <w:szCs w:val="24"/>
          <w:vertAlign w:val="superscript"/>
        </w:rPr>
        <w:footnoteReference w:id="10"/>
      </w:r>
    </w:p>
    <w:p w14:paraId="6CBF80E8" w14:textId="77777777" w:rsidR="00122A25" w:rsidRDefault="007C3F16" w:rsidP="00BE5E1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для анализа оборачиваемости используют показатели оборачиваемости и показатели управления активами. </w:t>
      </w:r>
      <w:r w:rsidR="006C1B00">
        <w:rPr>
          <w:rFonts w:ascii="Times New Roman" w:eastAsia="Times New Roman" w:hAnsi="Times New Roman" w:cs="Times New Roman"/>
          <w:sz w:val="28"/>
          <w:szCs w:val="28"/>
        </w:rPr>
        <w:t xml:space="preserve">Оценка деловой активности позволяет проанализировать результаты текущей деятельности предприятия и оценить влияние данных результатов на финансовое состояние предприятия. </w:t>
      </w:r>
    </w:p>
    <w:p w14:paraId="09C12910" w14:textId="77777777" w:rsidR="00BE5E19" w:rsidRPr="00BE5E19" w:rsidRDefault="00BE5E19" w:rsidP="00BE5E19">
      <w:pPr>
        <w:spacing w:after="0" w:line="360" w:lineRule="auto"/>
        <w:ind w:firstLine="709"/>
        <w:jc w:val="both"/>
        <w:rPr>
          <w:rFonts w:ascii="Times New Roman" w:eastAsia="Times New Roman" w:hAnsi="Times New Roman" w:cs="Times New Roman"/>
          <w:sz w:val="28"/>
          <w:szCs w:val="28"/>
        </w:rPr>
      </w:pPr>
      <w:r w:rsidRPr="00BE5E19">
        <w:rPr>
          <w:rFonts w:ascii="Times New Roman" w:eastAsia="Times New Roman" w:hAnsi="Times New Roman" w:cs="Times New Roman"/>
          <w:sz w:val="28"/>
          <w:szCs w:val="28"/>
        </w:rPr>
        <w:t>Третий этап связан с проведением анализа финансового состояния по показателям ликвидности, платежеспособности, финансовой устойчивости</w:t>
      </w:r>
      <w:r w:rsidRPr="00BE5E19">
        <w:rPr>
          <w:rFonts w:ascii="Times New Roman" w:eastAsia="Times New Roman" w:hAnsi="Times New Roman" w:cs="Times New Roman"/>
          <w:sz w:val="28"/>
          <w:szCs w:val="28"/>
          <w:vertAlign w:val="superscript"/>
        </w:rPr>
        <w:footnoteReference w:id="11"/>
      </w:r>
      <w:r w:rsidRPr="00BE5E19">
        <w:rPr>
          <w:rFonts w:ascii="Times New Roman" w:eastAsia="Times New Roman" w:hAnsi="Times New Roman" w:cs="Times New Roman"/>
          <w:sz w:val="28"/>
          <w:szCs w:val="28"/>
        </w:rPr>
        <w:t xml:space="preserve">. </w:t>
      </w:r>
    </w:p>
    <w:p w14:paraId="52510A20" w14:textId="77777777" w:rsidR="00BE5E19" w:rsidRPr="00BE5E19" w:rsidRDefault="00BE5E19" w:rsidP="00BE5E19">
      <w:pPr>
        <w:spacing w:after="0" w:line="360" w:lineRule="auto"/>
        <w:ind w:firstLine="709"/>
        <w:jc w:val="both"/>
        <w:rPr>
          <w:rFonts w:ascii="Times New Roman" w:eastAsia="Times New Roman" w:hAnsi="Times New Roman" w:cs="Times New Roman"/>
          <w:sz w:val="28"/>
          <w:szCs w:val="28"/>
        </w:rPr>
      </w:pPr>
      <w:r w:rsidRPr="00BE5E19">
        <w:rPr>
          <w:rFonts w:ascii="Times New Roman" w:eastAsia="Times New Roman" w:hAnsi="Times New Roman" w:cs="Times New Roman"/>
          <w:sz w:val="28"/>
          <w:szCs w:val="28"/>
        </w:rPr>
        <w:t xml:space="preserve">Данный этап связан с формированием аналитического баланса, на основании которого определяют структуру имущества предприятия, изменения показателей в динамике. </w:t>
      </w:r>
    </w:p>
    <w:p w14:paraId="09FE5A20" w14:textId="77777777" w:rsidR="004425DE" w:rsidRPr="004425DE" w:rsidRDefault="004425DE" w:rsidP="004425DE">
      <w:pPr>
        <w:spacing w:after="0" w:line="360" w:lineRule="auto"/>
        <w:ind w:firstLine="709"/>
        <w:jc w:val="both"/>
        <w:rPr>
          <w:rFonts w:ascii="Times New Roman" w:eastAsia="Times New Roman" w:hAnsi="Times New Roman" w:cs="Times New Roman"/>
          <w:sz w:val="28"/>
          <w:szCs w:val="28"/>
        </w:rPr>
      </w:pPr>
      <w:r w:rsidRPr="004425DE">
        <w:rPr>
          <w:rFonts w:ascii="Times New Roman" w:eastAsia="Times New Roman" w:hAnsi="Times New Roman" w:cs="Times New Roman"/>
          <w:sz w:val="28"/>
          <w:szCs w:val="28"/>
        </w:rPr>
        <w:lastRenderedPageBreak/>
        <w:t>Финансовое положение предприятия характеризуется показателями платежеспособности и ликвидности, которые позволяют сделать вывод о наличии у предприятия средств для ведения расчетов и деятельности в целом.  Платежеспособность рассматривается на основании показателей, представленных в Приложении В.</w:t>
      </w:r>
    </w:p>
    <w:p w14:paraId="7DD431B2"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ликвидность и платежеспособность являются разными по смыслу значениями. Коэффициенты платежеспособности могут дать ошибочные результаты, если наибольшую структуру в балансе занимают неликвидные активы или же просроченная дебиторская задолженность. Все это можно выявить при проведении анализа ликвидности баланса. </w:t>
      </w:r>
    </w:p>
    <w:p w14:paraId="50838315"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финансовой устойчивости позволяет провести более детальный анализ. При помощи данного анализа оценивается структура капитала предприятия и его возможность ведения деятельности за счет собственных средств. Наиболее простым видом анализа финансовой устойчивости выступает анализ абсолютных показателей финансовой устойчивости, на основании которого определяют ее тип. При этом также используют относительные показатели, которые представлены в Приложении Г</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w:t>
      </w:r>
    </w:p>
    <w:p w14:paraId="60489B90" w14:textId="77777777" w:rsidR="006C48AE" w:rsidRDefault="00E7073F">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Таким образом, на основе информации рассмотренной в данной главе можно сделать вывод о том, что финансовый анализ является неотъемлемой частью оценки текущей деятельности компании. При этом, </w:t>
      </w:r>
      <w:r w:rsidR="004E74FC">
        <w:rPr>
          <w:rFonts w:ascii="Times New Roman" w:eastAsia="Times New Roman" w:hAnsi="Times New Roman" w:cs="Times New Roman"/>
          <w:sz w:val="28"/>
          <w:szCs w:val="28"/>
        </w:rPr>
        <w:t xml:space="preserve">на сегодняшний день существует множество способов и методов проведения финансового анализа </w:t>
      </w:r>
      <w:r>
        <w:rPr>
          <w:rFonts w:ascii="Times New Roman" w:eastAsia="Times New Roman" w:hAnsi="Times New Roman" w:cs="Times New Roman"/>
          <w:sz w:val="28"/>
          <w:szCs w:val="28"/>
        </w:rPr>
        <w:t>компании</w:t>
      </w:r>
      <w:r w:rsidR="004E74FC">
        <w:rPr>
          <w:rFonts w:ascii="Times New Roman" w:eastAsia="Times New Roman" w:hAnsi="Times New Roman" w:cs="Times New Roman"/>
          <w:sz w:val="28"/>
          <w:szCs w:val="28"/>
        </w:rPr>
        <w:t>. При этом каждая методика нацелена на выявление резервов улучшения деятельности и формировании информации о имеющихся в деятельности недостатках.</w:t>
      </w:r>
      <w:r>
        <w:rPr>
          <w:rFonts w:ascii="Times New Roman" w:eastAsia="Times New Roman" w:hAnsi="Times New Roman" w:cs="Times New Roman"/>
          <w:sz w:val="28"/>
          <w:szCs w:val="28"/>
        </w:rPr>
        <w:t xml:space="preserve"> </w:t>
      </w:r>
      <w:r w:rsidR="004E74FC">
        <w:rPr>
          <w:rFonts w:ascii="Times New Roman" w:eastAsia="Times New Roman" w:hAnsi="Times New Roman" w:cs="Times New Roman"/>
          <w:sz w:val="28"/>
          <w:szCs w:val="28"/>
        </w:rPr>
        <w:t xml:space="preserve"> </w:t>
      </w:r>
    </w:p>
    <w:p w14:paraId="5C84C278" w14:textId="77777777" w:rsidR="006C48AE" w:rsidRDefault="004E74FC">
      <w:pPr>
        <w:spacing w:after="0" w:line="360" w:lineRule="auto"/>
        <w:ind w:firstLine="709"/>
        <w:jc w:val="both"/>
        <w:rPr>
          <w:rFonts w:ascii="Times New Roman" w:eastAsia="Times New Roman" w:hAnsi="Times New Roman" w:cs="Times New Roman"/>
          <w:b/>
          <w:sz w:val="28"/>
          <w:szCs w:val="28"/>
        </w:rPr>
      </w:pPr>
      <w:r>
        <w:br w:type="page"/>
      </w:r>
    </w:p>
    <w:p w14:paraId="6C2569A8" w14:textId="43EBB5AE" w:rsidR="006C48AE" w:rsidRDefault="00E02FDF" w:rsidP="0092017A">
      <w:pPr>
        <w:tabs>
          <w:tab w:val="right" w:pos="9214"/>
        </w:tabs>
        <w:spacing w:after="0" w:line="360" w:lineRule="auto"/>
        <w:ind w:right="851"/>
        <w:jc w:val="center"/>
        <w:rPr>
          <w:rFonts w:ascii="Times New Roman" w:eastAsia="Times New Roman" w:hAnsi="Times New Roman" w:cs="Times New Roman"/>
          <w:b/>
          <w:color w:val="000000"/>
        </w:rPr>
      </w:pPr>
      <w:hyperlink r:id="rId10" w:anchor="heading=h.advddkzap44">
        <w:r w:rsidR="004E74FC">
          <w:rPr>
            <w:rFonts w:ascii="Times New Roman" w:eastAsia="Times New Roman" w:hAnsi="Times New Roman" w:cs="Times New Roman"/>
            <w:b/>
            <w:sz w:val="28"/>
            <w:szCs w:val="28"/>
          </w:rPr>
          <w:t xml:space="preserve">ГЛАВА 2. ФИНАНСОВЫЙ АНАЛИЗ ПАО </w:t>
        </w:r>
      </w:hyperlink>
      <w:hyperlink w:anchor="_1t3h5sf">
        <w:r w:rsidR="004E74FC">
          <w:rPr>
            <w:rFonts w:ascii="Times New Roman" w:eastAsia="Times New Roman" w:hAnsi="Times New Roman" w:cs="Times New Roman"/>
            <w:b/>
            <w:sz w:val="28"/>
            <w:szCs w:val="28"/>
          </w:rPr>
          <w:t>«</w:t>
        </w:r>
      </w:hyperlink>
      <w:hyperlink r:id="rId11" w:anchor="heading=h.advddkzap44">
        <w:r w:rsidR="004E74FC">
          <w:rPr>
            <w:rFonts w:ascii="Times New Roman" w:eastAsia="Times New Roman" w:hAnsi="Times New Roman" w:cs="Times New Roman"/>
            <w:b/>
            <w:sz w:val="28"/>
            <w:szCs w:val="28"/>
          </w:rPr>
          <w:t>ГАЗПРОМ</w:t>
        </w:r>
      </w:hyperlink>
      <w:hyperlink w:anchor="_1t3h5sf">
        <w:r w:rsidR="004E74FC">
          <w:rPr>
            <w:rFonts w:ascii="Times New Roman" w:eastAsia="Times New Roman" w:hAnsi="Times New Roman" w:cs="Times New Roman"/>
            <w:b/>
            <w:sz w:val="28"/>
            <w:szCs w:val="28"/>
          </w:rPr>
          <w:t>»</w:t>
        </w:r>
      </w:hyperlink>
    </w:p>
    <w:p w14:paraId="725339BB" w14:textId="44A5A61C" w:rsidR="006C48AE" w:rsidRDefault="004E74FC" w:rsidP="0092017A">
      <w:pPr>
        <w:pStyle w:val="1"/>
        <w:tabs>
          <w:tab w:val="right" w:pos="9214"/>
        </w:tabs>
        <w:spacing w:line="360" w:lineRule="auto"/>
        <w:ind w:right="851"/>
        <w:jc w:val="center"/>
        <w:rPr>
          <w:rFonts w:ascii="Times New Roman" w:eastAsia="Times New Roman" w:hAnsi="Times New Roman" w:cs="Times New Roman"/>
          <w:color w:val="000000"/>
        </w:rPr>
      </w:pPr>
      <w:bookmarkStart w:id="8" w:name="_Toc121342661"/>
      <w:r>
        <w:rPr>
          <w:rFonts w:ascii="Times New Roman" w:eastAsia="Times New Roman" w:hAnsi="Times New Roman" w:cs="Times New Roman"/>
          <w:color w:val="000000"/>
        </w:rPr>
        <w:t>2.1 Горизонтальный анализ компании</w:t>
      </w:r>
      <w:bookmarkEnd w:id="8"/>
    </w:p>
    <w:p w14:paraId="7DDAA3C1" w14:textId="77777777" w:rsidR="006C48AE" w:rsidRDefault="006C48AE">
      <w:pPr>
        <w:shd w:val="clear" w:color="auto" w:fill="FFFFFF"/>
        <w:spacing w:after="0" w:line="360" w:lineRule="auto"/>
        <w:ind w:firstLine="709"/>
        <w:jc w:val="both"/>
        <w:rPr>
          <w:rFonts w:ascii="Times New Roman" w:eastAsia="Times New Roman" w:hAnsi="Times New Roman" w:cs="Times New Roman"/>
          <w:sz w:val="28"/>
          <w:szCs w:val="28"/>
        </w:rPr>
      </w:pPr>
    </w:p>
    <w:p w14:paraId="47C927D0" w14:textId="77777777" w:rsidR="006C48AE" w:rsidRDefault="004E74F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Бухгалтерский баланс характеризует имущественное и финансовое положение </w:t>
      </w:r>
      <w:r w:rsidR="002B6196">
        <w:rPr>
          <w:rFonts w:ascii="Times New Roman" w:eastAsia="Times New Roman" w:hAnsi="Times New Roman" w:cs="Times New Roman"/>
          <w:sz w:val="28"/>
          <w:szCs w:val="28"/>
        </w:rPr>
        <w:t>компании</w:t>
      </w:r>
      <w:r>
        <w:rPr>
          <w:rFonts w:ascii="Times New Roman" w:eastAsia="Times New Roman" w:hAnsi="Times New Roman" w:cs="Times New Roman"/>
          <w:sz w:val="28"/>
          <w:szCs w:val="28"/>
        </w:rPr>
        <w:t xml:space="preserve"> (Приложение А). Проведем анализ динамики бухгалтерского баланса ПАО «Газпром» (Приложение Д).</w:t>
      </w:r>
    </w:p>
    <w:p w14:paraId="0B09246B"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Проведя анализ баланса, можно сказать, что в структуре активов наибольшую долю занимают внеоборотные активы, а именно основные средства, что объясняется спецификой нефтяной отрасли, и финансовые вложения. Среди оборотных активов наибольшую долю занимает дебиторская задолженность, и примерно по 3-3,5 % приходится на запасы и денежные средства. </w:t>
      </w:r>
    </w:p>
    <w:p w14:paraId="78C6C5C7"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период 2021-2019 гг. наблюдается следующая динамика: во внеоборотных активах происходит снижение доли основных средств, что объясняется переводом части оборудования на консервацию и его дальнейшим списанием, а также произошла частичная ликвидация некоторых объектов системы магистральных трубопроводов и скважин, что привело к уменьшению стоимости основных средств в балансе. При этом наблюдается рост долгосрочных финансовых вложений за счет увеличения размера инвестиций в дочерние и зависимые общества. </w:t>
      </w:r>
    </w:p>
    <w:p w14:paraId="7C9E6A3C"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структуре оборотных активов наблюдается тенденция увеличение величины денежных средств и денежных эквивалентов с одновременным увеличением краткосрочных финансовых ресурсов, что говорит об эффективном использовании денежных средств. Компания размещает свободные денежные средства в краткосрочных депозитах и предоставлении краткосрочных займов другим организациям. </w:t>
      </w:r>
      <w:r w:rsidR="000F137B">
        <w:rPr>
          <w:rFonts w:ascii="Times New Roman" w:eastAsia="Times New Roman" w:hAnsi="Times New Roman" w:cs="Times New Roman"/>
          <w:sz w:val="28"/>
          <w:szCs w:val="28"/>
        </w:rPr>
        <w:t xml:space="preserve">Увеличение денежных средств свидетельствует о повышении уровня ликвидности компании и является положительным моментом в работе </w:t>
      </w:r>
      <w:r w:rsidR="000F137B" w:rsidRPr="000F137B">
        <w:rPr>
          <w:rFonts w:ascii="Times New Roman" w:eastAsia="Times New Roman" w:hAnsi="Times New Roman" w:cs="Times New Roman"/>
          <w:sz w:val="28"/>
          <w:szCs w:val="28"/>
        </w:rPr>
        <w:t>ПАО «Газпром»</w:t>
      </w:r>
      <w:r w:rsidR="002F4867">
        <w:rPr>
          <w:rFonts w:ascii="Times New Roman" w:eastAsia="Times New Roman" w:hAnsi="Times New Roman" w:cs="Times New Roman"/>
          <w:sz w:val="28"/>
          <w:szCs w:val="28"/>
        </w:rPr>
        <w:t>.</w:t>
      </w:r>
    </w:p>
    <w:p w14:paraId="645E853E"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Что касается дебиторской задолженности, то в 2020 году произошло ее увеличение, обусловленное ростом дебиторской задолженности покупателей и заказчиков,  в 2021 году величина дебиторской задолженности</w:t>
      </w:r>
      <w:r w:rsidR="002F4867">
        <w:rPr>
          <w:rFonts w:ascii="Times New Roman" w:eastAsia="Times New Roman" w:hAnsi="Times New Roman" w:cs="Times New Roman"/>
          <w:sz w:val="28"/>
          <w:szCs w:val="28"/>
        </w:rPr>
        <w:t xml:space="preserve"> также растет, что является отрицательным моментом в работе компании, так свидетельствует об отвлечении денежных средств из оборота и привлечении дополнительных средств для обеспечения текущей деятельности.  </w:t>
      </w:r>
    </w:p>
    <w:p w14:paraId="192A88B2"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динамику состава показателей отчета о финансовых результатах (Приложение Е) на основе отчета о финансовых результатах ПАО «Газпром» за 2021 г (Приложение Б)</w:t>
      </w:r>
      <w:r>
        <w:rPr>
          <w:rFonts w:ascii="Times New Roman" w:eastAsia="Times New Roman" w:hAnsi="Times New Roman" w:cs="Times New Roman"/>
          <w:b/>
          <w:sz w:val="28"/>
          <w:szCs w:val="28"/>
        </w:rPr>
        <w:t>.</w:t>
      </w:r>
    </w:p>
    <w:p w14:paraId="0FCAE118"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за 2019-2021 гг. компания показывает высокие финансовые результаты деятельности. Прибыль от продаж в 2021 г. практически в 3 раза превышает аналогичное значение 2019 г. Данный рост обусловлен превышением темпов роста выручки над темпами роста себестоимости. Увеличение выручки от продаж в основном вызвано ростом продаж газа, продуктов нефтегазопереработки, сырой нефти и газового конденсата. Изменение обусловлено увеличением средних цен (включая акциз и таможенные пошлины), выраженных в рублях и увеличением объемов продаж газа в натуральном выражении.</w:t>
      </w:r>
    </w:p>
    <w:p w14:paraId="752A13AE"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Прибыль до налогообложения в 2020 году сильно снизилась по отношению к 2019 году за счет высоких прочих расходов компании, связанными прежде всего с убытками по курсовым разницам по операциям в иностранной валюте, высокими платежами по штрафам, пеням, неустойкам за нарушение условий договоров других компаний. Однако уже в 2021 году компании удалось нарастить прибыль до налогообложения в 5 раз. Это связано с увеличением объемов выручки от продажи продукции, а также с ростом размеров прочих доходов, прежде всего в связи с увеличением доходов от переоценки финансовых вложений и доходов от признания оценочных обязательств в отношении корректировок цен на газ, а также с сокращением расходов по уплате штрафных санкций другим компаниям, уменьшением </w:t>
      </w:r>
      <w:r>
        <w:rPr>
          <w:rFonts w:ascii="Times New Roman" w:eastAsia="Times New Roman" w:hAnsi="Times New Roman" w:cs="Times New Roman"/>
          <w:sz w:val="28"/>
          <w:szCs w:val="28"/>
        </w:rPr>
        <w:lastRenderedPageBreak/>
        <w:t>убытка прошлых лет, сокращением расходов на освоение природных ресурсов.</w:t>
      </w:r>
    </w:p>
    <w:p w14:paraId="6A4202BA" w14:textId="77777777" w:rsidR="00BA6331" w:rsidRDefault="00BA63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2021 году наблюдается значительной рост чистой прибыли, что свидетельствует о повышении эффективности деятельности компании</w:t>
      </w:r>
    </w:p>
    <w:p w14:paraId="016F97FA" w14:textId="77777777" w:rsidR="00F52F03" w:rsidRDefault="00F52F0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00BA6331">
        <w:rPr>
          <w:rFonts w:ascii="Times New Roman" w:eastAsia="Times New Roman" w:hAnsi="Times New Roman" w:cs="Times New Roman"/>
          <w:sz w:val="28"/>
          <w:szCs w:val="28"/>
        </w:rPr>
        <w:t xml:space="preserve"> на основе проведенного горизонтального анализа можно выделить следующие положительные моменты в работе ПАО «Газпром»: рост денежных средств как статьи баланса на протяжении всего анализируемого периода; рост прибыли</w:t>
      </w:r>
      <w:r w:rsidR="0044021D">
        <w:rPr>
          <w:rFonts w:ascii="Times New Roman" w:eastAsia="Times New Roman" w:hAnsi="Times New Roman" w:cs="Times New Roman"/>
          <w:sz w:val="28"/>
          <w:szCs w:val="28"/>
        </w:rPr>
        <w:t xml:space="preserve"> от продаж, прибыли</w:t>
      </w:r>
      <w:r w:rsidR="00BA6331">
        <w:rPr>
          <w:rFonts w:ascii="Times New Roman" w:eastAsia="Times New Roman" w:hAnsi="Times New Roman" w:cs="Times New Roman"/>
          <w:sz w:val="28"/>
          <w:szCs w:val="28"/>
        </w:rPr>
        <w:t xml:space="preserve"> до налогообложения в 2021 году и </w:t>
      </w:r>
      <w:r w:rsidR="0044021D">
        <w:rPr>
          <w:rFonts w:ascii="Times New Roman" w:eastAsia="Times New Roman" w:hAnsi="Times New Roman" w:cs="Times New Roman"/>
          <w:sz w:val="28"/>
          <w:szCs w:val="28"/>
        </w:rPr>
        <w:t>соответственно</w:t>
      </w:r>
      <w:r w:rsidR="00BA6331">
        <w:rPr>
          <w:rFonts w:ascii="Times New Roman" w:eastAsia="Times New Roman" w:hAnsi="Times New Roman" w:cs="Times New Roman"/>
          <w:sz w:val="28"/>
          <w:szCs w:val="28"/>
        </w:rPr>
        <w:t xml:space="preserve"> чистой прибыли </w:t>
      </w:r>
    </w:p>
    <w:p w14:paraId="312615B5" w14:textId="667BFBEB" w:rsidR="006C48AE" w:rsidRDefault="004E74FC" w:rsidP="003A3E2A">
      <w:pPr>
        <w:pStyle w:val="1"/>
        <w:spacing w:line="360" w:lineRule="auto"/>
        <w:ind w:right="567"/>
        <w:jc w:val="center"/>
        <w:rPr>
          <w:rFonts w:ascii="Times New Roman" w:eastAsia="Times New Roman" w:hAnsi="Times New Roman" w:cs="Times New Roman"/>
          <w:color w:val="000000"/>
        </w:rPr>
      </w:pPr>
      <w:bookmarkStart w:id="9" w:name="_Toc121342662"/>
      <w:bookmarkStart w:id="10" w:name="_tvp6xf3hheop"/>
      <w:bookmarkEnd w:id="10"/>
      <w:r>
        <w:rPr>
          <w:rFonts w:ascii="Times New Roman" w:eastAsia="Times New Roman" w:hAnsi="Times New Roman" w:cs="Times New Roman"/>
          <w:color w:val="000000"/>
        </w:rPr>
        <w:t>2.2 Вертикальный анализ компании</w:t>
      </w:r>
      <w:bookmarkEnd w:id="9"/>
    </w:p>
    <w:p w14:paraId="1D1B89F6" w14:textId="77777777" w:rsidR="006C48AE" w:rsidRDefault="006C48AE">
      <w:pPr>
        <w:shd w:val="clear" w:color="auto" w:fill="FFFFFF"/>
        <w:spacing w:after="0" w:line="360" w:lineRule="auto"/>
        <w:ind w:firstLine="709"/>
        <w:jc w:val="both"/>
        <w:rPr>
          <w:rFonts w:ascii="Times New Roman" w:eastAsia="Times New Roman" w:hAnsi="Times New Roman" w:cs="Times New Roman"/>
          <w:sz w:val="28"/>
          <w:szCs w:val="28"/>
        </w:rPr>
      </w:pPr>
    </w:p>
    <w:p w14:paraId="4488731A" w14:textId="77777777" w:rsidR="006C48AE" w:rsidRDefault="004E74F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Проведем вертикальный анализ бухгалтерского баланса ПАО «Газпром» (Приложение Ж).</w:t>
      </w:r>
    </w:p>
    <w:p w14:paraId="41B48EA4"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Соотношение внеоборотных и оборотных активов примерно составляет 70% и 30% соответственно, следовательно, баланс компании не является мобильным, что характерно для нефтегазовой отрасли ввиду большой доли основных средств в балансе таких компаний. Следовательно, чем больше в компании внеоборотных активов, тем больше финансовых ресурсов требуется для их поддержания, и тем больше должна быть доля собственного капитала. Внеоборотные активы практически полностью покрываются за счет собственных средств, только 5 % финансируется за счет долгосрочных заемных средств.</w:t>
      </w:r>
    </w:p>
    <w:p w14:paraId="46D0F1CF"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структуре пассивов преобладают собственные средства, наибольшую долю из которых занимают переоценка внеоборотных активов и нераспределенная прибыль. В структуре заемных источников финансирования преобладают долгосрочные источники финансирования, среди которых наибольшая доля приходится на заемные средства, краткосрочные источники финансирования представлены кредиторской задолженностью и кредитами. </w:t>
      </w:r>
    </w:p>
    <w:p w14:paraId="58D96FEF"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Соотношение собственных и заемных источников финансирования в 2019 г. составляло 70% к 30% соответственно, однако в период 2019-2021 гг. наблюдается тенденция к увеличению использования заемного капитала, в 2021 г. доля заемного капитала уже составляет 35%. В целом такое соотношение капитала говорит о достаточно стабильном финансовом положении компании и о высокой степени финансовой устойчивости.</w:t>
      </w:r>
    </w:p>
    <w:p w14:paraId="28A80695"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структуру показателей отчета о финансовых результатах (Приложение З).</w:t>
      </w:r>
    </w:p>
    <w:p w14:paraId="5111450A" w14:textId="77777777" w:rsidR="005D7B54"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Наибольшую долю в структуре доходов в 2020-2021 гг. занимают доходы от основных видов деятельности, которые показывают положительную динамику во всем анализируемом периоде. Структура доходов 2019 г. не являлась рациональной, ввиду того что доходы от прочей деятельности во многом зависели от факторов внешней среды, в 2020 г. несмотря на общее  снижение величины доходов, вызванное сокращением доходов от прочей деятельности, структура доходов становится более рациональной, основная деятельность занимает практически 80% всех доходов. </w:t>
      </w:r>
    </w:p>
    <w:p w14:paraId="1E927257"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Аналогичная динамика наблюдается и в структуре расходов. В целом прибыль от продаж показывает положительную динамику, что говорит об эффективности деятельности компании, однако прибыль до налогообложения ввиду отрицательного сальдо прочих доходов и расходов в 2020 году имеет отрицательный темп прироста по отношению к прошлому году, но в 2021 г. данное снижение компенсируется высокими темпами роста выручки и положительным сальдо прочих доходов и расходов, в итоге повлекшим за собой пятикратное увеличение данного показателя.</w:t>
      </w:r>
    </w:p>
    <w:p w14:paraId="7339480C" w14:textId="77777777" w:rsidR="00F52F03" w:rsidRDefault="00F52F0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005D7B54">
        <w:rPr>
          <w:rFonts w:ascii="Times New Roman" w:eastAsia="Times New Roman" w:hAnsi="Times New Roman" w:cs="Times New Roman"/>
          <w:sz w:val="28"/>
          <w:szCs w:val="28"/>
        </w:rPr>
        <w:t xml:space="preserve"> структура баланса компании не является оптимальной ввиду преобладания внеоборотных активов над оборотными средствами и значительной доли дебиторской задолженности, при этом в анализируемом периода доля дебиторской задолженности растет</w:t>
      </w:r>
      <w:r w:rsidR="00E05D35">
        <w:rPr>
          <w:rFonts w:ascii="Times New Roman" w:eastAsia="Times New Roman" w:hAnsi="Times New Roman" w:cs="Times New Roman"/>
          <w:sz w:val="28"/>
          <w:szCs w:val="28"/>
        </w:rPr>
        <w:t xml:space="preserve">. В качестве положительного </w:t>
      </w:r>
      <w:r w:rsidR="00E05D35">
        <w:rPr>
          <w:rFonts w:ascii="Times New Roman" w:eastAsia="Times New Roman" w:hAnsi="Times New Roman" w:cs="Times New Roman"/>
          <w:sz w:val="28"/>
          <w:szCs w:val="28"/>
        </w:rPr>
        <w:lastRenderedPageBreak/>
        <w:t xml:space="preserve">момента можно отметить положительную динамику доли денежных средств в общей сумме активов ПАО «Газпром» на протяжении всего анализируемого периода. </w:t>
      </w:r>
      <w:r w:rsidR="005D7B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778DE965" w14:textId="66A8AA1F" w:rsidR="006C48AE" w:rsidRDefault="004E74FC" w:rsidP="007151F0">
      <w:pPr>
        <w:pStyle w:val="1"/>
        <w:spacing w:line="360" w:lineRule="auto"/>
        <w:ind w:right="851"/>
        <w:jc w:val="center"/>
        <w:rPr>
          <w:rFonts w:ascii="Times New Roman" w:eastAsia="Times New Roman" w:hAnsi="Times New Roman" w:cs="Times New Roman"/>
          <w:color w:val="000000"/>
        </w:rPr>
      </w:pPr>
      <w:bookmarkStart w:id="11" w:name="_Toc121342663"/>
      <w:r>
        <w:rPr>
          <w:rFonts w:ascii="Times New Roman" w:eastAsia="Times New Roman" w:hAnsi="Times New Roman" w:cs="Times New Roman"/>
          <w:color w:val="000000"/>
        </w:rPr>
        <w:t>2.3 Коэффициентный анализ</w:t>
      </w:r>
      <w:bookmarkEnd w:id="11"/>
    </w:p>
    <w:p w14:paraId="1A3FBD68"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1A52000C"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проведем анализ финансовой устойчивости компании (таблица 2.1).</w:t>
      </w:r>
    </w:p>
    <w:p w14:paraId="56D887DA" w14:textId="77777777" w:rsidR="006C48AE" w:rsidRDefault="004E74FC" w:rsidP="00AA20D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2.1 - Анализ финансовой устойчивости</w:t>
      </w:r>
    </w:p>
    <w:tbl>
      <w:tblPr>
        <w:tblStyle w:val="a7"/>
        <w:tblW w:w="9585" w:type="dxa"/>
        <w:tblInd w:w="-1" w:type="dxa"/>
        <w:tblLayout w:type="fixed"/>
        <w:tblLook w:val="0400" w:firstRow="0" w:lastRow="0" w:firstColumn="0" w:lastColumn="0" w:noHBand="0" w:noVBand="1"/>
      </w:tblPr>
      <w:tblGrid>
        <w:gridCol w:w="2689"/>
        <w:gridCol w:w="1701"/>
        <w:gridCol w:w="1701"/>
        <w:gridCol w:w="1701"/>
        <w:gridCol w:w="766"/>
        <w:gridCol w:w="1027"/>
      </w:tblGrid>
      <w:tr w:rsidR="006C48AE" w14:paraId="066A6110" w14:textId="77777777">
        <w:trPr>
          <w:trHeight w:val="325"/>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0989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Показатель, </w:t>
            </w:r>
            <w:proofErr w:type="spellStart"/>
            <w:r>
              <w:rPr>
                <w:rFonts w:ascii="Times New Roman" w:eastAsia="Times New Roman" w:hAnsi="Times New Roman" w:cs="Times New Roman"/>
                <w:color w:val="000000"/>
                <w:sz w:val="24"/>
                <w:szCs w:val="24"/>
              </w:rPr>
              <w:t>т.р</w:t>
            </w:r>
            <w:proofErr w:type="spellEnd"/>
            <w:r>
              <w:rPr>
                <w:rFonts w:ascii="Times New Roman" w:eastAsia="Times New Roman" w:hAnsi="Times New Roman" w:cs="Times New Roman"/>
                <w:color w:val="000000"/>
                <w:sz w:val="24"/>
                <w:szCs w:val="24"/>
              </w:rPr>
              <w:t>.</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24A2C3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28E707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D7DCAE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766" w:type="dxa"/>
            <w:shd w:val="clear" w:color="auto" w:fill="auto"/>
            <w:vAlign w:val="bottom"/>
          </w:tcPr>
          <w:p w14:paraId="3DDD8430" w14:textId="77777777" w:rsidR="006C48AE" w:rsidRDefault="006C48AE">
            <w:pPr>
              <w:spacing w:after="0"/>
            </w:pPr>
          </w:p>
        </w:tc>
        <w:tc>
          <w:tcPr>
            <w:tcW w:w="1027" w:type="dxa"/>
            <w:shd w:val="clear" w:color="auto" w:fill="auto"/>
            <w:vAlign w:val="bottom"/>
          </w:tcPr>
          <w:p w14:paraId="76250CD6" w14:textId="77777777" w:rsidR="006C48AE" w:rsidRDefault="006C48AE">
            <w:pPr>
              <w:spacing w:after="0"/>
            </w:pPr>
          </w:p>
        </w:tc>
      </w:tr>
      <w:tr w:rsidR="006C48AE" w14:paraId="002571A4" w14:textId="77777777">
        <w:trPr>
          <w:trHeight w:val="70"/>
        </w:trPr>
        <w:tc>
          <w:tcPr>
            <w:tcW w:w="2689" w:type="dxa"/>
            <w:tcBorders>
              <w:top w:val="nil"/>
              <w:left w:val="single" w:sz="4" w:space="0" w:color="000000"/>
              <w:bottom w:val="single" w:sz="4" w:space="0" w:color="000000"/>
              <w:right w:val="single" w:sz="4" w:space="0" w:color="000000"/>
            </w:tcBorders>
            <w:shd w:val="clear" w:color="auto" w:fill="auto"/>
            <w:vAlign w:val="bottom"/>
          </w:tcPr>
          <w:p w14:paraId="3A1A44E8"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оборотные средства (СОС)</w:t>
            </w:r>
          </w:p>
        </w:tc>
        <w:tc>
          <w:tcPr>
            <w:tcW w:w="1701" w:type="dxa"/>
            <w:tcBorders>
              <w:top w:val="nil"/>
              <w:left w:val="nil"/>
              <w:bottom w:val="single" w:sz="4" w:space="0" w:color="000000"/>
              <w:right w:val="single" w:sz="4" w:space="0" w:color="000000"/>
            </w:tcBorders>
            <w:shd w:val="clear" w:color="auto" w:fill="auto"/>
            <w:vAlign w:val="bottom"/>
          </w:tcPr>
          <w:p w14:paraId="1CD24490"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-1 427 430 989</w:t>
            </w:r>
          </w:p>
        </w:tc>
        <w:tc>
          <w:tcPr>
            <w:tcW w:w="1701" w:type="dxa"/>
            <w:tcBorders>
              <w:top w:val="nil"/>
              <w:left w:val="nil"/>
              <w:bottom w:val="single" w:sz="4" w:space="0" w:color="000000"/>
              <w:right w:val="single" w:sz="4" w:space="0" w:color="000000"/>
            </w:tcBorders>
            <w:shd w:val="clear" w:color="auto" w:fill="auto"/>
            <w:vAlign w:val="bottom"/>
          </w:tcPr>
          <w:p w14:paraId="499CF857"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-1 711 517 976</w:t>
            </w:r>
          </w:p>
        </w:tc>
        <w:tc>
          <w:tcPr>
            <w:tcW w:w="1701" w:type="dxa"/>
            <w:tcBorders>
              <w:top w:val="nil"/>
              <w:left w:val="nil"/>
              <w:bottom w:val="single" w:sz="4" w:space="0" w:color="000000"/>
              <w:right w:val="single" w:sz="4" w:space="0" w:color="000000"/>
            </w:tcBorders>
            <w:shd w:val="clear" w:color="auto" w:fill="auto"/>
            <w:vAlign w:val="bottom"/>
          </w:tcPr>
          <w:p w14:paraId="25F00C01"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-796 352 281</w:t>
            </w:r>
          </w:p>
        </w:tc>
        <w:tc>
          <w:tcPr>
            <w:tcW w:w="766" w:type="dxa"/>
            <w:shd w:val="clear" w:color="auto" w:fill="auto"/>
            <w:vAlign w:val="bottom"/>
          </w:tcPr>
          <w:p w14:paraId="05095982" w14:textId="77777777" w:rsidR="006C48AE" w:rsidRDefault="006C48AE">
            <w:pPr>
              <w:spacing w:after="0"/>
            </w:pPr>
          </w:p>
        </w:tc>
        <w:tc>
          <w:tcPr>
            <w:tcW w:w="1027" w:type="dxa"/>
            <w:shd w:val="clear" w:color="auto" w:fill="auto"/>
            <w:vAlign w:val="bottom"/>
          </w:tcPr>
          <w:p w14:paraId="52BB8D38" w14:textId="77777777" w:rsidR="006C48AE" w:rsidRDefault="006C48AE">
            <w:pPr>
              <w:spacing w:after="0"/>
            </w:pPr>
          </w:p>
        </w:tc>
      </w:tr>
      <w:tr w:rsidR="006C48AE" w14:paraId="5163FFCC" w14:textId="77777777">
        <w:trPr>
          <w:trHeight w:val="70"/>
        </w:trPr>
        <w:tc>
          <w:tcPr>
            <w:tcW w:w="2689" w:type="dxa"/>
            <w:tcBorders>
              <w:top w:val="nil"/>
              <w:left w:val="single" w:sz="4" w:space="0" w:color="000000"/>
              <w:bottom w:val="single" w:sz="4" w:space="0" w:color="000000"/>
              <w:right w:val="single" w:sz="4" w:space="0" w:color="000000"/>
            </w:tcBorders>
            <w:shd w:val="clear" w:color="auto" w:fill="auto"/>
            <w:vAlign w:val="bottom"/>
          </w:tcPr>
          <w:p w14:paraId="37856151"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Функциональный капитал (ФК)</w:t>
            </w:r>
          </w:p>
        </w:tc>
        <w:tc>
          <w:tcPr>
            <w:tcW w:w="1701" w:type="dxa"/>
            <w:tcBorders>
              <w:top w:val="nil"/>
              <w:left w:val="nil"/>
              <w:bottom w:val="single" w:sz="4" w:space="0" w:color="000000"/>
              <w:right w:val="single" w:sz="4" w:space="0" w:color="000000"/>
            </w:tcBorders>
            <w:shd w:val="clear" w:color="auto" w:fill="auto"/>
            <w:vAlign w:val="bottom"/>
          </w:tcPr>
          <w:p w14:paraId="12F337DF"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1 422 102 445</w:t>
            </w:r>
          </w:p>
        </w:tc>
        <w:tc>
          <w:tcPr>
            <w:tcW w:w="1701" w:type="dxa"/>
            <w:tcBorders>
              <w:top w:val="nil"/>
              <w:left w:val="nil"/>
              <w:bottom w:val="single" w:sz="4" w:space="0" w:color="000000"/>
              <w:right w:val="single" w:sz="4" w:space="0" w:color="000000"/>
            </w:tcBorders>
            <w:shd w:val="clear" w:color="auto" w:fill="auto"/>
            <w:vAlign w:val="bottom"/>
          </w:tcPr>
          <w:p w14:paraId="17B326E7"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1 528 877 439</w:t>
            </w:r>
          </w:p>
        </w:tc>
        <w:tc>
          <w:tcPr>
            <w:tcW w:w="1701" w:type="dxa"/>
            <w:tcBorders>
              <w:top w:val="nil"/>
              <w:left w:val="nil"/>
              <w:bottom w:val="single" w:sz="4" w:space="0" w:color="000000"/>
              <w:right w:val="single" w:sz="4" w:space="0" w:color="000000"/>
            </w:tcBorders>
            <w:shd w:val="clear" w:color="auto" w:fill="auto"/>
            <w:vAlign w:val="bottom"/>
          </w:tcPr>
          <w:p w14:paraId="4EE82AEF"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2 919 595 209</w:t>
            </w:r>
          </w:p>
        </w:tc>
        <w:tc>
          <w:tcPr>
            <w:tcW w:w="766" w:type="dxa"/>
            <w:shd w:val="clear" w:color="auto" w:fill="auto"/>
            <w:vAlign w:val="bottom"/>
          </w:tcPr>
          <w:p w14:paraId="3BC3E373" w14:textId="77777777" w:rsidR="006C48AE" w:rsidRDefault="006C48AE">
            <w:pPr>
              <w:spacing w:after="0"/>
            </w:pPr>
          </w:p>
        </w:tc>
        <w:tc>
          <w:tcPr>
            <w:tcW w:w="1027" w:type="dxa"/>
            <w:shd w:val="clear" w:color="auto" w:fill="auto"/>
            <w:vAlign w:val="bottom"/>
          </w:tcPr>
          <w:p w14:paraId="64F97756" w14:textId="77777777" w:rsidR="006C48AE" w:rsidRDefault="006C48AE">
            <w:pPr>
              <w:spacing w:after="0"/>
            </w:pPr>
          </w:p>
        </w:tc>
      </w:tr>
      <w:tr w:rsidR="006C48AE" w14:paraId="7B837513" w14:textId="77777777">
        <w:trPr>
          <w:trHeight w:val="70"/>
        </w:trPr>
        <w:tc>
          <w:tcPr>
            <w:tcW w:w="2689" w:type="dxa"/>
            <w:tcBorders>
              <w:top w:val="nil"/>
              <w:left w:val="single" w:sz="4" w:space="0" w:color="000000"/>
              <w:bottom w:val="single" w:sz="4" w:space="0" w:color="000000"/>
              <w:right w:val="single" w:sz="4" w:space="0" w:color="000000"/>
            </w:tcBorders>
            <w:shd w:val="clear" w:color="auto" w:fill="auto"/>
            <w:vAlign w:val="bottom"/>
          </w:tcPr>
          <w:p w14:paraId="045921FC"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величина источников (ОВИ)</w:t>
            </w:r>
          </w:p>
        </w:tc>
        <w:tc>
          <w:tcPr>
            <w:tcW w:w="1701" w:type="dxa"/>
            <w:tcBorders>
              <w:top w:val="nil"/>
              <w:left w:val="nil"/>
              <w:bottom w:val="single" w:sz="4" w:space="0" w:color="000000"/>
              <w:right w:val="single" w:sz="4" w:space="0" w:color="000000"/>
            </w:tcBorders>
            <w:shd w:val="clear" w:color="auto" w:fill="auto"/>
            <w:vAlign w:val="bottom"/>
          </w:tcPr>
          <w:p w14:paraId="6A797119"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3 500 868 479</w:t>
            </w:r>
          </w:p>
        </w:tc>
        <w:tc>
          <w:tcPr>
            <w:tcW w:w="1701" w:type="dxa"/>
            <w:tcBorders>
              <w:top w:val="nil"/>
              <w:left w:val="nil"/>
              <w:bottom w:val="single" w:sz="4" w:space="0" w:color="000000"/>
              <w:right w:val="single" w:sz="4" w:space="0" w:color="000000"/>
            </w:tcBorders>
            <w:shd w:val="clear" w:color="auto" w:fill="auto"/>
            <w:vAlign w:val="bottom"/>
          </w:tcPr>
          <w:p w14:paraId="4FF4C0E5"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3 787 077 181</w:t>
            </w:r>
          </w:p>
        </w:tc>
        <w:tc>
          <w:tcPr>
            <w:tcW w:w="1701" w:type="dxa"/>
            <w:tcBorders>
              <w:top w:val="nil"/>
              <w:left w:val="nil"/>
              <w:bottom w:val="single" w:sz="4" w:space="0" w:color="000000"/>
              <w:right w:val="single" w:sz="4" w:space="0" w:color="000000"/>
            </w:tcBorders>
            <w:shd w:val="clear" w:color="auto" w:fill="auto"/>
            <w:vAlign w:val="bottom"/>
          </w:tcPr>
          <w:p w14:paraId="7B98F1D8"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5 980 876 760</w:t>
            </w:r>
          </w:p>
        </w:tc>
        <w:tc>
          <w:tcPr>
            <w:tcW w:w="766" w:type="dxa"/>
            <w:shd w:val="clear" w:color="auto" w:fill="auto"/>
            <w:vAlign w:val="bottom"/>
          </w:tcPr>
          <w:p w14:paraId="3582F7CF" w14:textId="77777777" w:rsidR="006C48AE" w:rsidRDefault="006C48AE">
            <w:pPr>
              <w:spacing w:after="0"/>
            </w:pPr>
          </w:p>
        </w:tc>
        <w:tc>
          <w:tcPr>
            <w:tcW w:w="1027" w:type="dxa"/>
            <w:shd w:val="clear" w:color="auto" w:fill="auto"/>
            <w:vAlign w:val="bottom"/>
          </w:tcPr>
          <w:p w14:paraId="7C69A247" w14:textId="77777777" w:rsidR="006C48AE" w:rsidRDefault="006C48AE">
            <w:pPr>
              <w:spacing w:after="0"/>
            </w:pPr>
          </w:p>
        </w:tc>
      </w:tr>
      <w:tr w:rsidR="006C48AE" w14:paraId="50D8ECC0" w14:textId="77777777">
        <w:trPr>
          <w:trHeight w:val="305"/>
        </w:trPr>
        <w:tc>
          <w:tcPr>
            <w:tcW w:w="2689" w:type="dxa"/>
            <w:tcBorders>
              <w:top w:val="nil"/>
              <w:left w:val="single" w:sz="4" w:space="0" w:color="000000"/>
              <w:bottom w:val="single" w:sz="4" w:space="0" w:color="000000"/>
              <w:right w:val="single" w:sz="4" w:space="0" w:color="000000"/>
            </w:tcBorders>
            <w:shd w:val="clear" w:color="auto" w:fill="auto"/>
            <w:vAlign w:val="bottom"/>
          </w:tcPr>
          <w:p w14:paraId="7D2F60B2"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Материально-производственные запасы (МПЗ)</w:t>
            </w:r>
          </w:p>
        </w:tc>
        <w:tc>
          <w:tcPr>
            <w:tcW w:w="1701" w:type="dxa"/>
            <w:tcBorders>
              <w:top w:val="nil"/>
              <w:left w:val="nil"/>
              <w:bottom w:val="single" w:sz="4" w:space="0" w:color="000000"/>
              <w:right w:val="single" w:sz="4" w:space="0" w:color="000000"/>
            </w:tcBorders>
            <w:shd w:val="clear" w:color="auto" w:fill="auto"/>
            <w:vAlign w:val="bottom"/>
          </w:tcPr>
          <w:p w14:paraId="1D9D842D"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669 198 423</w:t>
            </w:r>
          </w:p>
        </w:tc>
        <w:tc>
          <w:tcPr>
            <w:tcW w:w="1701" w:type="dxa"/>
            <w:tcBorders>
              <w:top w:val="nil"/>
              <w:left w:val="nil"/>
              <w:bottom w:val="single" w:sz="4" w:space="0" w:color="000000"/>
              <w:right w:val="single" w:sz="4" w:space="0" w:color="000000"/>
            </w:tcBorders>
            <w:shd w:val="clear" w:color="auto" w:fill="auto"/>
            <w:vAlign w:val="bottom"/>
          </w:tcPr>
          <w:p w14:paraId="3EE48166"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570 823 149</w:t>
            </w:r>
          </w:p>
        </w:tc>
        <w:tc>
          <w:tcPr>
            <w:tcW w:w="1701" w:type="dxa"/>
            <w:tcBorders>
              <w:top w:val="nil"/>
              <w:left w:val="nil"/>
              <w:bottom w:val="single" w:sz="4" w:space="0" w:color="000000"/>
              <w:right w:val="single" w:sz="4" w:space="0" w:color="000000"/>
            </w:tcBorders>
            <w:shd w:val="clear" w:color="auto" w:fill="auto"/>
            <w:vAlign w:val="bottom"/>
          </w:tcPr>
          <w:p w14:paraId="5F44F1BB"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549 497 794</w:t>
            </w:r>
          </w:p>
        </w:tc>
        <w:tc>
          <w:tcPr>
            <w:tcW w:w="766" w:type="dxa"/>
            <w:tcBorders>
              <w:top w:val="single" w:sz="4" w:space="0" w:color="000000"/>
              <w:left w:val="nil"/>
              <w:bottom w:val="single" w:sz="4" w:space="0" w:color="000000"/>
              <w:right w:val="single" w:sz="4" w:space="0" w:color="000000"/>
            </w:tcBorders>
            <w:shd w:val="clear" w:color="auto" w:fill="auto"/>
            <w:vAlign w:val="bottom"/>
          </w:tcPr>
          <w:p w14:paraId="72FA7E4E"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ФУ</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C5B5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Нормальная ФУ</w:t>
            </w:r>
          </w:p>
        </w:tc>
      </w:tr>
      <w:tr w:rsidR="006C48AE" w14:paraId="20E5E89B" w14:textId="77777777">
        <w:trPr>
          <w:trHeight w:val="70"/>
        </w:trPr>
        <w:tc>
          <w:tcPr>
            <w:tcW w:w="2689" w:type="dxa"/>
            <w:tcBorders>
              <w:top w:val="nil"/>
              <w:left w:val="single" w:sz="4" w:space="0" w:color="000000"/>
              <w:bottom w:val="single" w:sz="4" w:space="0" w:color="000000"/>
              <w:right w:val="single" w:sz="4" w:space="0" w:color="000000"/>
            </w:tcBorders>
            <w:shd w:val="clear" w:color="auto" w:fill="auto"/>
            <w:vAlign w:val="bottom"/>
          </w:tcPr>
          <w:p w14:paraId="2CFF5AEB"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 (СОС)</w:t>
            </w:r>
          </w:p>
        </w:tc>
        <w:tc>
          <w:tcPr>
            <w:tcW w:w="1701" w:type="dxa"/>
            <w:tcBorders>
              <w:top w:val="nil"/>
              <w:left w:val="nil"/>
              <w:bottom w:val="single" w:sz="4" w:space="0" w:color="000000"/>
              <w:right w:val="single" w:sz="4" w:space="0" w:color="000000"/>
            </w:tcBorders>
            <w:shd w:val="clear" w:color="auto" w:fill="auto"/>
            <w:vAlign w:val="bottom"/>
          </w:tcPr>
          <w:p w14:paraId="5B4FA2B1"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-2 096 629 412</w:t>
            </w:r>
          </w:p>
        </w:tc>
        <w:tc>
          <w:tcPr>
            <w:tcW w:w="1701" w:type="dxa"/>
            <w:tcBorders>
              <w:top w:val="nil"/>
              <w:left w:val="nil"/>
              <w:bottom w:val="single" w:sz="4" w:space="0" w:color="000000"/>
              <w:right w:val="single" w:sz="4" w:space="0" w:color="000000"/>
            </w:tcBorders>
            <w:shd w:val="clear" w:color="auto" w:fill="auto"/>
            <w:vAlign w:val="bottom"/>
          </w:tcPr>
          <w:p w14:paraId="1921386B"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-2 282 341 125</w:t>
            </w:r>
          </w:p>
        </w:tc>
        <w:tc>
          <w:tcPr>
            <w:tcW w:w="1701" w:type="dxa"/>
            <w:tcBorders>
              <w:top w:val="nil"/>
              <w:left w:val="nil"/>
              <w:bottom w:val="single" w:sz="4" w:space="0" w:color="000000"/>
              <w:right w:val="single" w:sz="4" w:space="0" w:color="000000"/>
            </w:tcBorders>
            <w:shd w:val="clear" w:color="auto" w:fill="auto"/>
            <w:vAlign w:val="bottom"/>
          </w:tcPr>
          <w:p w14:paraId="2A7E2BBA"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-1 345 850 075</w:t>
            </w:r>
          </w:p>
        </w:tc>
        <w:tc>
          <w:tcPr>
            <w:tcW w:w="766" w:type="dxa"/>
            <w:tcBorders>
              <w:top w:val="nil"/>
              <w:left w:val="nil"/>
              <w:bottom w:val="single" w:sz="4" w:space="0" w:color="000000"/>
              <w:right w:val="single" w:sz="4" w:space="0" w:color="000000"/>
            </w:tcBorders>
            <w:shd w:val="clear" w:color="auto" w:fill="auto"/>
            <w:vAlign w:val="bottom"/>
          </w:tcPr>
          <w:p w14:paraId="456043A7"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049A4" w14:textId="77777777" w:rsidR="006C48AE" w:rsidRDefault="006C48AE">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6C48AE" w14:paraId="7562E875" w14:textId="77777777">
        <w:trPr>
          <w:trHeight w:val="179"/>
        </w:trPr>
        <w:tc>
          <w:tcPr>
            <w:tcW w:w="2689" w:type="dxa"/>
            <w:tcBorders>
              <w:top w:val="nil"/>
              <w:left w:val="single" w:sz="4" w:space="0" w:color="000000"/>
              <w:bottom w:val="single" w:sz="4" w:space="0" w:color="000000"/>
              <w:right w:val="single" w:sz="4" w:space="0" w:color="000000"/>
            </w:tcBorders>
            <w:shd w:val="clear" w:color="auto" w:fill="auto"/>
            <w:vAlign w:val="bottom"/>
          </w:tcPr>
          <w:p w14:paraId="2F19357C"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 (ФК)</w:t>
            </w:r>
          </w:p>
        </w:tc>
        <w:tc>
          <w:tcPr>
            <w:tcW w:w="1701" w:type="dxa"/>
            <w:tcBorders>
              <w:top w:val="nil"/>
              <w:left w:val="nil"/>
              <w:bottom w:val="single" w:sz="4" w:space="0" w:color="000000"/>
              <w:right w:val="single" w:sz="4" w:space="0" w:color="000000"/>
            </w:tcBorders>
            <w:shd w:val="clear" w:color="auto" w:fill="auto"/>
            <w:vAlign w:val="bottom"/>
          </w:tcPr>
          <w:p w14:paraId="7525B235"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752 904 022</w:t>
            </w:r>
          </w:p>
        </w:tc>
        <w:tc>
          <w:tcPr>
            <w:tcW w:w="1701" w:type="dxa"/>
            <w:tcBorders>
              <w:top w:val="nil"/>
              <w:left w:val="nil"/>
              <w:bottom w:val="single" w:sz="4" w:space="0" w:color="000000"/>
              <w:right w:val="single" w:sz="4" w:space="0" w:color="000000"/>
            </w:tcBorders>
            <w:shd w:val="clear" w:color="auto" w:fill="auto"/>
            <w:vAlign w:val="bottom"/>
          </w:tcPr>
          <w:p w14:paraId="42328521"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958 054 290</w:t>
            </w:r>
          </w:p>
        </w:tc>
        <w:tc>
          <w:tcPr>
            <w:tcW w:w="1701" w:type="dxa"/>
            <w:tcBorders>
              <w:top w:val="nil"/>
              <w:left w:val="nil"/>
              <w:bottom w:val="single" w:sz="4" w:space="0" w:color="000000"/>
              <w:right w:val="single" w:sz="4" w:space="0" w:color="000000"/>
            </w:tcBorders>
            <w:shd w:val="clear" w:color="auto" w:fill="auto"/>
            <w:vAlign w:val="bottom"/>
          </w:tcPr>
          <w:p w14:paraId="272A0FCB"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2 370 097 415</w:t>
            </w:r>
          </w:p>
        </w:tc>
        <w:tc>
          <w:tcPr>
            <w:tcW w:w="766" w:type="dxa"/>
            <w:tcBorders>
              <w:top w:val="nil"/>
              <w:left w:val="nil"/>
              <w:bottom w:val="single" w:sz="4" w:space="0" w:color="000000"/>
              <w:right w:val="single" w:sz="4" w:space="0" w:color="000000"/>
            </w:tcBorders>
            <w:shd w:val="clear" w:color="auto" w:fill="auto"/>
            <w:vAlign w:val="bottom"/>
          </w:tcPr>
          <w:p w14:paraId="13AC9931"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7DBA5A" w14:textId="77777777" w:rsidR="006C48AE" w:rsidRDefault="006C48AE">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6C48AE" w14:paraId="3A46F4FF" w14:textId="77777777">
        <w:trPr>
          <w:trHeight w:val="325"/>
        </w:trPr>
        <w:tc>
          <w:tcPr>
            <w:tcW w:w="2689" w:type="dxa"/>
            <w:tcBorders>
              <w:top w:val="nil"/>
              <w:left w:val="single" w:sz="4" w:space="0" w:color="000000"/>
              <w:bottom w:val="single" w:sz="4" w:space="0" w:color="000000"/>
              <w:right w:val="single" w:sz="4" w:space="0" w:color="000000"/>
            </w:tcBorders>
            <w:shd w:val="clear" w:color="auto" w:fill="auto"/>
            <w:vAlign w:val="bottom"/>
          </w:tcPr>
          <w:p w14:paraId="6E7CC191"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 (ОВИ)</w:t>
            </w:r>
          </w:p>
        </w:tc>
        <w:tc>
          <w:tcPr>
            <w:tcW w:w="1701" w:type="dxa"/>
            <w:tcBorders>
              <w:top w:val="nil"/>
              <w:left w:val="nil"/>
              <w:bottom w:val="single" w:sz="4" w:space="0" w:color="000000"/>
              <w:right w:val="single" w:sz="4" w:space="0" w:color="000000"/>
            </w:tcBorders>
            <w:shd w:val="clear" w:color="auto" w:fill="auto"/>
            <w:vAlign w:val="bottom"/>
          </w:tcPr>
          <w:p w14:paraId="431ADBA0"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2 831 670 056</w:t>
            </w:r>
          </w:p>
        </w:tc>
        <w:tc>
          <w:tcPr>
            <w:tcW w:w="1701" w:type="dxa"/>
            <w:tcBorders>
              <w:top w:val="nil"/>
              <w:left w:val="nil"/>
              <w:bottom w:val="single" w:sz="4" w:space="0" w:color="000000"/>
              <w:right w:val="single" w:sz="4" w:space="0" w:color="000000"/>
            </w:tcBorders>
            <w:shd w:val="clear" w:color="auto" w:fill="auto"/>
            <w:vAlign w:val="bottom"/>
          </w:tcPr>
          <w:p w14:paraId="78685E04"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3 216 254 032</w:t>
            </w:r>
          </w:p>
        </w:tc>
        <w:tc>
          <w:tcPr>
            <w:tcW w:w="1701" w:type="dxa"/>
            <w:tcBorders>
              <w:top w:val="nil"/>
              <w:left w:val="nil"/>
              <w:bottom w:val="single" w:sz="4" w:space="0" w:color="000000"/>
              <w:right w:val="single" w:sz="4" w:space="0" w:color="000000"/>
            </w:tcBorders>
            <w:shd w:val="clear" w:color="auto" w:fill="auto"/>
            <w:vAlign w:val="bottom"/>
          </w:tcPr>
          <w:p w14:paraId="56EBB7F0"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5 431 378 966</w:t>
            </w:r>
          </w:p>
        </w:tc>
        <w:tc>
          <w:tcPr>
            <w:tcW w:w="766" w:type="dxa"/>
            <w:tcBorders>
              <w:top w:val="nil"/>
              <w:left w:val="nil"/>
              <w:bottom w:val="single" w:sz="4" w:space="0" w:color="000000"/>
              <w:right w:val="single" w:sz="4" w:space="0" w:color="000000"/>
            </w:tcBorders>
            <w:shd w:val="clear" w:color="auto" w:fill="auto"/>
            <w:vAlign w:val="bottom"/>
          </w:tcPr>
          <w:p w14:paraId="2BFC4F06" w14:textId="77777777" w:rsidR="006C48AE" w:rsidRDefault="004E74F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70750C" w14:textId="77777777" w:rsidR="006C48AE" w:rsidRDefault="006C48AE">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bl>
    <w:p w14:paraId="4F31B7D9" w14:textId="77777777" w:rsidR="00564ED8" w:rsidRPr="00564ED8" w:rsidRDefault="00564ED8" w:rsidP="00564ED8">
      <w:pPr>
        <w:spacing w:after="0"/>
        <w:rPr>
          <w:rFonts w:ascii="Times New Roman" w:hAnsi="Times New Roman" w:cs="Times New Roman"/>
          <w:sz w:val="24"/>
          <w:szCs w:val="24"/>
        </w:rPr>
      </w:pPr>
      <w:r w:rsidRPr="00564ED8">
        <w:rPr>
          <w:rFonts w:ascii="Times New Roman" w:hAnsi="Times New Roman" w:cs="Times New Roman"/>
          <w:sz w:val="24"/>
          <w:szCs w:val="24"/>
        </w:rPr>
        <w:t>Источник: составлено автором по данным предприятия</w:t>
      </w:r>
    </w:p>
    <w:p w14:paraId="4166D82C"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217FEFBF" w14:textId="77777777" w:rsidR="00A713B0"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представленных данных видно, что у компании недостаточно собственных оборотных средств для финансирования материальных производственных запасов (МПЗ), осуществление текущей деятельности становится возможным только при условии привлечения долгосрочных заемных источников финансирования, функциональный капитал полностью покрывает величину МПЗ, следовательно, компания обладает нормальной финансовой устойчивостью. </w:t>
      </w:r>
    </w:p>
    <w:p w14:paraId="441D2B1C"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Нормальная финансовая устойчивость гарантирует выполнение финансовых обязательств </w:t>
      </w:r>
      <w:r w:rsidR="00AA20D3">
        <w:rPr>
          <w:rFonts w:ascii="Times New Roman" w:eastAsia="Times New Roman" w:hAnsi="Times New Roman" w:cs="Times New Roman"/>
          <w:sz w:val="28"/>
          <w:szCs w:val="28"/>
        </w:rPr>
        <w:t>компании</w:t>
      </w:r>
      <w:r>
        <w:rPr>
          <w:rFonts w:ascii="Times New Roman" w:eastAsia="Times New Roman" w:hAnsi="Times New Roman" w:cs="Times New Roman"/>
          <w:sz w:val="28"/>
          <w:szCs w:val="28"/>
        </w:rPr>
        <w:t>, заемные средства используются рационально.</w:t>
      </w:r>
    </w:p>
    <w:p w14:paraId="2E0B97E8"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Рассмотрим показатели финансовой устойчивости компании (таблица 2.2).</w:t>
      </w:r>
    </w:p>
    <w:p w14:paraId="0DCF64BE" w14:textId="77777777" w:rsidR="006C48AE" w:rsidRDefault="004E74FC" w:rsidP="00AA20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2.2 - Показатели финансовой устойчивости</w:t>
      </w:r>
    </w:p>
    <w:tbl>
      <w:tblPr>
        <w:tblStyle w:val="a8"/>
        <w:tblW w:w="9613" w:type="dxa"/>
        <w:tblInd w:w="-1" w:type="dxa"/>
        <w:tblLayout w:type="fixed"/>
        <w:tblLook w:val="0400" w:firstRow="0" w:lastRow="0" w:firstColumn="0" w:lastColumn="0" w:noHBand="0" w:noVBand="1"/>
      </w:tblPr>
      <w:tblGrid>
        <w:gridCol w:w="4673"/>
        <w:gridCol w:w="1134"/>
        <w:gridCol w:w="1276"/>
        <w:gridCol w:w="1100"/>
        <w:gridCol w:w="1430"/>
      </w:tblGrid>
      <w:tr w:rsidR="006C48AE" w14:paraId="7290C234" w14:textId="77777777">
        <w:trPr>
          <w:trHeight w:val="20"/>
          <w:tblHeader/>
        </w:trPr>
        <w:tc>
          <w:tcPr>
            <w:tcW w:w="4673" w:type="dxa"/>
            <w:tcBorders>
              <w:top w:val="single" w:sz="4" w:space="0" w:color="000000"/>
              <w:left w:val="single" w:sz="4" w:space="0" w:color="000000"/>
              <w:bottom w:val="single" w:sz="4" w:space="0" w:color="000000"/>
              <w:right w:val="single" w:sz="4" w:space="0" w:color="000000"/>
            </w:tcBorders>
            <w:vAlign w:val="center"/>
          </w:tcPr>
          <w:p w14:paraId="68588F1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1134" w:type="dxa"/>
            <w:tcBorders>
              <w:top w:val="single" w:sz="4" w:space="0" w:color="000000"/>
              <w:left w:val="nil"/>
              <w:bottom w:val="single" w:sz="4" w:space="0" w:color="000000"/>
              <w:right w:val="single" w:sz="4" w:space="0" w:color="000000"/>
            </w:tcBorders>
            <w:vAlign w:val="center"/>
          </w:tcPr>
          <w:p w14:paraId="287706F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276" w:type="dxa"/>
            <w:tcBorders>
              <w:top w:val="single" w:sz="4" w:space="0" w:color="000000"/>
              <w:left w:val="nil"/>
              <w:bottom w:val="single" w:sz="4" w:space="0" w:color="000000"/>
              <w:right w:val="single" w:sz="4" w:space="0" w:color="000000"/>
            </w:tcBorders>
            <w:vAlign w:val="center"/>
          </w:tcPr>
          <w:p w14:paraId="79529A0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100" w:type="dxa"/>
            <w:tcBorders>
              <w:top w:val="single" w:sz="4" w:space="0" w:color="000000"/>
              <w:left w:val="nil"/>
              <w:bottom w:val="single" w:sz="4" w:space="0" w:color="000000"/>
              <w:right w:val="single" w:sz="4" w:space="0" w:color="000000"/>
            </w:tcBorders>
            <w:vAlign w:val="center"/>
          </w:tcPr>
          <w:p w14:paraId="70ECD5A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430" w:type="dxa"/>
            <w:tcBorders>
              <w:top w:val="single" w:sz="4" w:space="0" w:color="000000"/>
              <w:left w:val="nil"/>
              <w:bottom w:val="single" w:sz="4" w:space="0" w:color="000000"/>
              <w:right w:val="single" w:sz="4" w:space="0" w:color="000000"/>
            </w:tcBorders>
            <w:vAlign w:val="center"/>
          </w:tcPr>
          <w:p w14:paraId="48CCC43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w:t>
            </w:r>
          </w:p>
        </w:tc>
      </w:tr>
      <w:tr w:rsidR="006C48AE" w14:paraId="06F59268"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36773CA1"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финансовой независимости (автономии)</w:t>
            </w:r>
          </w:p>
        </w:tc>
        <w:tc>
          <w:tcPr>
            <w:tcW w:w="1134" w:type="dxa"/>
            <w:tcBorders>
              <w:top w:val="nil"/>
              <w:left w:val="nil"/>
              <w:bottom w:val="single" w:sz="4" w:space="0" w:color="000000"/>
              <w:right w:val="single" w:sz="4" w:space="0" w:color="000000"/>
            </w:tcBorders>
            <w:vAlign w:val="center"/>
          </w:tcPr>
          <w:p w14:paraId="175DAA2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w:t>
            </w:r>
          </w:p>
        </w:tc>
        <w:tc>
          <w:tcPr>
            <w:tcW w:w="1276" w:type="dxa"/>
            <w:tcBorders>
              <w:top w:val="nil"/>
              <w:left w:val="nil"/>
              <w:bottom w:val="single" w:sz="4" w:space="0" w:color="000000"/>
              <w:right w:val="single" w:sz="4" w:space="0" w:color="000000"/>
            </w:tcBorders>
            <w:vAlign w:val="center"/>
          </w:tcPr>
          <w:p w14:paraId="7F5586C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1100" w:type="dxa"/>
            <w:tcBorders>
              <w:top w:val="nil"/>
              <w:left w:val="nil"/>
              <w:bottom w:val="single" w:sz="4" w:space="0" w:color="000000"/>
              <w:right w:val="single" w:sz="4" w:space="0" w:color="000000"/>
            </w:tcBorders>
            <w:vAlign w:val="center"/>
          </w:tcPr>
          <w:p w14:paraId="0F21C1F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1430" w:type="dxa"/>
            <w:tcBorders>
              <w:top w:val="nil"/>
              <w:left w:val="nil"/>
              <w:bottom w:val="single" w:sz="4" w:space="0" w:color="000000"/>
              <w:right w:val="single" w:sz="4" w:space="0" w:color="000000"/>
            </w:tcBorders>
            <w:vAlign w:val="center"/>
          </w:tcPr>
          <w:p w14:paraId="1D19EF1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0,6-0,7</w:t>
            </w:r>
          </w:p>
        </w:tc>
      </w:tr>
      <w:tr w:rsidR="006C48AE" w14:paraId="7AE051E6"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15FE65D8"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заемного капитала</w:t>
            </w:r>
          </w:p>
        </w:tc>
        <w:tc>
          <w:tcPr>
            <w:tcW w:w="1134" w:type="dxa"/>
            <w:tcBorders>
              <w:top w:val="nil"/>
              <w:left w:val="nil"/>
              <w:bottom w:val="single" w:sz="4" w:space="0" w:color="000000"/>
              <w:right w:val="single" w:sz="4" w:space="0" w:color="000000"/>
            </w:tcBorders>
            <w:vAlign w:val="center"/>
          </w:tcPr>
          <w:p w14:paraId="5B95BC9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276" w:type="dxa"/>
            <w:tcBorders>
              <w:top w:val="nil"/>
              <w:left w:val="nil"/>
              <w:bottom w:val="single" w:sz="4" w:space="0" w:color="000000"/>
              <w:right w:val="single" w:sz="4" w:space="0" w:color="000000"/>
            </w:tcBorders>
            <w:vAlign w:val="center"/>
          </w:tcPr>
          <w:p w14:paraId="1A703A9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100" w:type="dxa"/>
            <w:tcBorders>
              <w:top w:val="nil"/>
              <w:left w:val="nil"/>
              <w:bottom w:val="single" w:sz="4" w:space="0" w:color="000000"/>
              <w:right w:val="single" w:sz="4" w:space="0" w:color="000000"/>
            </w:tcBorders>
            <w:vAlign w:val="center"/>
          </w:tcPr>
          <w:p w14:paraId="5E841E2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430" w:type="dxa"/>
            <w:tcBorders>
              <w:top w:val="nil"/>
              <w:left w:val="nil"/>
              <w:bottom w:val="single" w:sz="4" w:space="0" w:color="000000"/>
              <w:right w:val="single" w:sz="4" w:space="0" w:color="000000"/>
            </w:tcBorders>
            <w:vAlign w:val="center"/>
          </w:tcPr>
          <w:p w14:paraId="0D86791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0,3-0,4</w:t>
            </w:r>
          </w:p>
        </w:tc>
      </w:tr>
      <w:tr w:rsidR="006C48AE" w14:paraId="55603FF1"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0AB2F000"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финансовой устойчивости</w:t>
            </w:r>
          </w:p>
        </w:tc>
        <w:tc>
          <w:tcPr>
            <w:tcW w:w="1134" w:type="dxa"/>
            <w:tcBorders>
              <w:top w:val="nil"/>
              <w:left w:val="nil"/>
              <w:bottom w:val="single" w:sz="4" w:space="0" w:color="000000"/>
              <w:right w:val="single" w:sz="4" w:space="0" w:color="000000"/>
            </w:tcBorders>
            <w:vAlign w:val="center"/>
          </w:tcPr>
          <w:p w14:paraId="0DADE4D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p>
        </w:tc>
        <w:tc>
          <w:tcPr>
            <w:tcW w:w="1276" w:type="dxa"/>
            <w:tcBorders>
              <w:top w:val="nil"/>
              <w:left w:val="nil"/>
              <w:bottom w:val="single" w:sz="4" w:space="0" w:color="000000"/>
              <w:right w:val="single" w:sz="4" w:space="0" w:color="000000"/>
            </w:tcBorders>
            <w:vAlign w:val="center"/>
          </w:tcPr>
          <w:p w14:paraId="63304EA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p>
        </w:tc>
        <w:tc>
          <w:tcPr>
            <w:tcW w:w="1100" w:type="dxa"/>
            <w:tcBorders>
              <w:top w:val="nil"/>
              <w:left w:val="nil"/>
              <w:bottom w:val="single" w:sz="4" w:space="0" w:color="000000"/>
              <w:right w:val="single" w:sz="4" w:space="0" w:color="000000"/>
            </w:tcBorders>
            <w:vAlign w:val="center"/>
          </w:tcPr>
          <w:p w14:paraId="4F46ABB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p>
        </w:tc>
        <w:tc>
          <w:tcPr>
            <w:tcW w:w="1430" w:type="dxa"/>
            <w:tcBorders>
              <w:top w:val="nil"/>
              <w:left w:val="nil"/>
              <w:bottom w:val="single" w:sz="4" w:space="0" w:color="000000"/>
              <w:right w:val="single" w:sz="4" w:space="0" w:color="000000"/>
            </w:tcBorders>
            <w:vAlign w:val="center"/>
          </w:tcPr>
          <w:p w14:paraId="6535A0A1" w14:textId="77777777" w:rsidR="006C48AE" w:rsidRDefault="004E74FC">
            <w:pPr>
              <w:spacing w:after="0" w:line="240" w:lineRule="auto"/>
              <w:jc w:val="center"/>
              <w:rPr>
                <w:rFonts w:ascii="Times New Roman" w:eastAsia="Times New Roman" w:hAnsi="Times New Roman" w:cs="Times New Roman"/>
                <w:color w:val="000000"/>
                <w:sz w:val="24"/>
                <w:szCs w:val="24"/>
              </w:rPr>
            </w:pPr>
            <w:r>
              <w:rPr>
                <w:color w:val="000000"/>
                <w:sz w:val="24"/>
                <w:szCs w:val="24"/>
              </w:rPr>
              <w:t>≥</w:t>
            </w:r>
            <w:r>
              <w:rPr>
                <w:rFonts w:ascii="Times New Roman" w:eastAsia="Times New Roman" w:hAnsi="Times New Roman" w:cs="Times New Roman"/>
                <w:color w:val="000000"/>
                <w:sz w:val="24"/>
                <w:szCs w:val="24"/>
              </w:rPr>
              <w:t>0,7</w:t>
            </w:r>
          </w:p>
        </w:tc>
      </w:tr>
      <w:tr w:rsidR="006C48AE" w14:paraId="0FEEA7FD"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6881D944"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финансовой зависимости (плечо финансового рычага)</w:t>
            </w:r>
          </w:p>
        </w:tc>
        <w:tc>
          <w:tcPr>
            <w:tcW w:w="1134" w:type="dxa"/>
            <w:tcBorders>
              <w:top w:val="nil"/>
              <w:left w:val="nil"/>
              <w:bottom w:val="single" w:sz="4" w:space="0" w:color="000000"/>
              <w:right w:val="single" w:sz="4" w:space="0" w:color="000000"/>
            </w:tcBorders>
            <w:vAlign w:val="center"/>
          </w:tcPr>
          <w:p w14:paraId="5878E1F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tc>
        <w:tc>
          <w:tcPr>
            <w:tcW w:w="1276" w:type="dxa"/>
            <w:tcBorders>
              <w:top w:val="nil"/>
              <w:left w:val="nil"/>
              <w:bottom w:val="single" w:sz="4" w:space="0" w:color="000000"/>
              <w:right w:val="single" w:sz="4" w:space="0" w:color="000000"/>
            </w:tcBorders>
            <w:vAlign w:val="center"/>
          </w:tcPr>
          <w:p w14:paraId="3080A50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c>
          <w:tcPr>
            <w:tcW w:w="1100" w:type="dxa"/>
            <w:tcBorders>
              <w:top w:val="nil"/>
              <w:left w:val="nil"/>
              <w:bottom w:val="single" w:sz="4" w:space="0" w:color="000000"/>
              <w:right w:val="single" w:sz="4" w:space="0" w:color="000000"/>
            </w:tcBorders>
            <w:vAlign w:val="center"/>
          </w:tcPr>
          <w:p w14:paraId="5247EC8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430" w:type="dxa"/>
            <w:tcBorders>
              <w:top w:val="nil"/>
              <w:left w:val="nil"/>
              <w:bottom w:val="single" w:sz="4" w:space="0" w:color="000000"/>
              <w:right w:val="single" w:sz="4" w:space="0" w:color="000000"/>
            </w:tcBorders>
            <w:vAlign w:val="center"/>
          </w:tcPr>
          <w:p w14:paraId="2C4937CE"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&lt;1</w:t>
            </w:r>
          </w:p>
        </w:tc>
      </w:tr>
      <w:tr w:rsidR="006C48AE" w14:paraId="605B0C0B"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51AF59B2"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обеспеченности оборотных активов собственными средствами</w:t>
            </w:r>
          </w:p>
        </w:tc>
        <w:tc>
          <w:tcPr>
            <w:tcW w:w="1134" w:type="dxa"/>
            <w:tcBorders>
              <w:top w:val="nil"/>
              <w:left w:val="nil"/>
              <w:bottom w:val="single" w:sz="4" w:space="0" w:color="000000"/>
              <w:right w:val="single" w:sz="4" w:space="0" w:color="000000"/>
            </w:tcBorders>
            <w:vAlign w:val="center"/>
          </w:tcPr>
          <w:p w14:paraId="4F10D1C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1276" w:type="dxa"/>
            <w:tcBorders>
              <w:top w:val="nil"/>
              <w:left w:val="nil"/>
              <w:bottom w:val="single" w:sz="4" w:space="0" w:color="000000"/>
              <w:right w:val="single" w:sz="4" w:space="0" w:color="000000"/>
            </w:tcBorders>
            <w:vAlign w:val="center"/>
          </w:tcPr>
          <w:p w14:paraId="534C065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1100" w:type="dxa"/>
            <w:tcBorders>
              <w:top w:val="nil"/>
              <w:left w:val="nil"/>
              <w:bottom w:val="single" w:sz="4" w:space="0" w:color="000000"/>
              <w:right w:val="single" w:sz="4" w:space="0" w:color="000000"/>
            </w:tcBorders>
            <w:vAlign w:val="center"/>
          </w:tcPr>
          <w:p w14:paraId="269C5C6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430" w:type="dxa"/>
            <w:tcBorders>
              <w:top w:val="nil"/>
              <w:left w:val="nil"/>
              <w:bottom w:val="single" w:sz="4" w:space="0" w:color="000000"/>
              <w:right w:val="single" w:sz="4" w:space="0" w:color="000000"/>
            </w:tcBorders>
            <w:vAlign w:val="center"/>
          </w:tcPr>
          <w:p w14:paraId="579092C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0,6-0,8</w:t>
            </w:r>
          </w:p>
        </w:tc>
      </w:tr>
      <w:tr w:rsidR="006C48AE" w14:paraId="4AFA66E1"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1FE9ED98"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обеспеченности запасов собственными средствами</w:t>
            </w:r>
          </w:p>
        </w:tc>
        <w:tc>
          <w:tcPr>
            <w:tcW w:w="1134" w:type="dxa"/>
            <w:tcBorders>
              <w:top w:val="nil"/>
              <w:left w:val="nil"/>
              <w:bottom w:val="single" w:sz="4" w:space="0" w:color="000000"/>
              <w:right w:val="single" w:sz="4" w:space="0" w:color="000000"/>
            </w:tcBorders>
            <w:vAlign w:val="center"/>
          </w:tcPr>
          <w:p w14:paraId="6C4CB3C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c>
          <w:tcPr>
            <w:tcW w:w="1276" w:type="dxa"/>
            <w:tcBorders>
              <w:top w:val="nil"/>
              <w:left w:val="nil"/>
              <w:bottom w:val="single" w:sz="4" w:space="0" w:color="000000"/>
              <w:right w:val="single" w:sz="4" w:space="0" w:color="000000"/>
            </w:tcBorders>
            <w:vAlign w:val="center"/>
          </w:tcPr>
          <w:p w14:paraId="55992DF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1100" w:type="dxa"/>
            <w:tcBorders>
              <w:top w:val="nil"/>
              <w:left w:val="nil"/>
              <w:bottom w:val="single" w:sz="4" w:space="0" w:color="000000"/>
              <w:right w:val="single" w:sz="4" w:space="0" w:color="000000"/>
            </w:tcBorders>
            <w:vAlign w:val="center"/>
          </w:tcPr>
          <w:p w14:paraId="7085F6F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w:t>
            </w:r>
          </w:p>
        </w:tc>
        <w:tc>
          <w:tcPr>
            <w:tcW w:w="1430" w:type="dxa"/>
            <w:tcBorders>
              <w:top w:val="nil"/>
              <w:left w:val="nil"/>
              <w:bottom w:val="single" w:sz="4" w:space="0" w:color="000000"/>
              <w:right w:val="single" w:sz="4" w:space="0" w:color="000000"/>
            </w:tcBorders>
            <w:vAlign w:val="center"/>
          </w:tcPr>
          <w:p w14:paraId="5E61049A" w14:textId="77777777" w:rsidR="006C48AE" w:rsidRDefault="004E74FC">
            <w:pPr>
              <w:spacing w:after="0" w:line="240" w:lineRule="auto"/>
              <w:jc w:val="center"/>
              <w:rPr>
                <w:rFonts w:ascii="Times New Roman" w:eastAsia="Times New Roman" w:hAnsi="Times New Roman" w:cs="Times New Roman"/>
                <w:color w:val="000000"/>
                <w:sz w:val="24"/>
                <w:szCs w:val="24"/>
              </w:rPr>
            </w:pPr>
            <w:r>
              <w:rPr>
                <w:color w:val="000000"/>
                <w:sz w:val="24"/>
                <w:szCs w:val="24"/>
              </w:rPr>
              <w:t>≥</w:t>
            </w:r>
            <w:r>
              <w:rPr>
                <w:rFonts w:ascii="Times New Roman" w:eastAsia="Times New Roman" w:hAnsi="Times New Roman" w:cs="Times New Roman"/>
                <w:color w:val="000000"/>
                <w:sz w:val="24"/>
                <w:szCs w:val="24"/>
              </w:rPr>
              <w:t>1 (нижний предел 0,6-0,8)</w:t>
            </w:r>
          </w:p>
        </w:tc>
      </w:tr>
      <w:tr w:rsidR="006C48AE" w14:paraId="571AEBCF" w14:textId="77777777">
        <w:trPr>
          <w:trHeight w:val="20"/>
          <w:tblHeader/>
        </w:trPr>
        <w:tc>
          <w:tcPr>
            <w:tcW w:w="4673" w:type="dxa"/>
            <w:tcBorders>
              <w:top w:val="nil"/>
              <w:left w:val="single" w:sz="4" w:space="0" w:color="000000"/>
              <w:bottom w:val="single" w:sz="4" w:space="0" w:color="000000"/>
              <w:right w:val="single" w:sz="4" w:space="0" w:color="000000"/>
            </w:tcBorders>
            <w:vAlign w:val="bottom"/>
          </w:tcPr>
          <w:p w14:paraId="0349A4E7"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риска банкротства</w:t>
            </w:r>
          </w:p>
        </w:tc>
        <w:tc>
          <w:tcPr>
            <w:tcW w:w="1134" w:type="dxa"/>
            <w:tcBorders>
              <w:top w:val="nil"/>
              <w:left w:val="nil"/>
              <w:bottom w:val="single" w:sz="4" w:space="0" w:color="000000"/>
              <w:right w:val="single" w:sz="4" w:space="0" w:color="000000"/>
            </w:tcBorders>
            <w:vAlign w:val="center"/>
          </w:tcPr>
          <w:p w14:paraId="3B47D94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w:t>
            </w:r>
          </w:p>
        </w:tc>
        <w:tc>
          <w:tcPr>
            <w:tcW w:w="1276" w:type="dxa"/>
            <w:tcBorders>
              <w:top w:val="nil"/>
              <w:left w:val="nil"/>
              <w:bottom w:val="single" w:sz="4" w:space="0" w:color="000000"/>
              <w:right w:val="single" w:sz="4" w:space="0" w:color="000000"/>
            </w:tcBorders>
            <w:vAlign w:val="center"/>
          </w:tcPr>
          <w:p w14:paraId="4E667A5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w:t>
            </w:r>
          </w:p>
        </w:tc>
        <w:tc>
          <w:tcPr>
            <w:tcW w:w="1100" w:type="dxa"/>
            <w:tcBorders>
              <w:top w:val="nil"/>
              <w:left w:val="nil"/>
              <w:bottom w:val="single" w:sz="4" w:space="0" w:color="000000"/>
              <w:right w:val="single" w:sz="4" w:space="0" w:color="000000"/>
            </w:tcBorders>
            <w:vAlign w:val="center"/>
          </w:tcPr>
          <w:p w14:paraId="4C6F4EE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w:t>
            </w:r>
          </w:p>
        </w:tc>
        <w:tc>
          <w:tcPr>
            <w:tcW w:w="1430" w:type="dxa"/>
            <w:tcBorders>
              <w:top w:val="nil"/>
              <w:left w:val="nil"/>
              <w:bottom w:val="single" w:sz="4" w:space="0" w:color="000000"/>
              <w:right w:val="single" w:sz="4" w:space="0" w:color="000000"/>
            </w:tcBorders>
            <w:vAlign w:val="center"/>
          </w:tcPr>
          <w:p w14:paraId="6532560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w:t>
            </w:r>
          </w:p>
        </w:tc>
      </w:tr>
    </w:tbl>
    <w:p w14:paraId="3ED556EA" w14:textId="77777777" w:rsidR="00564ED8" w:rsidRPr="00564ED8" w:rsidRDefault="00564ED8" w:rsidP="00564ED8">
      <w:pPr>
        <w:spacing w:after="0" w:line="360" w:lineRule="auto"/>
        <w:jc w:val="both"/>
        <w:rPr>
          <w:rFonts w:ascii="Times New Roman" w:eastAsia="Times New Roman" w:hAnsi="Times New Roman" w:cs="Times New Roman"/>
          <w:sz w:val="24"/>
          <w:szCs w:val="24"/>
        </w:rPr>
      </w:pPr>
      <w:bookmarkStart w:id="12" w:name="_t5xzmnasvr8u" w:colFirst="0" w:colLast="0"/>
      <w:bookmarkEnd w:id="12"/>
      <w:r w:rsidRPr="00564ED8">
        <w:rPr>
          <w:rFonts w:ascii="Times New Roman" w:eastAsia="Times New Roman" w:hAnsi="Times New Roman" w:cs="Times New Roman"/>
          <w:sz w:val="24"/>
          <w:szCs w:val="24"/>
        </w:rPr>
        <w:t>Источник: составлено автором по данным предприятия</w:t>
      </w:r>
    </w:p>
    <w:p w14:paraId="19742C5F" w14:textId="77777777" w:rsidR="006C48AE" w:rsidRDefault="006C48AE">
      <w:pPr>
        <w:spacing w:after="0" w:line="360" w:lineRule="auto"/>
        <w:jc w:val="both"/>
        <w:rPr>
          <w:rFonts w:ascii="Times New Roman" w:eastAsia="Times New Roman" w:hAnsi="Times New Roman" w:cs="Times New Roman"/>
          <w:sz w:val="28"/>
          <w:szCs w:val="28"/>
        </w:rPr>
      </w:pPr>
    </w:p>
    <w:p w14:paraId="18D6F86E" w14:textId="77777777" w:rsidR="00AA20D3" w:rsidRDefault="004E74FC">
      <w:pPr>
        <w:spacing w:after="0" w:line="360" w:lineRule="auto"/>
        <w:ind w:firstLine="708"/>
        <w:jc w:val="both"/>
        <w:rPr>
          <w:rFonts w:ascii="Times New Roman" w:eastAsia="Times New Roman" w:hAnsi="Times New Roman" w:cs="Times New Roman"/>
          <w:sz w:val="28"/>
          <w:szCs w:val="28"/>
        </w:rPr>
      </w:pPr>
      <w:bookmarkStart w:id="13" w:name="_6k7dq65teaxh" w:colFirst="0" w:colLast="0"/>
      <w:bookmarkEnd w:id="13"/>
      <w:r>
        <w:rPr>
          <w:rFonts w:ascii="Times New Roman" w:eastAsia="Times New Roman" w:hAnsi="Times New Roman" w:cs="Times New Roman"/>
          <w:sz w:val="28"/>
          <w:szCs w:val="28"/>
        </w:rPr>
        <w:t>В целом компания обладает достаточно высокой финансовой устойчивостью, соотношение собственного и заемного капиталов составляет в среднем 65% к 35%, следовательно, большая часть имущества компании сформирована за счет собственных средств</w:t>
      </w:r>
      <w:r w:rsidR="00AA20D3">
        <w:rPr>
          <w:rFonts w:ascii="Times New Roman" w:eastAsia="Times New Roman" w:hAnsi="Times New Roman" w:cs="Times New Roman"/>
          <w:sz w:val="28"/>
          <w:szCs w:val="28"/>
        </w:rPr>
        <w:t>, что свидетельствует о финансовой независимости от заемных средств.</w:t>
      </w:r>
      <w:r>
        <w:rPr>
          <w:rFonts w:ascii="Times New Roman" w:eastAsia="Times New Roman" w:hAnsi="Times New Roman" w:cs="Times New Roman"/>
          <w:sz w:val="28"/>
          <w:szCs w:val="28"/>
        </w:rPr>
        <w:t xml:space="preserve"> </w:t>
      </w:r>
    </w:p>
    <w:p w14:paraId="0A05451E" w14:textId="77777777" w:rsidR="00AA20D3" w:rsidRDefault="004E74F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финансовой устойчивости также находится выше нормативного уровня, что говорит об эффективном соотношении собственного и заемного капиталов, однако в динамике из года в год происходит незначительное снижение данного показателя в связи с увеличением использования заемного капитала в финансировании деятельности компании, о чем также свидетельствует снижение коэффициента риска банкротства. </w:t>
      </w:r>
    </w:p>
    <w:p w14:paraId="0739495F" w14:textId="2686DF25" w:rsidR="006C48AE" w:rsidRDefault="004E74F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Компания не может сформировать оборотные активы только за счет собственных средств, о чем свидетельствуют отрицательные значения коэффициентов обеспеченности оборотных активов и запасов собственными средствами, что негативно сказывается на финансовом состоянии </w:t>
      </w:r>
      <w:r>
        <w:rPr>
          <w:rFonts w:ascii="Times New Roman" w:eastAsia="Times New Roman" w:hAnsi="Times New Roman" w:cs="Times New Roman"/>
          <w:sz w:val="28"/>
          <w:szCs w:val="28"/>
        </w:rPr>
        <w:lastRenderedPageBreak/>
        <w:t>организации</w:t>
      </w:r>
      <w:r w:rsidR="00AA20D3">
        <w:rPr>
          <w:rFonts w:ascii="Times New Roman" w:eastAsia="Times New Roman" w:hAnsi="Times New Roman" w:cs="Times New Roman"/>
          <w:sz w:val="28"/>
          <w:szCs w:val="28"/>
        </w:rPr>
        <w:t>, так как сви</w:t>
      </w:r>
      <w:r w:rsidR="00C1372A">
        <w:rPr>
          <w:rFonts w:ascii="Times New Roman" w:eastAsia="Times New Roman" w:hAnsi="Times New Roman" w:cs="Times New Roman"/>
          <w:sz w:val="28"/>
          <w:szCs w:val="28"/>
        </w:rPr>
        <w:t>де</w:t>
      </w:r>
      <w:r w:rsidR="00AA20D3">
        <w:rPr>
          <w:rFonts w:ascii="Times New Roman" w:eastAsia="Times New Roman" w:hAnsi="Times New Roman" w:cs="Times New Roman"/>
          <w:sz w:val="28"/>
          <w:szCs w:val="28"/>
        </w:rPr>
        <w:t xml:space="preserve">тельствует о недостаточной маневренности собственных средств компании, что в свою очередь может затруднять расчеты по обязательствам. </w:t>
      </w:r>
    </w:p>
    <w:p w14:paraId="3BC08134"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проведем анализ ликвидности баланса (таблица 2.3).</w:t>
      </w:r>
    </w:p>
    <w:p w14:paraId="63296A80" w14:textId="77777777" w:rsidR="006C48AE" w:rsidRDefault="004E74FC" w:rsidP="00AA20D3">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2.3 - Анализ ликвидности баланса</w:t>
      </w:r>
    </w:p>
    <w:tbl>
      <w:tblPr>
        <w:tblStyle w:val="a9"/>
        <w:tblW w:w="9634" w:type="dxa"/>
        <w:tblInd w:w="-1" w:type="dxa"/>
        <w:tblLayout w:type="fixed"/>
        <w:tblLook w:val="0400" w:firstRow="0" w:lastRow="0" w:firstColumn="0" w:lastColumn="0" w:noHBand="0" w:noVBand="1"/>
      </w:tblPr>
      <w:tblGrid>
        <w:gridCol w:w="1413"/>
        <w:gridCol w:w="1134"/>
        <w:gridCol w:w="1134"/>
        <w:gridCol w:w="1134"/>
        <w:gridCol w:w="1454"/>
        <w:gridCol w:w="1097"/>
        <w:gridCol w:w="1134"/>
        <w:gridCol w:w="1134"/>
      </w:tblGrid>
      <w:tr w:rsidR="006C48AE" w14:paraId="22535E22" w14:textId="77777777">
        <w:trPr>
          <w:trHeight w:val="690"/>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6E79CB2"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 активов</w:t>
            </w:r>
          </w:p>
        </w:tc>
        <w:tc>
          <w:tcPr>
            <w:tcW w:w="3402" w:type="dxa"/>
            <w:gridSpan w:val="3"/>
            <w:tcBorders>
              <w:top w:val="single" w:sz="4" w:space="0" w:color="000000"/>
              <w:left w:val="nil"/>
              <w:bottom w:val="single" w:sz="4" w:space="0" w:color="000000"/>
              <w:right w:val="single" w:sz="4" w:space="0" w:color="000000"/>
            </w:tcBorders>
            <w:vAlign w:val="center"/>
          </w:tcPr>
          <w:p w14:paraId="3E733D98"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Значение, </w:t>
            </w:r>
            <w:proofErr w:type="spellStart"/>
            <w:r>
              <w:rPr>
                <w:rFonts w:ascii="Times New Roman" w:eastAsia="Times New Roman" w:hAnsi="Times New Roman" w:cs="Times New Roman"/>
                <w:color w:val="000000"/>
                <w:sz w:val="24"/>
                <w:szCs w:val="24"/>
              </w:rPr>
              <w:t>т.р</w:t>
            </w:r>
            <w:proofErr w:type="spellEnd"/>
            <w:r>
              <w:rPr>
                <w:rFonts w:ascii="Times New Roman" w:eastAsia="Times New Roman" w:hAnsi="Times New Roman" w:cs="Times New Roman"/>
                <w:color w:val="000000"/>
                <w:sz w:val="24"/>
                <w:szCs w:val="24"/>
              </w:rPr>
              <w:t>.</w:t>
            </w:r>
          </w:p>
        </w:tc>
        <w:tc>
          <w:tcPr>
            <w:tcW w:w="1454" w:type="dxa"/>
            <w:vMerge w:val="restart"/>
            <w:tcBorders>
              <w:top w:val="single" w:sz="4" w:space="0" w:color="000000"/>
              <w:left w:val="single" w:sz="4" w:space="0" w:color="000000"/>
              <w:bottom w:val="single" w:sz="4" w:space="0" w:color="000000"/>
              <w:right w:val="single" w:sz="4" w:space="0" w:color="000000"/>
            </w:tcBorders>
            <w:vAlign w:val="center"/>
          </w:tcPr>
          <w:p w14:paraId="660EBD65"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 пассивов</w:t>
            </w:r>
          </w:p>
        </w:tc>
        <w:tc>
          <w:tcPr>
            <w:tcW w:w="3365" w:type="dxa"/>
            <w:gridSpan w:val="3"/>
            <w:tcBorders>
              <w:top w:val="single" w:sz="4" w:space="0" w:color="000000"/>
              <w:left w:val="nil"/>
              <w:bottom w:val="single" w:sz="4" w:space="0" w:color="000000"/>
              <w:right w:val="single" w:sz="4" w:space="0" w:color="000000"/>
            </w:tcBorders>
            <w:vAlign w:val="center"/>
          </w:tcPr>
          <w:p w14:paraId="5E84A8FA"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Значение, </w:t>
            </w:r>
            <w:proofErr w:type="spellStart"/>
            <w:r>
              <w:rPr>
                <w:rFonts w:ascii="Times New Roman" w:eastAsia="Times New Roman" w:hAnsi="Times New Roman" w:cs="Times New Roman"/>
                <w:color w:val="000000"/>
                <w:sz w:val="24"/>
                <w:szCs w:val="24"/>
              </w:rPr>
              <w:t>т.р</w:t>
            </w:r>
            <w:proofErr w:type="spellEnd"/>
            <w:r>
              <w:rPr>
                <w:rFonts w:ascii="Times New Roman" w:eastAsia="Times New Roman" w:hAnsi="Times New Roman" w:cs="Times New Roman"/>
                <w:color w:val="000000"/>
                <w:sz w:val="24"/>
                <w:szCs w:val="24"/>
              </w:rPr>
              <w:t>.</w:t>
            </w:r>
          </w:p>
        </w:tc>
      </w:tr>
      <w:tr w:rsidR="006C48AE" w14:paraId="037B6C90" w14:textId="77777777">
        <w:trPr>
          <w:trHeight w:val="314"/>
        </w:trPr>
        <w:tc>
          <w:tcPr>
            <w:tcW w:w="1413" w:type="dxa"/>
            <w:vMerge/>
            <w:tcBorders>
              <w:top w:val="single" w:sz="4" w:space="0" w:color="000000"/>
              <w:left w:val="single" w:sz="4" w:space="0" w:color="000000"/>
              <w:bottom w:val="single" w:sz="4" w:space="0" w:color="000000"/>
              <w:right w:val="single" w:sz="4" w:space="0" w:color="000000"/>
            </w:tcBorders>
            <w:vAlign w:val="center"/>
          </w:tcPr>
          <w:p w14:paraId="734EF39F" w14:textId="77777777" w:rsidR="006C48AE" w:rsidRDefault="006C48AE" w:rsidP="00AA20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vAlign w:val="center"/>
          </w:tcPr>
          <w:p w14:paraId="36E52096"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p w14:paraId="0F1FDDDB"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134" w:type="dxa"/>
            <w:tcBorders>
              <w:top w:val="nil"/>
              <w:left w:val="nil"/>
              <w:bottom w:val="single" w:sz="4" w:space="0" w:color="000000"/>
              <w:right w:val="single" w:sz="4" w:space="0" w:color="000000"/>
            </w:tcBorders>
            <w:vAlign w:val="center"/>
          </w:tcPr>
          <w:p w14:paraId="548ED959"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p w14:paraId="07350D6B"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134" w:type="dxa"/>
            <w:tcBorders>
              <w:top w:val="nil"/>
              <w:left w:val="nil"/>
              <w:bottom w:val="single" w:sz="4" w:space="0" w:color="000000"/>
              <w:right w:val="single" w:sz="4" w:space="0" w:color="000000"/>
            </w:tcBorders>
            <w:vAlign w:val="center"/>
          </w:tcPr>
          <w:p w14:paraId="19506C6F"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p w14:paraId="3D5C9865"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454" w:type="dxa"/>
            <w:vMerge/>
            <w:tcBorders>
              <w:top w:val="single" w:sz="4" w:space="0" w:color="000000"/>
              <w:left w:val="single" w:sz="4" w:space="0" w:color="000000"/>
              <w:bottom w:val="single" w:sz="4" w:space="0" w:color="000000"/>
              <w:right w:val="single" w:sz="4" w:space="0" w:color="000000"/>
            </w:tcBorders>
            <w:vAlign w:val="center"/>
          </w:tcPr>
          <w:p w14:paraId="244F2BC4" w14:textId="77777777" w:rsidR="006C48AE" w:rsidRDefault="006C48AE" w:rsidP="00AA20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097" w:type="dxa"/>
            <w:tcBorders>
              <w:top w:val="nil"/>
              <w:left w:val="nil"/>
              <w:bottom w:val="single" w:sz="4" w:space="0" w:color="000000"/>
              <w:right w:val="single" w:sz="4" w:space="0" w:color="000000"/>
            </w:tcBorders>
            <w:vAlign w:val="center"/>
          </w:tcPr>
          <w:p w14:paraId="0C4EC636"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p w14:paraId="4516CE73"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134" w:type="dxa"/>
            <w:tcBorders>
              <w:top w:val="nil"/>
              <w:left w:val="nil"/>
              <w:bottom w:val="single" w:sz="4" w:space="0" w:color="000000"/>
              <w:right w:val="single" w:sz="4" w:space="0" w:color="000000"/>
            </w:tcBorders>
            <w:vAlign w:val="center"/>
          </w:tcPr>
          <w:p w14:paraId="16FADA89"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p w14:paraId="309E7B8F"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134" w:type="dxa"/>
            <w:tcBorders>
              <w:top w:val="nil"/>
              <w:left w:val="nil"/>
              <w:bottom w:val="single" w:sz="4" w:space="0" w:color="000000"/>
              <w:right w:val="single" w:sz="4" w:space="0" w:color="000000"/>
            </w:tcBorders>
            <w:vAlign w:val="center"/>
          </w:tcPr>
          <w:p w14:paraId="4AF6E2DB"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w:t>
            </w:r>
          </w:p>
          <w:p w14:paraId="7C69D774"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r>
      <w:tr w:rsidR="006C48AE" w14:paraId="1F5570C0" w14:textId="77777777">
        <w:trPr>
          <w:trHeight w:val="946"/>
        </w:trPr>
        <w:tc>
          <w:tcPr>
            <w:tcW w:w="1413" w:type="dxa"/>
            <w:tcBorders>
              <w:top w:val="nil"/>
              <w:left w:val="single" w:sz="4" w:space="0" w:color="000000"/>
              <w:bottom w:val="single" w:sz="4" w:space="0" w:color="000000"/>
              <w:right w:val="single" w:sz="4" w:space="0" w:color="000000"/>
            </w:tcBorders>
            <w:vAlign w:val="bottom"/>
          </w:tcPr>
          <w:p w14:paraId="310087B0"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А1 "Наиболее ликвидные активы</w:t>
            </w:r>
          </w:p>
        </w:tc>
        <w:tc>
          <w:tcPr>
            <w:tcW w:w="1134" w:type="dxa"/>
            <w:tcBorders>
              <w:top w:val="nil"/>
              <w:left w:val="nil"/>
              <w:bottom w:val="single" w:sz="4" w:space="0" w:color="000000"/>
              <w:right w:val="single" w:sz="4" w:space="0" w:color="000000"/>
            </w:tcBorders>
            <w:vAlign w:val="bottom"/>
          </w:tcPr>
          <w:p w14:paraId="7C622754"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815 085 537</w:t>
            </w:r>
          </w:p>
        </w:tc>
        <w:tc>
          <w:tcPr>
            <w:tcW w:w="1134" w:type="dxa"/>
            <w:tcBorders>
              <w:top w:val="nil"/>
              <w:left w:val="nil"/>
              <w:bottom w:val="single" w:sz="4" w:space="0" w:color="000000"/>
              <w:right w:val="single" w:sz="4" w:space="0" w:color="000000"/>
            </w:tcBorders>
            <w:vAlign w:val="bottom"/>
          </w:tcPr>
          <w:p w14:paraId="5C8BAACA"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911 089 763</w:t>
            </w:r>
          </w:p>
        </w:tc>
        <w:tc>
          <w:tcPr>
            <w:tcW w:w="1134" w:type="dxa"/>
            <w:tcBorders>
              <w:top w:val="nil"/>
              <w:left w:val="nil"/>
              <w:bottom w:val="single" w:sz="4" w:space="0" w:color="000000"/>
              <w:right w:val="single" w:sz="4" w:space="0" w:color="000000"/>
            </w:tcBorders>
            <w:vAlign w:val="bottom"/>
          </w:tcPr>
          <w:p w14:paraId="7523E929"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1 966 552 939</w:t>
            </w:r>
          </w:p>
        </w:tc>
        <w:tc>
          <w:tcPr>
            <w:tcW w:w="1454" w:type="dxa"/>
            <w:tcBorders>
              <w:top w:val="nil"/>
              <w:left w:val="nil"/>
              <w:bottom w:val="single" w:sz="4" w:space="0" w:color="000000"/>
              <w:right w:val="single" w:sz="4" w:space="0" w:color="000000"/>
            </w:tcBorders>
            <w:vAlign w:val="bottom"/>
          </w:tcPr>
          <w:p w14:paraId="7DB4CBAB"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П1"Наиболее срочные обязательства"</w:t>
            </w:r>
          </w:p>
        </w:tc>
        <w:tc>
          <w:tcPr>
            <w:tcW w:w="1097" w:type="dxa"/>
            <w:tcBorders>
              <w:top w:val="nil"/>
              <w:left w:val="nil"/>
              <w:bottom w:val="single" w:sz="4" w:space="0" w:color="000000"/>
              <w:right w:val="single" w:sz="4" w:space="0" w:color="000000"/>
            </w:tcBorders>
            <w:vAlign w:val="bottom"/>
          </w:tcPr>
          <w:p w14:paraId="1BF6500A"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908 361 080</w:t>
            </w:r>
          </w:p>
        </w:tc>
        <w:tc>
          <w:tcPr>
            <w:tcW w:w="1134" w:type="dxa"/>
            <w:tcBorders>
              <w:top w:val="nil"/>
              <w:left w:val="nil"/>
              <w:bottom w:val="single" w:sz="4" w:space="0" w:color="000000"/>
              <w:right w:val="single" w:sz="4" w:space="0" w:color="000000"/>
            </w:tcBorders>
            <w:vAlign w:val="bottom"/>
          </w:tcPr>
          <w:p w14:paraId="53695F48"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852 767 523</w:t>
            </w:r>
          </w:p>
        </w:tc>
        <w:tc>
          <w:tcPr>
            <w:tcW w:w="1134" w:type="dxa"/>
            <w:tcBorders>
              <w:top w:val="nil"/>
              <w:left w:val="nil"/>
              <w:bottom w:val="single" w:sz="4" w:space="0" w:color="000000"/>
              <w:right w:val="single" w:sz="4" w:space="0" w:color="000000"/>
            </w:tcBorders>
            <w:vAlign w:val="bottom"/>
          </w:tcPr>
          <w:p w14:paraId="0C792A38"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1 017 326 985</w:t>
            </w:r>
          </w:p>
        </w:tc>
      </w:tr>
      <w:tr w:rsidR="006C48AE" w14:paraId="07012137" w14:textId="77777777">
        <w:trPr>
          <w:trHeight w:val="630"/>
        </w:trPr>
        <w:tc>
          <w:tcPr>
            <w:tcW w:w="1413" w:type="dxa"/>
            <w:tcBorders>
              <w:top w:val="nil"/>
              <w:left w:val="single" w:sz="4" w:space="0" w:color="000000"/>
              <w:bottom w:val="single" w:sz="4" w:space="0" w:color="000000"/>
              <w:right w:val="single" w:sz="4" w:space="0" w:color="000000"/>
            </w:tcBorders>
            <w:vAlign w:val="bottom"/>
          </w:tcPr>
          <w:p w14:paraId="2BD33764"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А2"Быстрореализуемые активы"</w:t>
            </w:r>
          </w:p>
        </w:tc>
        <w:tc>
          <w:tcPr>
            <w:tcW w:w="1134" w:type="dxa"/>
            <w:tcBorders>
              <w:top w:val="nil"/>
              <w:left w:val="nil"/>
              <w:bottom w:val="single" w:sz="4" w:space="0" w:color="000000"/>
              <w:right w:val="single" w:sz="4" w:space="0" w:color="000000"/>
            </w:tcBorders>
            <w:vAlign w:val="bottom"/>
          </w:tcPr>
          <w:p w14:paraId="6100AF4C"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1 876 595 634</w:t>
            </w:r>
          </w:p>
        </w:tc>
        <w:tc>
          <w:tcPr>
            <w:tcW w:w="1134" w:type="dxa"/>
            <w:tcBorders>
              <w:top w:val="nil"/>
              <w:left w:val="nil"/>
              <w:bottom w:val="single" w:sz="4" w:space="0" w:color="000000"/>
              <w:right w:val="single" w:sz="4" w:space="0" w:color="000000"/>
            </w:tcBorders>
            <w:vAlign w:val="bottom"/>
          </w:tcPr>
          <w:p w14:paraId="7251EABF"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2 174 060 202</w:t>
            </w:r>
          </w:p>
        </w:tc>
        <w:tc>
          <w:tcPr>
            <w:tcW w:w="1134" w:type="dxa"/>
            <w:tcBorders>
              <w:top w:val="nil"/>
              <w:left w:val="nil"/>
              <w:bottom w:val="single" w:sz="4" w:space="0" w:color="000000"/>
              <w:right w:val="single" w:sz="4" w:space="0" w:color="000000"/>
            </w:tcBorders>
            <w:vAlign w:val="bottom"/>
          </w:tcPr>
          <w:p w14:paraId="4BA7900E"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3 283 619 882</w:t>
            </w:r>
          </w:p>
        </w:tc>
        <w:tc>
          <w:tcPr>
            <w:tcW w:w="1454" w:type="dxa"/>
            <w:tcBorders>
              <w:top w:val="nil"/>
              <w:left w:val="nil"/>
              <w:bottom w:val="single" w:sz="4" w:space="0" w:color="000000"/>
              <w:right w:val="single" w:sz="4" w:space="0" w:color="000000"/>
            </w:tcBorders>
            <w:vAlign w:val="bottom"/>
          </w:tcPr>
          <w:p w14:paraId="764E4DDD"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П2"Краткосрочные обязательства"</w:t>
            </w:r>
          </w:p>
        </w:tc>
        <w:tc>
          <w:tcPr>
            <w:tcW w:w="1097" w:type="dxa"/>
            <w:tcBorders>
              <w:top w:val="nil"/>
              <w:left w:val="nil"/>
              <w:bottom w:val="single" w:sz="4" w:space="0" w:color="000000"/>
              <w:right w:val="single" w:sz="4" w:space="0" w:color="000000"/>
            </w:tcBorders>
            <w:vAlign w:val="bottom"/>
          </w:tcPr>
          <w:p w14:paraId="350DFCE4"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1 093 625 433</w:t>
            </w:r>
          </w:p>
        </w:tc>
        <w:tc>
          <w:tcPr>
            <w:tcW w:w="1134" w:type="dxa"/>
            <w:tcBorders>
              <w:top w:val="nil"/>
              <w:left w:val="nil"/>
              <w:bottom w:val="single" w:sz="4" w:space="0" w:color="000000"/>
              <w:right w:val="single" w:sz="4" w:space="0" w:color="000000"/>
            </w:tcBorders>
            <w:vAlign w:val="bottom"/>
          </w:tcPr>
          <w:p w14:paraId="74AB75FD"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1 353 045 123</w:t>
            </w:r>
          </w:p>
        </w:tc>
        <w:tc>
          <w:tcPr>
            <w:tcW w:w="1134" w:type="dxa"/>
            <w:tcBorders>
              <w:top w:val="nil"/>
              <w:left w:val="nil"/>
              <w:bottom w:val="single" w:sz="4" w:space="0" w:color="000000"/>
              <w:right w:val="single" w:sz="4" w:space="0" w:color="000000"/>
            </w:tcBorders>
            <w:vAlign w:val="bottom"/>
          </w:tcPr>
          <w:p w14:paraId="70DA6FD5"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1 941 908 757</w:t>
            </w:r>
          </w:p>
        </w:tc>
      </w:tr>
      <w:tr w:rsidR="006C48AE" w14:paraId="1C3B69C7" w14:textId="77777777">
        <w:trPr>
          <w:trHeight w:val="690"/>
        </w:trPr>
        <w:tc>
          <w:tcPr>
            <w:tcW w:w="1413" w:type="dxa"/>
            <w:tcBorders>
              <w:top w:val="nil"/>
              <w:left w:val="single" w:sz="4" w:space="0" w:color="000000"/>
              <w:bottom w:val="single" w:sz="4" w:space="0" w:color="000000"/>
              <w:right w:val="single" w:sz="4" w:space="0" w:color="000000"/>
            </w:tcBorders>
            <w:vAlign w:val="bottom"/>
          </w:tcPr>
          <w:p w14:paraId="5163DE92"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А3"Медленнореализуемые активы"</w:t>
            </w:r>
          </w:p>
        </w:tc>
        <w:tc>
          <w:tcPr>
            <w:tcW w:w="1134" w:type="dxa"/>
            <w:tcBorders>
              <w:top w:val="nil"/>
              <w:left w:val="nil"/>
              <w:bottom w:val="single" w:sz="4" w:space="0" w:color="000000"/>
              <w:right w:val="single" w:sz="4" w:space="0" w:color="000000"/>
            </w:tcBorders>
            <w:vAlign w:val="bottom"/>
          </w:tcPr>
          <w:p w14:paraId="7F5E6B97"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732 407 787</w:t>
            </w:r>
          </w:p>
        </w:tc>
        <w:tc>
          <w:tcPr>
            <w:tcW w:w="1134" w:type="dxa"/>
            <w:tcBorders>
              <w:top w:val="nil"/>
              <w:left w:val="nil"/>
              <w:bottom w:val="single" w:sz="4" w:space="0" w:color="000000"/>
              <w:right w:val="single" w:sz="4" w:space="0" w:color="000000"/>
            </w:tcBorders>
            <w:vAlign w:val="bottom"/>
          </w:tcPr>
          <w:p w14:paraId="645276EA"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649 540 120</w:t>
            </w:r>
          </w:p>
        </w:tc>
        <w:tc>
          <w:tcPr>
            <w:tcW w:w="1134" w:type="dxa"/>
            <w:tcBorders>
              <w:top w:val="nil"/>
              <w:left w:val="nil"/>
              <w:bottom w:val="single" w:sz="4" w:space="0" w:color="000000"/>
              <w:right w:val="single" w:sz="4" w:space="0" w:color="000000"/>
            </w:tcBorders>
            <w:vAlign w:val="bottom"/>
          </w:tcPr>
          <w:p w14:paraId="4AA8E0F9"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628 658 130</w:t>
            </w:r>
          </w:p>
        </w:tc>
        <w:tc>
          <w:tcPr>
            <w:tcW w:w="1454" w:type="dxa"/>
            <w:tcBorders>
              <w:top w:val="nil"/>
              <w:left w:val="nil"/>
              <w:bottom w:val="single" w:sz="4" w:space="0" w:color="000000"/>
              <w:right w:val="single" w:sz="4" w:space="0" w:color="000000"/>
            </w:tcBorders>
            <w:vAlign w:val="bottom"/>
          </w:tcPr>
          <w:p w14:paraId="4BCB94DC"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П3"Долгосрочные обязательства"</w:t>
            </w:r>
          </w:p>
        </w:tc>
        <w:tc>
          <w:tcPr>
            <w:tcW w:w="1097" w:type="dxa"/>
            <w:tcBorders>
              <w:top w:val="nil"/>
              <w:left w:val="nil"/>
              <w:bottom w:val="single" w:sz="4" w:space="0" w:color="000000"/>
              <w:right w:val="single" w:sz="4" w:space="0" w:color="000000"/>
            </w:tcBorders>
            <w:vAlign w:val="bottom"/>
          </w:tcPr>
          <w:p w14:paraId="5C1AA50B"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2 926 312 955</w:t>
            </w:r>
          </w:p>
        </w:tc>
        <w:tc>
          <w:tcPr>
            <w:tcW w:w="1134" w:type="dxa"/>
            <w:tcBorders>
              <w:top w:val="nil"/>
              <w:left w:val="nil"/>
              <w:bottom w:val="single" w:sz="4" w:space="0" w:color="000000"/>
              <w:right w:val="single" w:sz="4" w:space="0" w:color="000000"/>
            </w:tcBorders>
            <w:vAlign w:val="bottom"/>
          </w:tcPr>
          <w:p w14:paraId="053A9122"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3 292 782 511</w:t>
            </w:r>
          </w:p>
        </w:tc>
        <w:tc>
          <w:tcPr>
            <w:tcW w:w="1134" w:type="dxa"/>
            <w:tcBorders>
              <w:top w:val="nil"/>
              <w:left w:val="nil"/>
              <w:bottom w:val="single" w:sz="4" w:space="0" w:color="000000"/>
              <w:right w:val="single" w:sz="4" w:space="0" w:color="000000"/>
            </w:tcBorders>
            <w:vAlign w:val="bottom"/>
          </w:tcPr>
          <w:p w14:paraId="32DE7BAD"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3 817 993 299</w:t>
            </w:r>
          </w:p>
        </w:tc>
      </w:tr>
      <w:tr w:rsidR="006C48AE" w14:paraId="02134C07" w14:textId="77777777">
        <w:trPr>
          <w:trHeight w:val="630"/>
        </w:trPr>
        <w:tc>
          <w:tcPr>
            <w:tcW w:w="1413" w:type="dxa"/>
            <w:tcBorders>
              <w:top w:val="nil"/>
              <w:left w:val="single" w:sz="4" w:space="0" w:color="000000"/>
              <w:bottom w:val="single" w:sz="4" w:space="0" w:color="000000"/>
              <w:right w:val="single" w:sz="4" w:space="0" w:color="000000"/>
            </w:tcBorders>
            <w:vAlign w:val="bottom"/>
          </w:tcPr>
          <w:p w14:paraId="2E55A72C"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А4"Труднореализуемые активы</w:t>
            </w:r>
          </w:p>
        </w:tc>
        <w:tc>
          <w:tcPr>
            <w:tcW w:w="1134" w:type="dxa"/>
            <w:tcBorders>
              <w:top w:val="nil"/>
              <w:left w:val="nil"/>
              <w:bottom w:val="single" w:sz="4" w:space="0" w:color="000000"/>
              <w:right w:val="single" w:sz="4" w:space="0" w:color="000000"/>
            </w:tcBorders>
            <w:vAlign w:val="bottom"/>
          </w:tcPr>
          <w:p w14:paraId="26FB1F73"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12 515 715 768</w:t>
            </w:r>
          </w:p>
        </w:tc>
        <w:tc>
          <w:tcPr>
            <w:tcW w:w="1134" w:type="dxa"/>
            <w:tcBorders>
              <w:top w:val="nil"/>
              <w:left w:val="nil"/>
              <w:bottom w:val="single" w:sz="4" w:space="0" w:color="000000"/>
              <w:right w:val="single" w:sz="4" w:space="0" w:color="000000"/>
            </w:tcBorders>
            <w:vAlign w:val="bottom"/>
          </w:tcPr>
          <w:p w14:paraId="0AF237CD"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11 980 826 674</w:t>
            </w:r>
          </w:p>
        </w:tc>
        <w:tc>
          <w:tcPr>
            <w:tcW w:w="1134" w:type="dxa"/>
            <w:tcBorders>
              <w:top w:val="nil"/>
              <w:left w:val="nil"/>
              <w:bottom w:val="single" w:sz="4" w:space="0" w:color="000000"/>
              <w:right w:val="single" w:sz="4" w:space="0" w:color="000000"/>
            </w:tcBorders>
            <w:vAlign w:val="bottom"/>
          </w:tcPr>
          <w:p w14:paraId="09536FB8"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14 458 334 227</w:t>
            </w:r>
          </w:p>
        </w:tc>
        <w:tc>
          <w:tcPr>
            <w:tcW w:w="1454" w:type="dxa"/>
            <w:tcBorders>
              <w:top w:val="nil"/>
              <w:left w:val="nil"/>
              <w:bottom w:val="single" w:sz="4" w:space="0" w:color="000000"/>
              <w:right w:val="single" w:sz="4" w:space="0" w:color="000000"/>
            </w:tcBorders>
            <w:vAlign w:val="bottom"/>
          </w:tcPr>
          <w:p w14:paraId="60F19AD1"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П4"Постоянные пассивы"</w:t>
            </w:r>
          </w:p>
        </w:tc>
        <w:tc>
          <w:tcPr>
            <w:tcW w:w="1097" w:type="dxa"/>
            <w:tcBorders>
              <w:top w:val="nil"/>
              <w:left w:val="nil"/>
              <w:bottom w:val="single" w:sz="4" w:space="0" w:color="000000"/>
              <w:right w:val="single" w:sz="4" w:space="0" w:color="000000"/>
            </w:tcBorders>
            <w:vAlign w:val="bottom"/>
          </w:tcPr>
          <w:p w14:paraId="2FCD2DE0"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11 011 505 258</w:t>
            </w:r>
          </w:p>
        </w:tc>
        <w:tc>
          <w:tcPr>
            <w:tcW w:w="1134" w:type="dxa"/>
            <w:tcBorders>
              <w:top w:val="nil"/>
              <w:left w:val="nil"/>
              <w:bottom w:val="single" w:sz="4" w:space="0" w:color="000000"/>
              <w:right w:val="single" w:sz="4" w:space="0" w:color="000000"/>
            </w:tcBorders>
            <w:vAlign w:val="bottom"/>
          </w:tcPr>
          <w:p w14:paraId="6D65BE11"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10 216 921 602</w:t>
            </w:r>
          </w:p>
        </w:tc>
        <w:tc>
          <w:tcPr>
            <w:tcW w:w="1134" w:type="dxa"/>
            <w:tcBorders>
              <w:top w:val="nil"/>
              <w:left w:val="nil"/>
              <w:bottom w:val="single" w:sz="4" w:space="0" w:color="000000"/>
              <w:right w:val="single" w:sz="4" w:space="0" w:color="000000"/>
            </w:tcBorders>
            <w:vAlign w:val="bottom"/>
          </w:tcPr>
          <w:p w14:paraId="73398E41"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13 559 936 137</w:t>
            </w:r>
          </w:p>
        </w:tc>
      </w:tr>
      <w:tr w:rsidR="006C48AE" w14:paraId="52A274DE" w14:textId="77777777">
        <w:trPr>
          <w:trHeight w:val="630"/>
        </w:trPr>
        <w:tc>
          <w:tcPr>
            <w:tcW w:w="1413" w:type="dxa"/>
            <w:tcBorders>
              <w:top w:val="nil"/>
              <w:left w:val="single" w:sz="4" w:space="0" w:color="000000"/>
              <w:bottom w:val="single" w:sz="4" w:space="0" w:color="000000"/>
              <w:right w:val="single" w:sz="4" w:space="0" w:color="000000"/>
            </w:tcBorders>
            <w:vAlign w:val="bottom"/>
          </w:tcPr>
          <w:p w14:paraId="39585820"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 валюта баланса</w:t>
            </w:r>
          </w:p>
        </w:tc>
        <w:tc>
          <w:tcPr>
            <w:tcW w:w="1134" w:type="dxa"/>
            <w:tcBorders>
              <w:top w:val="nil"/>
              <w:left w:val="nil"/>
              <w:bottom w:val="single" w:sz="4" w:space="0" w:color="000000"/>
              <w:right w:val="single" w:sz="4" w:space="0" w:color="000000"/>
            </w:tcBorders>
            <w:vAlign w:val="bottom"/>
          </w:tcPr>
          <w:p w14:paraId="0D398438"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15 939 804 726</w:t>
            </w:r>
          </w:p>
        </w:tc>
        <w:tc>
          <w:tcPr>
            <w:tcW w:w="1134" w:type="dxa"/>
            <w:tcBorders>
              <w:top w:val="nil"/>
              <w:left w:val="nil"/>
              <w:bottom w:val="single" w:sz="4" w:space="0" w:color="000000"/>
              <w:right w:val="single" w:sz="4" w:space="0" w:color="000000"/>
            </w:tcBorders>
            <w:vAlign w:val="bottom"/>
          </w:tcPr>
          <w:p w14:paraId="7292127C"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15 715 516 759</w:t>
            </w:r>
          </w:p>
        </w:tc>
        <w:tc>
          <w:tcPr>
            <w:tcW w:w="1134" w:type="dxa"/>
            <w:tcBorders>
              <w:top w:val="nil"/>
              <w:left w:val="nil"/>
              <w:bottom w:val="single" w:sz="4" w:space="0" w:color="000000"/>
              <w:right w:val="single" w:sz="4" w:space="0" w:color="000000"/>
            </w:tcBorders>
            <w:vAlign w:val="bottom"/>
          </w:tcPr>
          <w:p w14:paraId="68DC1D73"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20 337 165 178</w:t>
            </w:r>
          </w:p>
        </w:tc>
        <w:tc>
          <w:tcPr>
            <w:tcW w:w="1454" w:type="dxa"/>
            <w:tcBorders>
              <w:top w:val="nil"/>
              <w:left w:val="nil"/>
              <w:bottom w:val="single" w:sz="4" w:space="0" w:color="000000"/>
              <w:right w:val="single" w:sz="4" w:space="0" w:color="000000"/>
            </w:tcBorders>
            <w:vAlign w:val="bottom"/>
          </w:tcPr>
          <w:p w14:paraId="5F62AF19" w14:textId="77777777" w:rsidR="006C48AE" w:rsidRDefault="004E74FC" w:rsidP="00AA20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 валюта баланса</w:t>
            </w:r>
          </w:p>
        </w:tc>
        <w:tc>
          <w:tcPr>
            <w:tcW w:w="1097" w:type="dxa"/>
            <w:tcBorders>
              <w:top w:val="nil"/>
              <w:left w:val="nil"/>
              <w:bottom w:val="single" w:sz="4" w:space="0" w:color="000000"/>
              <w:right w:val="single" w:sz="4" w:space="0" w:color="000000"/>
            </w:tcBorders>
            <w:vAlign w:val="bottom"/>
          </w:tcPr>
          <w:p w14:paraId="67E4489E"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15 939 804 726</w:t>
            </w:r>
          </w:p>
        </w:tc>
        <w:tc>
          <w:tcPr>
            <w:tcW w:w="1134" w:type="dxa"/>
            <w:tcBorders>
              <w:top w:val="nil"/>
              <w:left w:val="nil"/>
              <w:bottom w:val="single" w:sz="4" w:space="0" w:color="000000"/>
              <w:right w:val="single" w:sz="4" w:space="0" w:color="000000"/>
            </w:tcBorders>
            <w:vAlign w:val="bottom"/>
          </w:tcPr>
          <w:p w14:paraId="3BC2BCE0"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15 715 516 759</w:t>
            </w:r>
          </w:p>
        </w:tc>
        <w:tc>
          <w:tcPr>
            <w:tcW w:w="1134" w:type="dxa"/>
            <w:tcBorders>
              <w:top w:val="nil"/>
              <w:left w:val="nil"/>
              <w:bottom w:val="single" w:sz="4" w:space="0" w:color="000000"/>
              <w:right w:val="single" w:sz="4" w:space="0" w:color="000000"/>
            </w:tcBorders>
            <w:vAlign w:val="bottom"/>
          </w:tcPr>
          <w:p w14:paraId="38D4B14C" w14:textId="77777777" w:rsidR="006C48AE" w:rsidRDefault="004E74FC" w:rsidP="00AA20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20 337 165 178</w:t>
            </w:r>
          </w:p>
        </w:tc>
      </w:tr>
    </w:tbl>
    <w:p w14:paraId="3D6A54B2" w14:textId="77777777" w:rsidR="00564ED8" w:rsidRPr="00564ED8" w:rsidRDefault="004E74FC" w:rsidP="00564ED8">
      <w:pPr>
        <w:spacing w:after="0"/>
        <w:rPr>
          <w:rFonts w:ascii="Times New Roman" w:hAnsi="Times New Roman" w:cs="Times New Roman"/>
          <w:sz w:val="24"/>
          <w:szCs w:val="24"/>
        </w:rPr>
      </w:pPr>
      <w:r>
        <w:rPr>
          <w:rFonts w:ascii="Times New Roman" w:eastAsia="Times New Roman" w:hAnsi="Times New Roman" w:cs="Times New Roman"/>
          <w:sz w:val="28"/>
          <w:szCs w:val="28"/>
        </w:rPr>
        <w:t xml:space="preserve">   </w:t>
      </w:r>
      <w:r w:rsidR="00564ED8" w:rsidRPr="00564ED8">
        <w:rPr>
          <w:rFonts w:ascii="Times New Roman" w:hAnsi="Times New Roman" w:cs="Times New Roman"/>
          <w:sz w:val="24"/>
          <w:szCs w:val="24"/>
        </w:rPr>
        <w:t>Источник: составлено автором по данным предприятия</w:t>
      </w:r>
    </w:p>
    <w:p w14:paraId="334007A8" w14:textId="77777777" w:rsidR="006C48AE" w:rsidRDefault="006C48AE">
      <w:pPr>
        <w:spacing w:after="0" w:line="360" w:lineRule="auto"/>
        <w:jc w:val="both"/>
        <w:rPr>
          <w:rFonts w:ascii="Times New Roman" w:eastAsia="Times New Roman" w:hAnsi="Times New Roman" w:cs="Times New Roman"/>
          <w:sz w:val="28"/>
          <w:szCs w:val="28"/>
        </w:rPr>
      </w:pPr>
    </w:p>
    <w:p w14:paraId="3A728D73" w14:textId="77777777" w:rsidR="006C48AE" w:rsidRDefault="00AA20D3" w:rsidP="00AA20D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74FC">
        <w:rPr>
          <w:rFonts w:ascii="Times New Roman" w:eastAsia="Times New Roman" w:hAnsi="Times New Roman" w:cs="Times New Roman"/>
          <w:sz w:val="28"/>
          <w:szCs w:val="28"/>
        </w:rPr>
        <w:t>В результате проведенного анализа было установлены следующие соответствия: А1 &lt; П1, А2 &gt; П2, А3 &lt; П3, А4 &gt; П4 в 2019 г. и А1 &gt; П1, А2 &gt; П2, А3 &lt; П3, А4 &gt; П4 в 2020-2021 гг., следовательно, баланс компании не является абсолютно ликвидным,</w:t>
      </w:r>
      <w:r w:rsidR="004E74FC">
        <w:rPr>
          <w:rFonts w:ascii="Lucida Sans" w:eastAsia="Lucida Sans" w:hAnsi="Lucida Sans" w:cs="Lucida Sans"/>
          <w:color w:val="000000"/>
          <w:sz w:val="18"/>
          <w:szCs w:val="18"/>
        </w:rPr>
        <w:t xml:space="preserve"> </w:t>
      </w:r>
      <w:r w:rsidR="004E74FC">
        <w:rPr>
          <w:rFonts w:ascii="Times New Roman" w:eastAsia="Times New Roman" w:hAnsi="Times New Roman" w:cs="Times New Roman"/>
          <w:sz w:val="28"/>
          <w:szCs w:val="28"/>
        </w:rPr>
        <w:t xml:space="preserve">имеет место усиление неплатежеспособности и финансовой неустойчивости организации ввиду того, что у компании недостаточно наиболее ликвидных активов, а именно денежных средств и краткосрочных финансовых вложений для покрытия кредиторской задолженности в 2019  гг., а также долгосрочные обязательства не </w:t>
      </w:r>
      <w:r w:rsidR="004E74FC">
        <w:rPr>
          <w:rFonts w:ascii="Times New Roman" w:eastAsia="Times New Roman" w:hAnsi="Times New Roman" w:cs="Times New Roman"/>
          <w:sz w:val="28"/>
          <w:szCs w:val="28"/>
        </w:rPr>
        <w:lastRenderedPageBreak/>
        <w:t>покрываются за счет медленно реализуемых активов во всем анализируемом периоде, что негативно сказывается на платежеспособности организации.</w:t>
      </w:r>
    </w:p>
    <w:p w14:paraId="57A95150" w14:textId="77777777" w:rsidR="00AA20D3" w:rsidRDefault="00AA20D3" w:rsidP="00AA20D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нельзя говорить о полной платежеспособности компании</w:t>
      </w:r>
      <w:r w:rsidR="002C570B">
        <w:rPr>
          <w:rFonts w:ascii="Times New Roman" w:eastAsia="Times New Roman" w:hAnsi="Times New Roman" w:cs="Times New Roman"/>
          <w:sz w:val="28"/>
          <w:szCs w:val="28"/>
        </w:rPr>
        <w:t xml:space="preserve">, в виду невозможности оперативного покрытия различных видов обязательств. </w:t>
      </w:r>
    </w:p>
    <w:p w14:paraId="15A1506B"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рассмотрим коэффициенты ликвидности </w:t>
      </w:r>
      <w:r w:rsidR="0091645C" w:rsidRPr="0091645C">
        <w:rPr>
          <w:rFonts w:ascii="Times New Roman" w:eastAsia="Times New Roman" w:hAnsi="Times New Roman" w:cs="Times New Roman"/>
          <w:sz w:val="28"/>
          <w:szCs w:val="28"/>
        </w:rPr>
        <w:t>компани</w:t>
      </w:r>
      <w:r w:rsidR="0091645C">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(таблица 2.4).</w:t>
      </w:r>
    </w:p>
    <w:p w14:paraId="6896D0FE" w14:textId="77777777" w:rsidR="006C48AE" w:rsidRDefault="004E74FC" w:rsidP="0091645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2.4 - Показатели ликвидности организации</w:t>
      </w:r>
    </w:p>
    <w:tbl>
      <w:tblPr>
        <w:tblStyle w:val="aa"/>
        <w:tblW w:w="9492" w:type="dxa"/>
        <w:tblInd w:w="-1" w:type="dxa"/>
        <w:tblLayout w:type="fixed"/>
        <w:tblLook w:val="0400" w:firstRow="0" w:lastRow="0" w:firstColumn="0" w:lastColumn="0" w:noHBand="0" w:noVBand="1"/>
      </w:tblPr>
      <w:tblGrid>
        <w:gridCol w:w="3681"/>
        <w:gridCol w:w="1417"/>
        <w:gridCol w:w="1560"/>
        <w:gridCol w:w="1417"/>
        <w:gridCol w:w="1417"/>
      </w:tblGrid>
      <w:tr w:rsidR="006C48AE" w14:paraId="512526B7" w14:textId="77777777">
        <w:trPr>
          <w:trHeight w:val="317"/>
        </w:trPr>
        <w:tc>
          <w:tcPr>
            <w:tcW w:w="3681" w:type="dxa"/>
            <w:tcBorders>
              <w:top w:val="single" w:sz="4" w:space="0" w:color="000000"/>
              <w:left w:val="single" w:sz="4" w:space="0" w:color="000000"/>
              <w:bottom w:val="single" w:sz="4" w:space="0" w:color="000000"/>
              <w:right w:val="single" w:sz="4" w:space="0" w:color="000000"/>
            </w:tcBorders>
            <w:vAlign w:val="center"/>
          </w:tcPr>
          <w:p w14:paraId="7CDC7BF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1417" w:type="dxa"/>
            <w:tcBorders>
              <w:top w:val="single" w:sz="4" w:space="0" w:color="000000"/>
              <w:left w:val="nil"/>
              <w:bottom w:val="single" w:sz="4" w:space="0" w:color="000000"/>
              <w:right w:val="single" w:sz="4" w:space="0" w:color="000000"/>
            </w:tcBorders>
            <w:vAlign w:val="center"/>
          </w:tcPr>
          <w:p w14:paraId="318D58F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560" w:type="dxa"/>
            <w:tcBorders>
              <w:top w:val="single" w:sz="4" w:space="0" w:color="000000"/>
              <w:left w:val="nil"/>
              <w:bottom w:val="single" w:sz="4" w:space="0" w:color="000000"/>
              <w:right w:val="single" w:sz="4" w:space="0" w:color="000000"/>
            </w:tcBorders>
            <w:vAlign w:val="center"/>
          </w:tcPr>
          <w:p w14:paraId="169B2DF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417" w:type="dxa"/>
            <w:tcBorders>
              <w:top w:val="single" w:sz="4" w:space="0" w:color="000000"/>
              <w:left w:val="nil"/>
              <w:bottom w:val="single" w:sz="4" w:space="0" w:color="000000"/>
              <w:right w:val="single" w:sz="4" w:space="0" w:color="000000"/>
            </w:tcBorders>
            <w:vAlign w:val="center"/>
          </w:tcPr>
          <w:p w14:paraId="5A3FFB1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417" w:type="dxa"/>
            <w:tcBorders>
              <w:top w:val="single" w:sz="4" w:space="0" w:color="000000"/>
              <w:left w:val="nil"/>
              <w:bottom w:val="single" w:sz="4" w:space="0" w:color="000000"/>
              <w:right w:val="single" w:sz="4" w:space="0" w:color="000000"/>
            </w:tcBorders>
          </w:tcPr>
          <w:p w14:paraId="63911D7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w:t>
            </w:r>
          </w:p>
        </w:tc>
      </w:tr>
      <w:tr w:rsidR="006C48AE" w14:paraId="3AB637D7" w14:textId="77777777">
        <w:trPr>
          <w:trHeight w:val="178"/>
        </w:trPr>
        <w:tc>
          <w:tcPr>
            <w:tcW w:w="3681" w:type="dxa"/>
            <w:tcBorders>
              <w:top w:val="nil"/>
              <w:left w:val="single" w:sz="4" w:space="0" w:color="000000"/>
              <w:bottom w:val="single" w:sz="4" w:space="0" w:color="000000"/>
              <w:right w:val="single" w:sz="4" w:space="0" w:color="000000"/>
            </w:tcBorders>
            <w:vAlign w:val="bottom"/>
          </w:tcPr>
          <w:p w14:paraId="194B2050"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абсолютной ликвидности</w:t>
            </w:r>
          </w:p>
        </w:tc>
        <w:tc>
          <w:tcPr>
            <w:tcW w:w="1417" w:type="dxa"/>
            <w:tcBorders>
              <w:top w:val="nil"/>
              <w:left w:val="nil"/>
              <w:bottom w:val="single" w:sz="4" w:space="0" w:color="000000"/>
              <w:right w:val="single" w:sz="4" w:space="0" w:color="000000"/>
            </w:tcBorders>
            <w:vAlign w:val="center"/>
          </w:tcPr>
          <w:p w14:paraId="72234AC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1560" w:type="dxa"/>
            <w:tcBorders>
              <w:top w:val="nil"/>
              <w:left w:val="nil"/>
              <w:bottom w:val="single" w:sz="4" w:space="0" w:color="000000"/>
              <w:right w:val="single" w:sz="4" w:space="0" w:color="000000"/>
            </w:tcBorders>
            <w:vAlign w:val="center"/>
          </w:tcPr>
          <w:p w14:paraId="4EF839C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1417" w:type="dxa"/>
            <w:tcBorders>
              <w:top w:val="nil"/>
              <w:left w:val="nil"/>
              <w:bottom w:val="single" w:sz="4" w:space="0" w:color="000000"/>
              <w:right w:val="single" w:sz="4" w:space="0" w:color="000000"/>
            </w:tcBorders>
            <w:vAlign w:val="center"/>
          </w:tcPr>
          <w:p w14:paraId="23CCD1B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w:t>
            </w:r>
          </w:p>
        </w:tc>
        <w:tc>
          <w:tcPr>
            <w:tcW w:w="1417" w:type="dxa"/>
            <w:tcBorders>
              <w:top w:val="nil"/>
              <w:left w:val="nil"/>
              <w:bottom w:val="single" w:sz="4" w:space="0" w:color="000000"/>
              <w:right w:val="single" w:sz="4" w:space="0" w:color="000000"/>
            </w:tcBorders>
          </w:tcPr>
          <w:p w14:paraId="03965E8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&gt;0,2</w:t>
            </w:r>
          </w:p>
        </w:tc>
      </w:tr>
      <w:tr w:rsidR="006C48AE" w14:paraId="7BB9C1F6" w14:textId="77777777">
        <w:trPr>
          <w:trHeight w:val="77"/>
        </w:trPr>
        <w:tc>
          <w:tcPr>
            <w:tcW w:w="3681" w:type="dxa"/>
            <w:tcBorders>
              <w:top w:val="nil"/>
              <w:left w:val="single" w:sz="4" w:space="0" w:color="000000"/>
              <w:bottom w:val="single" w:sz="4" w:space="0" w:color="000000"/>
              <w:right w:val="single" w:sz="4" w:space="0" w:color="000000"/>
            </w:tcBorders>
            <w:vAlign w:val="bottom"/>
          </w:tcPr>
          <w:p w14:paraId="7B890D2A"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срочной ликвидности</w:t>
            </w:r>
          </w:p>
        </w:tc>
        <w:tc>
          <w:tcPr>
            <w:tcW w:w="1417" w:type="dxa"/>
            <w:tcBorders>
              <w:top w:val="nil"/>
              <w:left w:val="nil"/>
              <w:bottom w:val="single" w:sz="4" w:space="0" w:color="000000"/>
              <w:right w:val="single" w:sz="4" w:space="0" w:color="000000"/>
            </w:tcBorders>
            <w:vAlign w:val="center"/>
          </w:tcPr>
          <w:p w14:paraId="53CB113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w:t>
            </w:r>
          </w:p>
        </w:tc>
        <w:tc>
          <w:tcPr>
            <w:tcW w:w="1560" w:type="dxa"/>
            <w:tcBorders>
              <w:top w:val="nil"/>
              <w:left w:val="nil"/>
              <w:bottom w:val="single" w:sz="4" w:space="0" w:color="000000"/>
              <w:right w:val="single" w:sz="4" w:space="0" w:color="000000"/>
            </w:tcBorders>
            <w:vAlign w:val="center"/>
          </w:tcPr>
          <w:p w14:paraId="305F9EA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1417" w:type="dxa"/>
            <w:tcBorders>
              <w:top w:val="nil"/>
              <w:left w:val="nil"/>
              <w:bottom w:val="single" w:sz="4" w:space="0" w:color="000000"/>
              <w:right w:val="single" w:sz="4" w:space="0" w:color="000000"/>
            </w:tcBorders>
            <w:vAlign w:val="center"/>
          </w:tcPr>
          <w:p w14:paraId="5F555CCE"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w:t>
            </w:r>
          </w:p>
        </w:tc>
        <w:tc>
          <w:tcPr>
            <w:tcW w:w="1417" w:type="dxa"/>
            <w:tcBorders>
              <w:top w:val="nil"/>
              <w:left w:val="nil"/>
              <w:bottom w:val="single" w:sz="4" w:space="0" w:color="000000"/>
              <w:right w:val="single" w:sz="4" w:space="0" w:color="000000"/>
            </w:tcBorders>
          </w:tcPr>
          <w:p w14:paraId="68D62E4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w:t>
            </w:r>
          </w:p>
        </w:tc>
      </w:tr>
      <w:tr w:rsidR="006C48AE" w14:paraId="22C9E020" w14:textId="77777777">
        <w:trPr>
          <w:trHeight w:val="77"/>
        </w:trPr>
        <w:tc>
          <w:tcPr>
            <w:tcW w:w="3681" w:type="dxa"/>
            <w:tcBorders>
              <w:top w:val="nil"/>
              <w:left w:val="single" w:sz="4" w:space="0" w:color="000000"/>
              <w:bottom w:val="single" w:sz="4" w:space="0" w:color="000000"/>
              <w:right w:val="single" w:sz="4" w:space="0" w:color="000000"/>
            </w:tcBorders>
            <w:vAlign w:val="bottom"/>
          </w:tcPr>
          <w:p w14:paraId="205303B7"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текущей ликвидности</w:t>
            </w:r>
          </w:p>
        </w:tc>
        <w:tc>
          <w:tcPr>
            <w:tcW w:w="1417" w:type="dxa"/>
            <w:tcBorders>
              <w:top w:val="nil"/>
              <w:left w:val="nil"/>
              <w:bottom w:val="single" w:sz="4" w:space="0" w:color="000000"/>
              <w:right w:val="single" w:sz="4" w:space="0" w:color="000000"/>
            </w:tcBorders>
            <w:vAlign w:val="center"/>
          </w:tcPr>
          <w:p w14:paraId="2BC2350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p>
        </w:tc>
        <w:tc>
          <w:tcPr>
            <w:tcW w:w="1560" w:type="dxa"/>
            <w:tcBorders>
              <w:top w:val="nil"/>
              <w:left w:val="nil"/>
              <w:bottom w:val="single" w:sz="4" w:space="0" w:color="000000"/>
              <w:right w:val="single" w:sz="4" w:space="0" w:color="000000"/>
            </w:tcBorders>
            <w:vAlign w:val="center"/>
          </w:tcPr>
          <w:p w14:paraId="54786A0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1417" w:type="dxa"/>
            <w:tcBorders>
              <w:top w:val="nil"/>
              <w:left w:val="nil"/>
              <w:bottom w:val="single" w:sz="4" w:space="0" w:color="000000"/>
              <w:right w:val="single" w:sz="4" w:space="0" w:color="000000"/>
            </w:tcBorders>
            <w:vAlign w:val="center"/>
          </w:tcPr>
          <w:p w14:paraId="2A88D31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w:t>
            </w:r>
          </w:p>
        </w:tc>
        <w:tc>
          <w:tcPr>
            <w:tcW w:w="1417" w:type="dxa"/>
            <w:tcBorders>
              <w:top w:val="nil"/>
              <w:left w:val="nil"/>
              <w:bottom w:val="single" w:sz="4" w:space="0" w:color="000000"/>
              <w:right w:val="single" w:sz="4" w:space="0" w:color="000000"/>
            </w:tcBorders>
          </w:tcPr>
          <w:p w14:paraId="5E16911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w:t>
            </w:r>
          </w:p>
        </w:tc>
      </w:tr>
    </w:tbl>
    <w:p w14:paraId="35A7F641" w14:textId="77777777" w:rsidR="00564ED8" w:rsidRPr="00564ED8" w:rsidRDefault="00564ED8" w:rsidP="00564ED8">
      <w:pPr>
        <w:spacing w:after="0" w:line="360" w:lineRule="auto"/>
        <w:ind w:firstLine="709"/>
        <w:jc w:val="both"/>
        <w:rPr>
          <w:rFonts w:ascii="Times New Roman" w:eastAsia="Times New Roman" w:hAnsi="Times New Roman" w:cs="Times New Roman"/>
          <w:sz w:val="24"/>
          <w:szCs w:val="24"/>
        </w:rPr>
      </w:pPr>
      <w:r w:rsidRPr="00564ED8">
        <w:rPr>
          <w:rFonts w:ascii="Times New Roman" w:eastAsia="Times New Roman" w:hAnsi="Times New Roman" w:cs="Times New Roman"/>
          <w:sz w:val="24"/>
          <w:szCs w:val="24"/>
        </w:rPr>
        <w:t>Источник: составлено автором по данным предприятия</w:t>
      </w:r>
    </w:p>
    <w:p w14:paraId="079EF229" w14:textId="77777777" w:rsidR="00564ED8" w:rsidRDefault="00564ED8">
      <w:pPr>
        <w:spacing w:after="0" w:line="360" w:lineRule="auto"/>
        <w:ind w:firstLine="709"/>
        <w:jc w:val="both"/>
        <w:rPr>
          <w:rFonts w:ascii="Times New Roman" w:eastAsia="Times New Roman" w:hAnsi="Times New Roman" w:cs="Times New Roman"/>
          <w:sz w:val="28"/>
          <w:szCs w:val="28"/>
        </w:rPr>
      </w:pPr>
    </w:p>
    <w:p w14:paraId="77BCBA80"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проведенного анализа видно, что коэффициент абсолютной ликвидности во всем анализируемом периоде соответствует нормативному значению, наблюдается положительная динамика данного показателя, следовательно, компания в состоянии погасить большую часть своих краткосрочных обязательств на </w:t>
      </w:r>
      <w:r w:rsidR="00BE18CD">
        <w:rPr>
          <w:rFonts w:ascii="Times New Roman" w:eastAsia="Times New Roman" w:hAnsi="Times New Roman" w:cs="Times New Roman"/>
          <w:sz w:val="28"/>
          <w:szCs w:val="28"/>
        </w:rPr>
        <w:t>протяжении всего анализируемого периода</w:t>
      </w:r>
      <w:r>
        <w:rPr>
          <w:rFonts w:ascii="Times New Roman" w:eastAsia="Times New Roman" w:hAnsi="Times New Roman" w:cs="Times New Roman"/>
          <w:sz w:val="28"/>
          <w:szCs w:val="28"/>
        </w:rPr>
        <w:t>.</w:t>
      </w:r>
    </w:p>
    <w:p w14:paraId="1E4BB5C4"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срочной ликвидности также в период 2019-2021 гг. соответствует нормативу. В целом организации хватает денежных средств, краткосрочных финансовых вложений и дебиторской задолженности, чтобы погасить свои текущие обязательства, при этом происходит увеличение объема данных финансовых ресурсов для покрытия расходов по текущей хозяйственной деятельности</w:t>
      </w:r>
      <w:r w:rsidR="00BE18CD">
        <w:rPr>
          <w:rFonts w:ascii="Times New Roman" w:eastAsia="Times New Roman" w:hAnsi="Times New Roman" w:cs="Times New Roman"/>
          <w:sz w:val="28"/>
          <w:szCs w:val="28"/>
        </w:rPr>
        <w:t>, что является положительным моментом в работе компании.</w:t>
      </w:r>
    </w:p>
    <w:p w14:paraId="5988DE05"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текущей ликвидности в 2020 и 2021 гг. не соответствует нормативу, однако он выше нижнего предела, следовательно, оборотные активы покрывают краткосрочные обязательства, но в перспективе для финансирования текущей хозяйственной деятельности их может не хватить, и </w:t>
      </w:r>
      <w:r>
        <w:rPr>
          <w:rFonts w:ascii="Times New Roman" w:eastAsia="Times New Roman" w:hAnsi="Times New Roman" w:cs="Times New Roman"/>
          <w:sz w:val="28"/>
          <w:szCs w:val="28"/>
        </w:rPr>
        <w:lastRenderedPageBreak/>
        <w:t>организация будет вынуждена прибегать к использованию заемных источников финансирования, что приведет к повышению средневзвешенной стоимости капитала, что может негативно сказаться на деятельности организации в случае недостаточного эффекта финансового рычага</w:t>
      </w:r>
      <w:r w:rsidR="00BE18CD">
        <w:rPr>
          <w:rFonts w:ascii="Times New Roman" w:eastAsia="Times New Roman" w:hAnsi="Times New Roman" w:cs="Times New Roman"/>
          <w:sz w:val="28"/>
          <w:szCs w:val="28"/>
        </w:rPr>
        <w:t xml:space="preserve"> и финансовому неблагополучию ввиду зависимости от заемных средств.</w:t>
      </w:r>
      <w:r>
        <w:rPr>
          <w:rFonts w:ascii="Times New Roman" w:eastAsia="Times New Roman" w:hAnsi="Times New Roman" w:cs="Times New Roman"/>
          <w:sz w:val="28"/>
          <w:szCs w:val="28"/>
        </w:rPr>
        <w:t xml:space="preserve"> Далее рассмотрим показатели платежеспособности и финансовой устойчивости </w:t>
      </w:r>
      <w:r w:rsidR="00BE18CD" w:rsidRPr="00BE18CD">
        <w:rPr>
          <w:rFonts w:ascii="Times New Roman" w:eastAsia="Times New Roman" w:hAnsi="Times New Roman" w:cs="Times New Roman"/>
          <w:sz w:val="28"/>
          <w:szCs w:val="28"/>
        </w:rPr>
        <w:t>компани</w:t>
      </w:r>
      <w:r w:rsidR="00BE18CD">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(таблица 2.5).</w:t>
      </w:r>
    </w:p>
    <w:p w14:paraId="025563CD" w14:textId="68F7B68A" w:rsidR="00564ED8" w:rsidRDefault="00E63909" w:rsidP="00A548EF">
      <w:pPr>
        <w:spacing w:after="0" w:line="360" w:lineRule="auto"/>
        <w:ind w:firstLine="709"/>
        <w:jc w:val="both"/>
        <w:rPr>
          <w:rFonts w:ascii="Times New Roman" w:eastAsia="Times New Roman" w:hAnsi="Times New Roman" w:cs="Times New Roman"/>
          <w:sz w:val="28"/>
          <w:szCs w:val="28"/>
        </w:rPr>
      </w:pPr>
      <w:r w:rsidRPr="00E63909">
        <w:rPr>
          <w:rFonts w:ascii="Times New Roman" w:eastAsia="Times New Roman" w:hAnsi="Times New Roman" w:cs="Times New Roman"/>
          <w:sz w:val="28"/>
          <w:szCs w:val="28"/>
        </w:rPr>
        <w:t>На основании представленных данных можно сделать вывод о том, что общая платежеспособность компании находится на достаточно высоком уровне, в течение месяца компания погашает свою задолженность перед всеми контрагентами, при этом общая степень платежеспособности снижается, следовательно, компании требуется больше дней для расчетов по своим обязательствам.</w:t>
      </w:r>
    </w:p>
    <w:p w14:paraId="20E25B62" w14:textId="77777777" w:rsidR="00564ED8" w:rsidRDefault="00564ED8">
      <w:pPr>
        <w:spacing w:after="0" w:line="360" w:lineRule="auto"/>
        <w:jc w:val="center"/>
        <w:rPr>
          <w:rFonts w:ascii="Times New Roman" w:eastAsia="Times New Roman" w:hAnsi="Times New Roman" w:cs="Times New Roman"/>
          <w:sz w:val="28"/>
          <w:szCs w:val="28"/>
        </w:rPr>
      </w:pPr>
    </w:p>
    <w:p w14:paraId="26D88304" w14:textId="77777777" w:rsidR="006C48AE" w:rsidRDefault="004E74F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2.5 - Показатели платежеспособности и финансовой устойчивости</w:t>
      </w:r>
    </w:p>
    <w:tbl>
      <w:tblPr>
        <w:tblStyle w:val="ab"/>
        <w:tblW w:w="9449" w:type="dxa"/>
        <w:tblInd w:w="-1" w:type="dxa"/>
        <w:tblLayout w:type="fixed"/>
        <w:tblLook w:val="0400" w:firstRow="0" w:lastRow="0" w:firstColumn="0" w:lastColumn="0" w:noHBand="0" w:noVBand="1"/>
      </w:tblPr>
      <w:tblGrid>
        <w:gridCol w:w="3964"/>
        <w:gridCol w:w="1843"/>
        <w:gridCol w:w="1843"/>
        <w:gridCol w:w="1799"/>
      </w:tblGrid>
      <w:tr w:rsidR="006C48AE" w14:paraId="4245A41F" w14:textId="77777777">
        <w:trPr>
          <w:trHeight w:val="70"/>
        </w:trPr>
        <w:tc>
          <w:tcPr>
            <w:tcW w:w="3964" w:type="dxa"/>
            <w:tcBorders>
              <w:top w:val="single" w:sz="4" w:space="0" w:color="000000"/>
              <w:left w:val="single" w:sz="4" w:space="0" w:color="000000"/>
              <w:bottom w:val="single" w:sz="4" w:space="0" w:color="000000"/>
              <w:right w:val="single" w:sz="4" w:space="0" w:color="000000"/>
            </w:tcBorders>
            <w:vAlign w:val="center"/>
          </w:tcPr>
          <w:p w14:paraId="5B26F4B6"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1843" w:type="dxa"/>
            <w:tcBorders>
              <w:top w:val="single" w:sz="4" w:space="0" w:color="000000"/>
              <w:left w:val="nil"/>
              <w:bottom w:val="single" w:sz="4" w:space="0" w:color="000000"/>
              <w:right w:val="single" w:sz="4" w:space="0" w:color="000000"/>
            </w:tcBorders>
            <w:vAlign w:val="center"/>
          </w:tcPr>
          <w:p w14:paraId="0086D62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843" w:type="dxa"/>
            <w:tcBorders>
              <w:top w:val="single" w:sz="4" w:space="0" w:color="000000"/>
              <w:left w:val="nil"/>
              <w:bottom w:val="single" w:sz="4" w:space="0" w:color="000000"/>
              <w:right w:val="single" w:sz="4" w:space="0" w:color="000000"/>
            </w:tcBorders>
            <w:vAlign w:val="center"/>
          </w:tcPr>
          <w:p w14:paraId="4FD2E04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799" w:type="dxa"/>
            <w:tcBorders>
              <w:top w:val="single" w:sz="4" w:space="0" w:color="000000"/>
              <w:left w:val="nil"/>
              <w:bottom w:val="single" w:sz="4" w:space="0" w:color="000000"/>
              <w:right w:val="single" w:sz="4" w:space="0" w:color="000000"/>
            </w:tcBorders>
            <w:vAlign w:val="center"/>
          </w:tcPr>
          <w:p w14:paraId="67F1CCA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r>
      <w:tr w:rsidR="006C48AE" w14:paraId="289BD711" w14:textId="77777777">
        <w:trPr>
          <w:trHeight w:val="371"/>
        </w:trPr>
        <w:tc>
          <w:tcPr>
            <w:tcW w:w="3964" w:type="dxa"/>
            <w:tcBorders>
              <w:top w:val="nil"/>
              <w:left w:val="single" w:sz="4" w:space="0" w:color="000000"/>
              <w:bottom w:val="single" w:sz="4" w:space="0" w:color="000000"/>
              <w:right w:val="single" w:sz="4" w:space="0" w:color="000000"/>
            </w:tcBorders>
            <w:vAlign w:val="bottom"/>
          </w:tcPr>
          <w:p w14:paraId="04B6179A"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Среднемесячная выручка от продаж, тыс. руб.</w:t>
            </w:r>
          </w:p>
        </w:tc>
        <w:tc>
          <w:tcPr>
            <w:tcW w:w="1843" w:type="dxa"/>
            <w:tcBorders>
              <w:top w:val="nil"/>
              <w:left w:val="nil"/>
              <w:bottom w:val="single" w:sz="4" w:space="0" w:color="000000"/>
              <w:right w:val="single" w:sz="4" w:space="0" w:color="000000"/>
            </w:tcBorders>
            <w:vAlign w:val="center"/>
          </w:tcPr>
          <w:p w14:paraId="58B4165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396 559 288,25</w:t>
            </w:r>
          </w:p>
        </w:tc>
        <w:tc>
          <w:tcPr>
            <w:tcW w:w="1843" w:type="dxa"/>
            <w:tcBorders>
              <w:top w:val="nil"/>
              <w:left w:val="nil"/>
              <w:bottom w:val="single" w:sz="4" w:space="0" w:color="000000"/>
              <w:right w:val="single" w:sz="4" w:space="0" w:color="000000"/>
            </w:tcBorders>
            <w:vAlign w:val="center"/>
          </w:tcPr>
          <w:p w14:paraId="0FCA8FB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338 453 676,50</w:t>
            </w:r>
          </w:p>
        </w:tc>
        <w:tc>
          <w:tcPr>
            <w:tcW w:w="1799" w:type="dxa"/>
            <w:tcBorders>
              <w:top w:val="nil"/>
              <w:left w:val="nil"/>
              <w:bottom w:val="single" w:sz="4" w:space="0" w:color="000000"/>
              <w:right w:val="single" w:sz="4" w:space="0" w:color="000000"/>
            </w:tcBorders>
            <w:vAlign w:val="center"/>
          </w:tcPr>
          <w:p w14:paraId="68F8B746"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532 415 597,25</w:t>
            </w:r>
          </w:p>
        </w:tc>
      </w:tr>
      <w:tr w:rsidR="006C48AE" w14:paraId="5BC56EC9" w14:textId="77777777">
        <w:trPr>
          <w:trHeight w:val="95"/>
        </w:trPr>
        <w:tc>
          <w:tcPr>
            <w:tcW w:w="3964" w:type="dxa"/>
            <w:tcBorders>
              <w:top w:val="nil"/>
              <w:left w:val="single" w:sz="4" w:space="0" w:color="000000"/>
              <w:bottom w:val="single" w:sz="4" w:space="0" w:color="000000"/>
              <w:right w:val="single" w:sz="4" w:space="0" w:color="000000"/>
            </w:tcBorders>
            <w:vAlign w:val="bottom"/>
          </w:tcPr>
          <w:p w14:paraId="7D966A75"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платежеспособности общая</w:t>
            </w:r>
          </w:p>
        </w:tc>
        <w:tc>
          <w:tcPr>
            <w:tcW w:w="1843" w:type="dxa"/>
            <w:tcBorders>
              <w:top w:val="nil"/>
              <w:left w:val="nil"/>
              <w:bottom w:val="single" w:sz="4" w:space="0" w:color="000000"/>
              <w:right w:val="single" w:sz="4" w:space="0" w:color="000000"/>
            </w:tcBorders>
            <w:vAlign w:val="center"/>
          </w:tcPr>
          <w:p w14:paraId="0E7F0F0E"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1843" w:type="dxa"/>
            <w:tcBorders>
              <w:top w:val="nil"/>
              <w:left w:val="nil"/>
              <w:bottom w:val="single" w:sz="4" w:space="0" w:color="000000"/>
              <w:right w:val="single" w:sz="4" w:space="0" w:color="000000"/>
            </w:tcBorders>
            <w:vAlign w:val="center"/>
          </w:tcPr>
          <w:p w14:paraId="3B714C0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799" w:type="dxa"/>
            <w:tcBorders>
              <w:top w:val="nil"/>
              <w:left w:val="nil"/>
              <w:bottom w:val="single" w:sz="4" w:space="0" w:color="000000"/>
              <w:right w:val="single" w:sz="4" w:space="0" w:color="000000"/>
            </w:tcBorders>
            <w:vAlign w:val="center"/>
          </w:tcPr>
          <w:p w14:paraId="047D738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w:t>
            </w:r>
          </w:p>
        </w:tc>
      </w:tr>
      <w:tr w:rsidR="006C48AE" w14:paraId="3101F574" w14:textId="77777777">
        <w:trPr>
          <w:trHeight w:val="103"/>
        </w:trPr>
        <w:tc>
          <w:tcPr>
            <w:tcW w:w="3964" w:type="dxa"/>
            <w:tcBorders>
              <w:top w:val="nil"/>
              <w:left w:val="single" w:sz="4" w:space="0" w:color="000000"/>
              <w:bottom w:val="single" w:sz="4" w:space="0" w:color="000000"/>
              <w:right w:val="single" w:sz="4" w:space="0" w:color="000000"/>
            </w:tcBorders>
            <w:vAlign w:val="bottom"/>
          </w:tcPr>
          <w:p w14:paraId="4037FB12"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задолженности по кредитам и займам</w:t>
            </w:r>
          </w:p>
        </w:tc>
        <w:tc>
          <w:tcPr>
            <w:tcW w:w="1843" w:type="dxa"/>
            <w:tcBorders>
              <w:top w:val="nil"/>
              <w:left w:val="nil"/>
              <w:bottom w:val="single" w:sz="4" w:space="0" w:color="000000"/>
              <w:right w:val="single" w:sz="4" w:space="0" w:color="000000"/>
            </w:tcBorders>
            <w:vAlign w:val="center"/>
          </w:tcPr>
          <w:p w14:paraId="3EA7CA8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1843" w:type="dxa"/>
            <w:tcBorders>
              <w:top w:val="nil"/>
              <w:left w:val="nil"/>
              <w:bottom w:val="single" w:sz="4" w:space="0" w:color="000000"/>
              <w:right w:val="single" w:sz="4" w:space="0" w:color="000000"/>
            </w:tcBorders>
            <w:vAlign w:val="center"/>
          </w:tcPr>
          <w:p w14:paraId="4610EFC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w:t>
            </w:r>
          </w:p>
        </w:tc>
        <w:tc>
          <w:tcPr>
            <w:tcW w:w="1799" w:type="dxa"/>
            <w:tcBorders>
              <w:top w:val="nil"/>
              <w:left w:val="nil"/>
              <w:bottom w:val="single" w:sz="4" w:space="0" w:color="000000"/>
              <w:right w:val="single" w:sz="4" w:space="0" w:color="000000"/>
            </w:tcBorders>
            <w:vAlign w:val="center"/>
          </w:tcPr>
          <w:p w14:paraId="12CBD6F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r>
      <w:tr w:rsidR="006C48AE" w14:paraId="78A7C796" w14:textId="77777777">
        <w:trPr>
          <w:trHeight w:val="97"/>
        </w:trPr>
        <w:tc>
          <w:tcPr>
            <w:tcW w:w="3964" w:type="dxa"/>
            <w:tcBorders>
              <w:top w:val="nil"/>
              <w:left w:val="single" w:sz="4" w:space="0" w:color="000000"/>
              <w:bottom w:val="single" w:sz="4" w:space="0" w:color="000000"/>
              <w:right w:val="single" w:sz="4" w:space="0" w:color="000000"/>
            </w:tcBorders>
            <w:vAlign w:val="bottom"/>
          </w:tcPr>
          <w:p w14:paraId="3332406D"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задолженности другим организациям</w:t>
            </w:r>
          </w:p>
        </w:tc>
        <w:tc>
          <w:tcPr>
            <w:tcW w:w="1843" w:type="dxa"/>
            <w:tcBorders>
              <w:top w:val="nil"/>
              <w:left w:val="nil"/>
              <w:bottom w:val="single" w:sz="4" w:space="0" w:color="000000"/>
              <w:right w:val="single" w:sz="4" w:space="0" w:color="000000"/>
            </w:tcBorders>
            <w:vAlign w:val="center"/>
          </w:tcPr>
          <w:p w14:paraId="29DE74E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843" w:type="dxa"/>
            <w:tcBorders>
              <w:top w:val="nil"/>
              <w:left w:val="nil"/>
              <w:bottom w:val="single" w:sz="4" w:space="0" w:color="000000"/>
              <w:right w:val="single" w:sz="4" w:space="0" w:color="000000"/>
            </w:tcBorders>
            <w:vAlign w:val="center"/>
          </w:tcPr>
          <w:p w14:paraId="5637C3E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799" w:type="dxa"/>
            <w:tcBorders>
              <w:top w:val="nil"/>
              <w:left w:val="nil"/>
              <w:bottom w:val="single" w:sz="4" w:space="0" w:color="000000"/>
              <w:right w:val="single" w:sz="4" w:space="0" w:color="000000"/>
            </w:tcBorders>
            <w:vAlign w:val="center"/>
          </w:tcPr>
          <w:p w14:paraId="3463EDD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r>
      <w:tr w:rsidR="006C48AE" w14:paraId="3162E11B" w14:textId="77777777">
        <w:trPr>
          <w:trHeight w:val="247"/>
        </w:trPr>
        <w:tc>
          <w:tcPr>
            <w:tcW w:w="3964" w:type="dxa"/>
            <w:tcBorders>
              <w:top w:val="nil"/>
              <w:left w:val="single" w:sz="4" w:space="0" w:color="000000"/>
              <w:bottom w:val="single" w:sz="4" w:space="0" w:color="000000"/>
              <w:right w:val="single" w:sz="4" w:space="0" w:color="000000"/>
            </w:tcBorders>
            <w:vAlign w:val="bottom"/>
          </w:tcPr>
          <w:p w14:paraId="57A0C312"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задолженности фискальной системе</w:t>
            </w:r>
          </w:p>
        </w:tc>
        <w:tc>
          <w:tcPr>
            <w:tcW w:w="1843" w:type="dxa"/>
            <w:tcBorders>
              <w:top w:val="nil"/>
              <w:left w:val="nil"/>
              <w:bottom w:val="single" w:sz="4" w:space="0" w:color="000000"/>
              <w:right w:val="single" w:sz="4" w:space="0" w:color="000000"/>
            </w:tcBorders>
            <w:vAlign w:val="center"/>
          </w:tcPr>
          <w:p w14:paraId="4D6873D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w:t>
            </w:r>
          </w:p>
        </w:tc>
        <w:tc>
          <w:tcPr>
            <w:tcW w:w="1843" w:type="dxa"/>
            <w:tcBorders>
              <w:top w:val="nil"/>
              <w:left w:val="nil"/>
              <w:bottom w:val="single" w:sz="4" w:space="0" w:color="000000"/>
              <w:right w:val="single" w:sz="4" w:space="0" w:color="000000"/>
            </w:tcBorders>
            <w:vAlign w:val="center"/>
          </w:tcPr>
          <w:p w14:paraId="3B31B576"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0,012</w:t>
            </w:r>
          </w:p>
        </w:tc>
        <w:tc>
          <w:tcPr>
            <w:tcW w:w="1799" w:type="dxa"/>
            <w:tcBorders>
              <w:top w:val="nil"/>
              <w:left w:val="nil"/>
              <w:bottom w:val="single" w:sz="4" w:space="0" w:color="000000"/>
              <w:right w:val="single" w:sz="4" w:space="0" w:color="000000"/>
            </w:tcBorders>
            <w:vAlign w:val="center"/>
          </w:tcPr>
          <w:p w14:paraId="7D0B30F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0,012</w:t>
            </w:r>
          </w:p>
        </w:tc>
      </w:tr>
      <w:tr w:rsidR="006C48AE" w14:paraId="6C1997F3" w14:textId="77777777">
        <w:trPr>
          <w:trHeight w:val="70"/>
        </w:trPr>
        <w:tc>
          <w:tcPr>
            <w:tcW w:w="3964" w:type="dxa"/>
            <w:tcBorders>
              <w:top w:val="nil"/>
              <w:left w:val="single" w:sz="4" w:space="0" w:color="000000"/>
              <w:bottom w:val="single" w:sz="4" w:space="0" w:color="000000"/>
              <w:right w:val="single" w:sz="4" w:space="0" w:color="000000"/>
            </w:tcBorders>
            <w:vAlign w:val="bottom"/>
          </w:tcPr>
          <w:p w14:paraId="39628D12"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внутреннего долга</w:t>
            </w:r>
          </w:p>
        </w:tc>
        <w:tc>
          <w:tcPr>
            <w:tcW w:w="1843" w:type="dxa"/>
            <w:tcBorders>
              <w:top w:val="nil"/>
              <w:left w:val="nil"/>
              <w:bottom w:val="single" w:sz="4" w:space="0" w:color="000000"/>
              <w:right w:val="single" w:sz="4" w:space="0" w:color="000000"/>
            </w:tcBorders>
            <w:vAlign w:val="center"/>
          </w:tcPr>
          <w:p w14:paraId="14CAB13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0,00040</w:t>
            </w:r>
          </w:p>
        </w:tc>
        <w:tc>
          <w:tcPr>
            <w:tcW w:w="1843" w:type="dxa"/>
            <w:tcBorders>
              <w:top w:val="nil"/>
              <w:left w:val="nil"/>
              <w:bottom w:val="single" w:sz="4" w:space="0" w:color="000000"/>
              <w:right w:val="single" w:sz="4" w:space="0" w:color="000000"/>
            </w:tcBorders>
            <w:vAlign w:val="center"/>
          </w:tcPr>
          <w:p w14:paraId="3EFDAEB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0,00054</w:t>
            </w:r>
          </w:p>
        </w:tc>
        <w:tc>
          <w:tcPr>
            <w:tcW w:w="1799" w:type="dxa"/>
            <w:tcBorders>
              <w:top w:val="nil"/>
              <w:left w:val="nil"/>
              <w:bottom w:val="single" w:sz="4" w:space="0" w:color="000000"/>
              <w:right w:val="single" w:sz="4" w:space="0" w:color="000000"/>
            </w:tcBorders>
            <w:vAlign w:val="center"/>
          </w:tcPr>
          <w:p w14:paraId="2523DE7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0,00037</w:t>
            </w:r>
          </w:p>
        </w:tc>
      </w:tr>
      <w:tr w:rsidR="006C48AE" w14:paraId="62CEE74A" w14:textId="77777777">
        <w:trPr>
          <w:trHeight w:val="104"/>
        </w:trPr>
        <w:tc>
          <w:tcPr>
            <w:tcW w:w="3964" w:type="dxa"/>
            <w:tcBorders>
              <w:top w:val="nil"/>
              <w:left w:val="single" w:sz="4" w:space="0" w:color="000000"/>
              <w:bottom w:val="single" w:sz="4" w:space="0" w:color="000000"/>
              <w:right w:val="single" w:sz="4" w:space="0" w:color="000000"/>
            </w:tcBorders>
            <w:vAlign w:val="bottom"/>
          </w:tcPr>
          <w:p w14:paraId="2CE72BA2"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платежеспособности по текущим обязательствам</w:t>
            </w:r>
          </w:p>
        </w:tc>
        <w:tc>
          <w:tcPr>
            <w:tcW w:w="1843" w:type="dxa"/>
            <w:tcBorders>
              <w:top w:val="nil"/>
              <w:left w:val="nil"/>
              <w:bottom w:val="single" w:sz="4" w:space="0" w:color="000000"/>
              <w:right w:val="single" w:sz="4" w:space="0" w:color="000000"/>
            </w:tcBorders>
            <w:vAlign w:val="center"/>
          </w:tcPr>
          <w:p w14:paraId="3B819E2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1843" w:type="dxa"/>
            <w:tcBorders>
              <w:top w:val="nil"/>
              <w:left w:val="nil"/>
              <w:bottom w:val="single" w:sz="4" w:space="0" w:color="000000"/>
              <w:right w:val="single" w:sz="4" w:space="0" w:color="000000"/>
            </w:tcBorders>
            <w:vAlign w:val="center"/>
          </w:tcPr>
          <w:p w14:paraId="769BF4E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c>
          <w:tcPr>
            <w:tcW w:w="1799" w:type="dxa"/>
            <w:tcBorders>
              <w:top w:val="nil"/>
              <w:left w:val="nil"/>
              <w:bottom w:val="single" w:sz="4" w:space="0" w:color="000000"/>
              <w:right w:val="single" w:sz="4" w:space="0" w:color="000000"/>
            </w:tcBorders>
            <w:vAlign w:val="center"/>
          </w:tcPr>
          <w:p w14:paraId="580F6CD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r>
      <w:tr w:rsidR="006C48AE" w14:paraId="0DBEC839" w14:textId="77777777">
        <w:trPr>
          <w:trHeight w:val="257"/>
        </w:trPr>
        <w:tc>
          <w:tcPr>
            <w:tcW w:w="3964" w:type="dxa"/>
            <w:tcBorders>
              <w:top w:val="nil"/>
              <w:left w:val="single" w:sz="4" w:space="0" w:color="000000"/>
              <w:bottom w:val="single" w:sz="4" w:space="0" w:color="000000"/>
              <w:right w:val="single" w:sz="4" w:space="0" w:color="000000"/>
            </w:tcBorders>
            <w:vAlign w:val="bottom"/>
          </w:tcPr>
          <w:p w14:paraId="368BFFC3"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покрытия текущих обязательств оборотными активами</w:t>
            </w:r>
          </w:p>
        </w:tc>
        <w:tc>
          <w:tcPr>
            <w:tcW w:w="1843" w:type="dxa"/>
            <w:tcBorders>
              <w:top w:val="nil"/>
              <w:left w:val="nil"/>
              <w:bottom w:val="single" w:sz="4" w:space="0" w:color="000000"/>
              <w:right w:val="single" w:sz="4" w:space="0" w:color="000000"/>
            </w:tcBorders>
            <w:vAlign w:val="center"/>
          </w:tcPr>
          <w:p w14:paraId="33DFBBA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1843" w:type="dxa"/>
            <w:tcBorders>
              <w:top w:val="nil"/>
              <w:left w:val="nil"/>
              <w:bottom w:val="single" w:sz="4" w:space="0" w:color="000000"/>
              <w:right w:val="single" w:sz="4" w:space="0" w:color="000000"/>
            </w:tcBorders>
            <w:vAlign w:val="center"/>
          </w:tcPr>
          <w:p w14:paraId="292F9B8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c>
          <w:tcPr>
            <w:tcW w:w="1799" w:type="dxa"/>
            <w:tcBorders>
              <w:top w:val="nil"/>
              <w:left w:val="nil"/>
              <w:bottom w:val="single" w:sz="4" w:space="0" w:color="000000"/>
              <w:right w:val="single" w:sz="4" w:space="0" w:color="000000"/>
            </w:tcBorders>
            <w:vAlign w:val="center"/>
          </w:tcPr>
          <w:p w14:paraId="226EBFB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r>
      <w:tr w:rsidR="006C48AE" w14:paraId="041C5A57" w14:textId="77777777">
        <w:trPr>
          <w:trHeight w:val="142"/>
        </w:trPr>
        <w:tc>
          <w:tcPr>
            <w:tcW w:w="3964" w:type="dxa"/>
            <w:tcBorders>
              <w:top w:val="nil"/>
              <w:left w:val="single" w:sz="4" w:space="0" w:color="000000"/>
              <w:bottom w:val="single" w:sz="4" w:space="0" w:color="000000"/>
              <w:right w:val="single" w:sz="4" w:space="0" w:color="000000"/>
            </w:tcBorders>
            <w:vAlign w:val="bottom"/>
          </w:tcPr>
          <w:p w14:paraId="6B13F145"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Собственный капитал в обороте, </w:t>
            </w:r>
            <w:proofErr w:type="spellStart"/>
            <w:r>
              <w:rPr>
                <w:rFonts w:ascii="Times New Roman" w:eastAsia="Times New Roman" w:hAnsi="Times New Roman" w:cs="Times New Roman"/>
                <w:color w:val="000000"/>
                <w:sz w:val="24"/>
                <w:szCs w:val="24"/>
              </w:rPr>
              <w:t>т.р</w:t>
            </w:r>
            <w:proofErr w:type="spellEnd"/>
            <w:r>
              <w:rPr>
                <w:rFonts w:ascii="Times New Roman" w:eastAsia="Times New Roman" w:hAnsi="Times New Roman" w:cs="Times New Roman"/>
                <w:color w:val="000000"/>
                <w:sz w:val="24"/>
                <w:szCs w:val="24"/>
              </w:rPr>
              <w:t>.</w:t>
            </w:r>
          </w:p>
        </w:tc>
        <w:tc>
          <w:tcPr>
            <w:tcW w:w="1843" w:type="dxa"/>
            <w:tcBorders>
              <w:top w:val="nil"/>
              <w:left w:val="nil"/>
              <w:bottom w:val="single" w:sz="4" w:space="0" w:color="000000"/>
              <w:right w:val="single" w:sz="4" w:space="0" w:color="000000"/>
            </w:tcBorders>
            <w:vAlign w:val="center"/>
          </w:tcPr>
          <w:p w14:paraId="771BD79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-1 376 493 470,50</w:t>
            </w:r>
          </w:p>
        </w:tc>
        <w:tc>
          <w:tcPr>
            <w:tcW w:w="1843" w:type="dxa"/>
            <w:tcBorders>
              <w:top w:val="nil"/>
              <w:left w:val="nil"/>
              <w:bottom w:val="single" w:sz="4" w:space="0" w:color="000000"/>
              <w:right w:val="single" w:sz="4" w:space="0" w:color="000000"/>
            </w:tcBorders>
            <w:vAlign w:val="center"/>
          </w:tcPr>
          <w:p w14:paraId="022B32C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-1 634 057 791,00</w:t>
            </w:r>
          </w:p>
        </w:tc>
        <w:tc>
          <w:tcPr>
            <w:tcW w:w="1799" w:type="dxa"/>
            <w:tcBorders>
              <w:top w:val="nil"/>
              <w:left w:val="nil"/>
              <w:bottom w:val="single" w:sz="4" w:space="0" w:color="000000"/>
              <w:right w:val="single" w:sz="4" w:space="0" w:color="000000"/>
            </w:tcBorders>
            <w:vAlign w:val="center"/>
          </w:tcPr>
          <w:p w14:paraId="4E46905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-1 331 151 581,00</w:t>
            </w:r>
          </w:p>
        </w:tc>
      </w:tr>
      <w:tr w:rsidR="006C48AE" w14:paraId="04EF3846" w14:textId="77777777">
        <w:trPr>
          <w:trHeight w:val="136"/>
        </w:trPr>
        <w:tc>
          <w:tcPr>
            <w:tcW w:w="3964" w:type="dxa"/>
            <w:tcBorders>
              <w:top w:val="nil"/>
              <w:left w:val="single" w:sz="4" w:space="0" w:color="000000"/>
              <w:bottom w:val="single" w:sz="4" w:space="0" w:color="000000"/>
              <w:right w:val="single" w:sz="4" w:space="0" w:color="000000"/>
            </w:tcBorders>
            <w:vAlign w:val="bottom"/>
          </w:tcPr>
          <w:p w14:paraId="4EC261F8"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обеспеченности собственными средствами</w:t>
            </w:r>
          </w:p>
        </w:tc>
        <w:tc>
          <w:tcPr>
            <w:tcW w:w="1843" w:type="dxa"/>
            <w:tcBorders>
              <w:top w:val="nil"/>
              <w:left w:val="nil"/>
              <w:bottom w:val="single" w:sz="4" w:space="0" w:color="000000"/>
              <w:right w:val="single" w:sz="4" w:space="0" w:color="000000"/>
            </w:tcBorders>
            <w:vAlign w:val="center"/>
          </w:tcPr>
          <w:p w14:paraId="123540F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1843" w:type="dxa"/>
            <w:tcBorders>
              <w:top w:val="nil"/>
              <w:left w:val="nil"/>
              <w:bottom w:val="single" w:sz="4" w:space="0" w:color="000000"/>
              <w:right w:val="single" w:sz="4" w:space="0" w:color="000000"/>
            </w:tcBorders>
            <w:vAlign w:val="center"/>
          </w:tcPr>
          <w:p w14:paraId="2008E28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1799" w:type="dxa"/>
            <w:tcBorders>
              <w:top w:val="nil"/>
              <w:left w:val="nil"/>
              <w:bottom w:val="single" w:sz="4" w:space="0" w:color="000000"/>
              <w:right w:val="single" w:sz="4" w:space="0" w:color="000000"/>
            </w:tcBorders>
            <w:vAlign w:val="center"/>
          </w:tcPr>
          <w:p w14:paraId="0FE5FB8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r>
      <w:tr w:rsidR="006C48AE" w14:paraId="546942BB" w14:textId="77777777">
        <w:trPr>
          <w:trHeight w:val="70"/>
        </w:trPr>
        <w:tc>
          <w:tcPr>
            <w:tcW w:w="3964" w:type="dxa"/>
            <w:tcBorders>
              <w:top w:val="nil"/>
              <w:left w:val="single" w:sz="4" w:space="0" w:color="000000"/>
              <w:bottom w:val="single" w:sz="4" w:space="0" w:color="000000"/>
              <w:right w:val="single" w:sz="4" w:space="0" w:color="000000"/>
            </w:tcBorders>
            <w:vAlign w:val="bottom"/>
          </w:tcPr>
          <w:p w14:paraId="684E7AD1"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финансовой независимости (автономии)</w:t>
            </w:r>
          </w:p>
        </w:tc>
        <w:tc>
          <w:tcPr>
            <w:tcW w:w="1843" w:type="dxa"/>
            <w:tcBorders>
              <w:top w:val="nil"/>
              <w:left w:val="nil"/>
              <w:bottom w:val="single" w:sz="4" w:space="0" w:color="000000"/>
              <w:right w:val="single" w:sz="4" w:space="0" w:color="000000"/>
            </w:tcBorders>
            <w:vAlign w:val="center"/>
          </w:tcPr>
          <w:p w14:paraId="25CA964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1843" w:type="dxa"/>
            <w:tcBorders>
              <w:top w:val="nil"/>
              <w:left w:val="nil"/>
              <w:bottom w:val="single" w:sz="4" w:space="0" w:color="000000"/>
              <w:right w:val="single" w:sz="4" w:space="0" w:color="000000"/>
            </w:tcBorders>
            <w:vAlign w:val="center"/>
          </w:tcPr>
          <w:p w14:paraId="67F38F95"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1799" w:type="dxa"/>
            <w:tcBorders>
              <w:top w:val="nil"/>
              <w:left w:val="nil"/>
              <w:bottom w:val="single" w:sz="4" w:space="0" w:color="000000"/>
              <w:right w:val="single" w:sz="4" w:space="0" w:color="000000"/>
            </w:tcBorders>
            <w:vAlign w:val="center"/>
          </w:tcPr>
          <w:p w14:paraId="05D8420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r>
    </w:tbl>
    <w:p w14:paraId="6531F160" w14:textId="77777777" w:rsidR="00564ED8" w:rsidRPr="00564ED8" w:rsidRDefault="00564ED8" w:rsidP="00564ED8">
      <w:pPr>
        <w:spacing w:after="0" w:line="360" w:lineRule="auto"/>
        <w:jc w:val="both"/>
        <w:rPr>
          <w:rFonts w:ascii="Times New Roman" w:eastAsia="Times New Roman" w:hAnsi="Times New Roman" w:cs="Times New Roman"/>
          <w:sz w:val="24"/>
          <w:szCs w:val="24"/>
        </w:rPr>
      </w:pPr>
      <w:r w:rsidRPr="00564ED8">
        <w:rPr>
          <w:rFonts w:ascii="Times New Roman" w:eastAsia="Times New Roman" w:hAnsi="Times New Roman" w:cs="Times New Roman"/>
          <w:sz w:val="24"/>
          <w:szCs w:val="24"/>
        </w:rPr>
        <w:t>Источник: составлено автором по данным предприятия</w:t>
      </w:r>
    </w:p>
    <w:p w14:paraId="4805C9DD" w14:textId="77777777" w:rsidR="00564ED8" w:rsidRDefault="00564ED8">
      <w:pPr>
        <w:spacing w:after="0" w:line="360" w:lineRule="auto"/>
        <w:ind w:firstLine="709"/>
        <w:jc w:val="both"/>
        <w:rPr>
          <w:rFonts w:ascii="Times New Roman" w:eastAsia="Times New Roman" w:hAnsi="Times New Roman" w:cs="Times New Roman"/>
          <w:sz w:val="28"/>
          <w:szCs w:val="28"/>
        </w:rPr>
      </w:pPr>
    </w:p>
    <w:p w14:paraId="211E02E5" w14:textId="77777777" w:rsidR="00564ED8" w:rsidRDefault="00564ED8" w:rsidP="00564ED8">
      <w:pPr>
        <w:spacing w:after="0" w:line="360" w:lineRule="auto"/>
        <w:ind w:firstLine="709"/>
        <w:jc w:val="both"/>
        <w:rPr>
          <w:rFonts w:ascii="Times New Roman" w:eastAsia="Times New Roman" w:hAnsi="Times New Roman" w:cs="Times New Roman"/>
          <w:sz w:val="28"/>
          <w:szCs w:val="28"/>
        </w:rPr>
      </w:pPr>
      <w:r w:rsidRPr="00E63909">
        <w:rPr>
          <w:rFonts w:ascii="Times New Roman" w:eastAsia="Times New Roman" w:hAnsi="Times New Roman" w:cs="Times New Roman"/>
          <w:sz w:val="28"/>
          <w:szCs w:val="28"/>
        </w:rPr>
        <w:t>В приоритете расчетов компании является выплата заработной платы своим сотрудникам, о чем свидетельствует низкое значение коэффициента внутреннего долга, далее компания производит расчеты по налогам и страховым взносам, коэффициент задолженности фискальной системе также находится на низком уровне, это можно объяснить требованиями законодательства в сфере налогов и сборов, компания старается не допускать задержек платежей в связи с возможными штрафными санкциями.</w:t>
      </w:r>
    </w:p>
    <w:p w14:paraId="204EC495" w14:textId="5F459393" w:rsidR="00564ED8" w:rsidRDefault="004E74FC" w:rsidP="00A548E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проведем анализ текущей платежеспособности </w:t>
      </w:r>
      <w:r w:rsidR="002D059D" w:rsidRPr="002D059D">
        <w:rPr>
          <w:rFonts w:ascii="Times New Roman" w:eastAsia="Times New Roman" w:hAnsi="Times New Roman" w:cs="Times New Roman"/>
          <w:sz w:val="28"/>
          <w:szCs w:val="28"/>
        </w:rPr>
        <w:t xml:space="preserve">компании </w:t>
      </w:r>
      <w:r>
        <w:rPr>
          <w:rFonts w:ascii="Times New Roman" w:eastAsia="Times New Roman" w:hAnsi="Times New Roman" w:cs="Times New Roman"/>
          <w:sz w:val="28"/>
          <w:szCs w:val="28"/>
        </w:rPr>
        <w:t>(таблица 2.6).</w:t>
      </w:r>
    </w:p>
    <w:p w14:paraId="08D84CD8" w14:textId="77777777" w:rsidR="00564ED8" w:rsidRDefault="00564ED8">
      <w:pPr>
        <w:spacing w:after="0" w:line="360" w:lineRule="auto"/>
        <w:ind w:firstLine="709"/>
        <w:jc w:val="both"/>
        <w:rPr>
          <w:rFonts w:ascii="Times New Roman" w:eastAsia="Times New Roman" w:hAnsi="Times New Roman" w:cs="Times New Roman"/>
          <w:sz w:val="28"/>
          <w:szCs w:val="28"/>
        </w:rPr>
      </w:pPr>
    </w:p>
    <w:p w14:paraId="6D089D3C" w14:textId="75DAA053" w:rsidR="006C48AE" w:rsidRDefault="00A548EF" w:rsidP="00E04C8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4E74FC">
        <w:rPr>
          <w:rFonts w:ascii="Times New Roman" w:eastAsia="Times New Roman" w:hAnsi="Times New Roman" w:cs="Times New Roman"/>
          <w:sz w:val="28"/>
          <w:szCs w:val="28"/>
        </w:rPr>
        <w:t>2.6 -</w:t>
      </w:r>
      <w:r w:rsidR="00E04C86">
        <w:rPr>
          <w:rFonts w:ascii="Times New Roman" w:eastAsia="Times New Roman" w:hAnsi="Times New Roman" w:cs="Times New Roman"/>
          <w:sz w:val="28"/>
          <w:szCs w:val="28"/>
        </w:rPr>
        <w:t xml:space="preserve"> </w:t>
      </w:r>
      <w:r w:rsidR="004E74FC">
        <w:rPr>
          <w:rFonts w:ascii="Times New Roman" w:eastAsia="Times New Roman" w:hAnsi="Times New Roman" w:cs="Times New Roman"/>
          <w:sz w:val="28"/>
          <w:szCs w:val="28"/>
        </w:rPr>
        <w:t>Коэффициенты, характеризующие текущую</w:t>
      </w:r>
      <w:r w:rsidR="00E04C86">
        <w:rPr>
          <w:rFonts w:ascii="Times New Roman" w:eastAsia="Times New Roman" w:hAnsi="Times New Roman" w:cs="Times New Roman"/>
          <w:sz w:val="28"/>
          <w:szCs w:val="28"/>
        </w:rPr>
        <w:t xml:space="preserve"> </w:t>
      </w:r>
      <w:r w:rsidR="004E74FC">
        <w:rPr>
          <w:rFonts w:ascii="Times New Roman" w:eastAsia="Times New Roman" w:hAnsi="Times New Roman" w:cs="Times New Roman"/>
          <w:sz w:val="28"/>
          <w:szCs w:val="28"/>
        </w:rPr>
        <w:t xml:space="preserve">платежеспособность </w:t>
      </w:r>
      <w:r w:rsidR="002D059D" w:rsidRPr="002D059D">
        <w:rPr>
          <w:rFonts w:ascii="Times New Roman" w:eastAsia="Times New Roman" w:hAnsi="Times New Roman" w:cs="Times New Roman"/>
          <w:sz w:val="28"/>
          <w:szCs w:val="28"/>
        </w:rPr>
        <w:t>компани</w:t>
      </w:r>
      <w:r w:rsidR="002D059D">
        <w:rPr>
          <w:rFonts w:ascii="Times New Roman" w:eastAsia="Times New Roman" w:hAnsi="Times New Roman" w:cs="Times New Roman"/>
          <w:sz w:val="28"/>
          <w:szCs w:val="28"/>
        </w:rPr>
        <w:t>и</w:t>
      </w:r>
    </w:p>
    <w:tbl>
      <w:tblPr>
        <w:tblStyle w:val="ac"/>
        <w:tblW w:w="9570" w:type="dxa"/>
        <w:tblInd w:w="-1" w:type="dxa"/>
        <w:tblLayout w:type="fixed"/>
        <w:tblLook w:val="0400" w:firstRow="0" w:lastRow="0" w:firstColumn="0" w:lastColumn="0" w:noHBand="0" w:noVBand="1"/>
      </w:tblPr>
      <w:tblGrid>
        <w:gridCol w:w="4390"/>
        <w:gridCol w:w="1134"/>
        <w:gridCol w:w="992"/>
        <w:gridCol w:w="992"/>
        <w:gridCol w:w="2062"/>
      </w:tblGrid>
      <w:tr w:rsidR="006C48AE" w14:paraId="68946A01" w14:textId="77777777">
        <w:trPr>
          <w:trHeight w:val="176"/>
        </w:trPr>
        <w:tc>
          <w:tcPr>
            <w:tcW w:w="4390" w:type="dxa"/>
            <w:tcBorders>
              <w:top w:val="single" w:sz="4" w:space="0" w:color="000000"/>
              <w:left w:val="single" w:sz="4" w:space="0" w:color="000000"/>
              <w:bottom w:val="single" w:sz="4" w:space="0" w:color="000000"/>
              <w:right w:val="single" w:sz="4" w:space="0" w:color="000000"/>
            </w:tcBorders>
            <w:vAlign w:val="center"/>
          </w:tcPr>
          <w:p w14:paraId="7E84EB6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коэффициента</w:t>
            </w:r>
          </w:p>
        </w:tc>
        <w:tc>
          <w:tcPr>
            <w:tcW w:w="1134" w:type="dxa"/>
            <w:tcBorders>
              <w:top w:val="single" w:sz="4" w:space="0" w:color="000000"/>
              <w:left w:val="nil"/>
              <w:bottom w:val="single" w:sz="4" w:space="0" w:color="000000"/>
              <w:right w:val="single" w:sz="4" w:space="0" w:color="000000"/>
            </w:tcBorders>
            <w:vAlign w:val="center"/>
          </w:tcPr>
          <w:p w14:paraId="4C488C57"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992" w:type="dxa"/>
            <w:tcBorders>
              <w:top w:val="single" w:sz="4" w:space="0" w:color="000000"/>
              <w:left w:val="nil"/>
              <w:bottom w:val="single" w:sz="4" w:space="0" w:color="000000"/>
              <w:right w:val="single" w:sz="4" w:space="0" w:color="000000"/>
            </w:tcBorders>
            <w:vAlign w:val="center"/>
          </w:tcPr>
          <w:p w14:paraId="163CB40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992" w:type="dxa"/>
            <w:tcBorders>
              <w:top w:val="single" w:sz="4" w:space="0" w:color="000000"/>
              <w:left w:val="nil"/>
              <w:bottom w:val="single" w:sz="4" w:space="0" w:color="000000"/>
              <w:right w:val="single" w:sz="4" w:space="0" w:color="000000"/>
            </w:tcBorders>
            <w:vAlign w:val="center"/>
          </w:tcPr>
          <w:p w14:paraId="31D45DB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2062" w:type="dxa"/>
            <w:tcBorders>
              <w:top w:val="single" w:sz="4" w:space="0" w:color="000000"/>
              <w:left w:val="nil"/>
              <w:bottom w:val="single" w:sz="4" w:space="0" w:color="000000"/>
              <w:right w:val="single" w:sz="4" w:space="0" w:color="000000"/>
            </w:tcBorders>
            <w:vAlign w:val="center"/>
          </w:tcPr>
          <w:p w14:paraId="3B1D2800"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Нормативное значение</w:t>
            </w:r>
          </w:p>
        </w:tc>
      </w:tr>
      <w:tr w:rsidR="006C48AE" w14:paraId="02581715" w14:textId="77777777">
        <w:trPr>
          <w:trHeight w:val="70"/>
        </w:trPr>
        <w:tc>
          <w:tcPr>
            <w:tcW w:w="4390" w:type="dxa"/>
            <w:tcBorders>
              <w:top w:val="nil"/>
              <w:left w:val="single" w:sz="4" w:space="0" w:color="000000"/>
              <w:bottom w:val="single" w:sz="4" w:space="0" w:color="000000"/>
              <w:right w:val="single" w:sz="4" w:space="0" w:color="000000"/>
            </w:tcBorders>
            <w:vAlign w:val="bottom"/>
          </w:tcPr>
          <w:p w14:paraId="20B398AF"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ликвидности при мобилизации средств</w:t>
            </w:r>
          </w:p>
        </w:tc>
        <w:tc>
          <w:tcPr>
            <w:tcW w:w="1134" w:type="dxa"/>
            <w:tcBorders>
              <w:top w:val="nil"/>
              <w:left w:val="nil"/>
              <w:bottom w:val="single" w:sz="4" w:space="0" w:color="000000"/>
              <w:right w:val="single" w:sz="4" w:space="0" w:color="000000"/>
            </w:tcBorders>
            <w:vAlign w:val="center"/>
          </w:tcPr>
          <w:p w14:paraId="24F52FC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992" w:type="dxa"/>
            <w:tcBorders>
              <w:top w:val="nil"/>
              <w:left w:val="nil"/>
              <w:bottom w:val="single" w:sz="4" w:space="0" w:color="000000"/>
              <w:right w:val="single" w:sz="4" w:space="0" w:color="000000"/>
            </w:tcBorders>
            <w:vAlign w:val="center"/>
          </w:tcPr>
          <w:p w14:paraId="6D3642E6"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992" w:type="dxa"/>
            <w:tcBorders>
              <w:top w:val="nil"/>
              <w:left w:val="nil"/>
              <w:bottom w:val="single" w:sz="4" w:space="0" w:color="000000"/>
              <w:right w:val="single" w:sz="4" w:space="0" w:color="000000"/>
            </w:tcBorders>
            <w:vAlign w:val="center"/>
          </w:tcPr>
          <w:p w14:paraId="55B1637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2062" w:type="dxa"/>
            <w:tcBorders>
              <w:top w:val="nil"/>
              <w:left w:val="nil"/>
              <w:bottom w:val="single" w:sz="4" w:space="0" w:color="000000"/>
              <w:right w:val="single" w:sz="4" w:space="0" w:color="000000"/>
            </w:tcBorders>
            <w:vAlign w:val="center"/>
          </w:tcPr>
          <w:p w14:paraId="1140E9D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0,5-0,7</w:t>
            </w:r>
          </w:p>
        </w:tc>
      </w:tr>
      <w:tr w:rsidR="006C48AE" w14:paraId="6281C88F" w14:textId="77777777">
        <w:trPr>
          <w:trHeight w:val="110"/>
        </w:trPr>
        <w:tc>
          <w:tcPr>
            <w:tcW w:w="4390" w:type="dxa"/>
            <w:tcBorders>
              <w:top w:val="nil"/>
              <w:left w:val="single" w:sz="4" w:space="0" w:color="000000"/>
              <w:bottom w:val="single" w:sz="4" w:space="0" w:color="000000"/>
              <w:right w:val="single" w:sz="4" w:space="0" w:color="000000"/>
            </w:tcBorders>
            <w:vAlign w:val="bottom"/>
          </w:tcPr>
          <w:p w14:paraId="087A2DAA"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собственной платежеспособности</w:t>
            </w:r>
          </w:p>
        </w:tc>
        <w:tc>
          <w:tcPr>
            <w:tcW w:w="1134" w:type="dxa"/>
            <w:tcBorders>
              <w:top w:val="nil"/>
              <w:left w:val="nil"/>
              <w:bottom w:val="single" w:sz="4" w:space="0" w:color="000000"/>
              <w:right w:val="single" w:sz="4" w:space="0" w:color="000000"/>
            </w:tcBorders>
            <w:vAlign w:val="center"/>
          </w:tcPr>
          <w:p w14:paraId="52368C9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992" w:type="dxa"/>
            <w:tcBorders>
              <w:top w:val="nil"/>
              <w:left w:val="nil"/>
              <w:bottom w:val="single" w:sz="4" w:space="0" w:color="000000"/>
              <w:right w:val="single" w:sz="4" w:space="0" w:color="000000"/>
            </w:tcBorders>
            <w:vAlign w:val="center"/>
          </w:tcPr>
          <w:p w14:paraId="11BCE97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992" w:type="dxa"/>
            <w:tcBorders>
              <w:top w:val="nil"/>
              <w:left w:val="nil"/>
              <w:bottom w:val="single" w:sz="4" w:space="0" w:color="000000"/>
              <w:right w:val="single" w:sz="4" w:space="0" w:color="000000"/>
            </w:tcBorders>
            <w:vAlign w:val="center"/>
          </w:tcPr>
          <w:p w14:paraId="175582F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2062" w:type="dxa"/>
            <w:tcBorders>
              <w:top w:val="nil"/>
              <w:left w:val="nil"/>
              <w:bottom w:val="single" w:sz="4" w:space="0" w:color="000000"/>
              <w:right w:val="single" w:sz="4" w:space="0" w:color="000000"/>
            </w:tcBorders>
            <w:vAlign w:val="center"/>
          </w:tcPr>
          <w:p w14:paraId="468E774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Индивидуальный</w:t>
            </w:r>
          </w:p>
        </w:tc>
      </w:tr>
      <w:tr w:rsidR="006C48AE" w14:paraId="150FC130" w14:textId="77777777">
        <w:trPr>
          <w:trHeight w:val="147"/>
        </w:trPr>
        <w:tc>
          <w:tcPr>
            <w:tcW w:w="4390" w:type="dxa"/>
            <w:tcBorders>
              <w:top w:val="nil"/>
              <w:left w:val="single" w:sz="4" w:space="0" w:color="000000"/>
              <w:bottom w:val="single" w:sz="4" w:space="0" w:color="000000"/>
              <w:right w:val="single" w:sz="4" w:space="0" w:color="000000"/>
            </w:tcBorders>
            <w:vAlign w:val="bottom"/>
          </w:tcPr>
          <w:p w14:paraId="27F80EE3"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покрытия чистыми активами всех обязательств</w:t>
            </w:r>
          </w:p>
        </w:tc>
        <w:tc>
          <w:tcPr>
            <w:tcW w:w="1134" w:type="dxa"/>
            <w:tcBorders>
              <w:top w:val="nil"/>
              <w:left w:val="nil"/>
              <w:bottom w:val="single" w:sz="4" w:space="0" w:color="000000"/>
              <w:right w:val="single" w:sz="4" w:space="0" w:color="000000"/>
            </w:tcBorders>
            <w:vAlign w:val="center"/>
          </w:tcPr>
          <w:p w14:paraId="725FD46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992" w:type="dxa"/>
            <w:tcBorders>
              <w:top w:val="nil"/>
              <w:left w:val="nil"/>
              <w:bottom w:val="single" w:sz="4" w:space="0" w:color="000000"/>
              <w:right w:val="single" w:sz="4" w:space="0" w:color="000000"/>
            </w:tcBorders>
            <w:vAlign w:val="center"/>
          </w:tcPr>
          <w:p w14:paraId="61639D1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w:t>
            </w:r>
          </w:p>
        </w:tc>
        <w:tc>
          <w:tcPr>
            <w:tcW w:w="992" w:type="dxa"/>
            <w:tcBorders>
              <w:top w:val="nil"/>
              <w:left w:val="nil"/>
              <w:bottom w:val="single" w:sz="4" w:space="0" w:color="000000"/>
              <w:right w:val="single" w:sz="4" w:space="0" w:color="000000"/>
            </w:tcBorders>
            <w:vAlign w:val="center"/>
          </w:tcPr>
          <w:p w14:paraId="458EBEB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w:t>
            </w:r>
          </w:p>
        </w:tc>
        <w:tc>
          <w:tcPr>
            <w:tcW w:w="2062" w:type="dxa"/>
            <w:tcBorders>
              <w:top w:val="nil"/>
              <w:left w:val="nil"/>
              <w:bottom w:val="single" w:sz="4" w:space="0" w:color="000000"/>
              <w:right w:val="single" w:sz="4" w:space="0" w:color="000000"/>
            </w:tcBorders>
            <w:vAlign w:val="center"/>
          </w:tcPr>
          <w:p w14:paraId="10367AC0" w14:textId="77777777" w:rsidR="006C48AE" w:rsidRDefault="004E74FC">
            <w:pPr>
              <w:spacing w:after="0" w:line="240" w:lineRule="auto"/>
              <w:jc w:val="center"/>
              <w:rPr>
                <w:color w:val="000000"/>
                <w:sz w:val="24"/>
                <w:szCs w:val="24"/>
              </w:rPr>
            </w:pPr>
            <w:r>
              <w:rPr>
                <w:color w:val="000000"/>
                <w:sz w:val="24"/>
                <w:szCs w:val="24"/>
              </w:rPr>
              <w:t>≥1</w:t>
            </w:r>
          </w:p>
        </w:tc>
      </w:tr>
      <w:tr w:rsidR="006C48AE" w14:paraId="6FC26C36" w14:textId="77777777">
        <w:trPr>
          <w:trHeight w:val="302"/>
        </w:trPr>
        <w:tc>
          <w:tcPr>
            <w:tcW w:w="4390" w:type="dxa"/>
            <w:tcBorders>
              <w:top w:val="nil"/>
              <w:left w:val="single" w:sz="4" w:space="0" w:color="000000"/>
              <w:bottom w:val="single" w:sz="4" w:space="0" w:color="000000"/>
              <w:right w:val="single" w:sz="4" w:space="0" w:color="000000"/>
            </w:tcBorders>
            <w:vAlign w:val="bottom"/>
          </w:tcPr>
          <w:p w14:paraId="18731313"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покрытия чистыми оборотными активами кредиторской задолженности</w:t>
            </w:r>
          </w:p>
        </w:tc>
        <w:tc>
          <w:tcPr>
            <w:tcW w:w="1134" w:type="dxa"/>
            <w:tcBorders>
              <w:top w:val="nil"/>
              <w:left w:val="nil"/>
              <w:bottom w:val="single" w:sz="4" w:space="0" w:color="000000"/>
              <w:right w:val="single" w:sz="4" w:space="0" w:color="000000"/>
            </w:tcBorders>
            <w:vAlign w:val="center"/>
          </w:tcPr>
          <w:p w14:paraId="11AF821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992" w:type="dxa"/>
            <w:tcBorders>
              <w:top w:val="nil"/>
              <w:left w:val="nil"/>
              <w:bottom w:val="single" w:sz="4" w:space="0" w:color="000000"/>
              <w:right w:val="single" w:sz="4" w:space="0" w:color="000000"/>
            </w:tcBorders>
            <w:vAlign w:val="center"/>
          </w:tcPr>
          <w:p w14:paraId="151D889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992" w:type="dxa"/>
            <w:tcBorders>
              <w:top w:val="nil"/>
              <w:left w:val="nil"/>
              <w:bottom w:val="single" w:sz="4" w:space="0" w:color="000000"/>
              <w:right w:val="single" w:sz="4" w:space="0" w:color="000000"/>
            </w:tcBorders>
            <w:vAlign w:val="center"/>
          </w:tcPr>
          <w:p w14:paraId="290CD39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c>
          <w:tcPr>
            <w:tcW w:w="2062" w:type="dxa"/>
            <w:tcBorders>
              <w:top w:val="nil"/>
              <w:left w:val="nil"/>
              <w:bottom w:val="single" w:sz="4" w:space="0" w:color="000000"/>
              <w:right w:val="single" w:sz="4" w:space="0" w:color="000000"/>
            </w:tcBorders>
            <w:vAlign w:val="center"/>
          </w:tcPr>
          <w:p w14:paraId="6C1EAC3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w:t>
            </w:r>
          </w:p>
        </w:tc>
      </w:tr>
      <w:tr w:rsidR="006C48AE" w14:paraId="2F9AC3E2" w14:textId="77777777">
        <w:trPr>
          <w:trHeight w:val="189"/>
        </w:trPr>
        <w:tc>
          <w:tcPr>
            <w:tcW w:w="4390" w:type="dxa"/>
            <w:tcBorders>
              <w:top w:val="nil"/>
              <w:left w:val="single" w:sz="4" w:space="0" w:color="000000"/>
              <w:bottom w:val="single" w:sz="4" w:space="0" w:color="000000"/>
              <w:right w:val="single" w:sz="4" w:space="0" w:color="000000"/>
            </w:tcBorders>
            <w:vAlign w:val="bottom"/>
          </w:tcPr>
          <w:p w14:paraId="10BE3B8C"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чистых оборотных активов в общей величине чистых активов</w:t>
            </w:r>
          </w:p>
        </w:tc>
        <w:tc>
          <w:tcPr>
            <w:tcW w:w="1134" w:type="dxa"/>
            <w:tcBorders>
              <w:top w:val="nil"/>
              <w:left w:val="nil"/>
              <w:bottom w:val="single" w:sz="4" w:space="0" w:color="000000"/>
              <w:right w:val="single" w:sz="4" w:space="0" w:color="000000"/>
            </w:tcBorders>
            <w:vAlign w:val="center"/>
          </w:tcPr>
          <w:p w14:paraId="6CFF1AE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992" w:type="dxa"/>
            <w:tcBorders>
              <w:top w:val="nil"/>
              <w:left w:val="nil"/>
              <w:bottom w:val="single" w:sz="4" w:space="0" w:color="000000"/>
              <w:right w:val="single" w:sz="4" w:space="0" w:color="000000"/>
            </w:tcBorders>
            <w:vAlign w:val="center"/>
          </w:tcPr>
          <w:p w14:paraId="11B9420E"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992" w:type="dxa"/>
            <w:tcBorders>
              <w:top w:val="nil"/>
              <w:left w:val="nil"/>
              <w:bottom w:val="single" w:sz="4" w:space="0" w:color="000000"/>
              <w:right w:val="single" w:sz="4" w:space="0" w:color="000000"/>
            </w:tcBorders>
            <w:vAlign w:val="center"/>
          </w:tcPr>
          <w:p w14:paraId="0B27D70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2062" w:type="dxa"/>
            <w:tcBorders>
              <w:top w:val="nil"/>
              <w:left w:val="nil"/>
              <w:bottom w:val="single" w:sz="4" w:space="0" w:color="000000"/>
              <w:right w:val="single" w:sz="4" w:space="0" w:color="000000"/>
            </w:tcBorders>
            <w:vAlign w:val="center"/>
          </w:tcPr>
          <w:p w14:paraId="1271B78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w:t>
            </w:r>
          </w:p>
        </w:tc>
      </w:tr>
      <w:tr w:rsidR="006C48AE" w14:paraId="697DA082" w14:textId="77777777">
        <w:trPr>
          <w:trHeight w:val="70"/>
        </w:trPr>
        <w:tc>
          <w:tcPr>
            <w:tcW w:w="4390" w:type="dxa"/>
            <w:tcBorders>
              <w:top w:val="nil"/>
              <w:left w:val="single" w:sz="4" w:space="0" w:color="000000"/>
              <w:bottom w:val="single" w:sz="4" w:space="0" w:color="000000"/>
              <w:right w:val="single" w:sz="4" w:space="0" w:color="000000"/>
            </w:tcBorders>
            <w:vAlign w:val="bottom"/>
          </w:tcPr>
          <w:p w14:paraId="5F598905"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 соотношения ДЗ и КЗ</w:t>
            </w:r>
          </w:p>
        </w:tc>
        <w:tc>
          <w:tcPr>
            <w:tcW w:w="1134" w:type="dxa"/>
            <w:tcBorders>
              <w:top w:val="nil"/>
              <w:left w:val="nil"/>
              <w:bottom w:val="single" w:sz="4" w:space="0" w:color="000000"/>
              <w:right w:val="single" w:sz="4" w:space="0" w:color="000000"/>
            </w:tcBorders>
            <w:vAlign w:val="center"/>
          </w:tcPr>
          <w:p w14:paraId="08EA6F7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c>
          <w:tcPr>
            <w:tcW w:w="992" w:type="dxa"/>
            <w:tcBorders>
              <w:top w:val="nil"/>
              <w:left w:val="nil"/>
              <w:bottom w:val="single" w:sz="4" w:space="0" w:color="000000"/>
              <w:right w:val="single" w:sz="4" w:space="0" w:color="000000"/>
            </w:tcBorders>
            <w:vAlign w:val="center"/>
          </w:tcPr>
          <w:p w14:paraId="24C207B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w:t>
            </w:r>
          </w:p>
        </w:tc>
        <w:tc>
          <w:tcPr>
            <w:tcW w:w="992" w:type="dxa"/>
            <w:tcBorders>
              <w:top w:val="nil"/>
              <w:left w:val="nil"/>
              <w:bottom w:val="single" w:sz="4" w:space="0" w:color="000000"/>
              <w:right w:val="single" w:sz="4" w:space="0" w:color="000000"/>
            </w:tcBorders>
            <w:vAlign w:val="center"/>
          </w:tcPr>
          <w:p w14:paraId="42AF8E4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p>
        </w:tc>
        <w:tc>
          <w:tcPr>
            <w:tcW w:w="2062" w:type="dxa"/>
            <w:tcBorders>
              <w:top w:val="nil"/>
              <w:left w:val="nil"/>
              <w:bottom w:val="single" w:sz="4" w:space="0" w:color="000000"/>
              <w:right w:val="single" w:sz="4" w:space="0" w:color="000000"/>
            </w:tcBorders>
            <w:vAlign w:val="center"/>
          </w:tcPr>
          <w:p w14:paraId="63F2824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w:t>
            </w:r>
          </w:p>
        </w:tc>
      </w:tr>
    </w:tbl>
    <w:p w14:paraId="13838195" w14:textId="77777777" w:rsidR="00564ED8" w:rsidRPr="00564ED8" w:rsidRDefault="00564ED8" w:rsidP="00564ED8">
      <w:pPr>
        <w:spacing w:after="0" w:line="360" w:lineRule="auto"/>
        <w:jc w:val="both"/>
        <w:rPr>
          <w:rFonts w:ascii="Times New Roman" w:eastAsia="Times New Roman" w:hAnsi="Times New Roman" w:cs="Times New Roman"/>
          <w:sz w:val="24"/>
          <w:szCs w:val="24"/>
        </w:rPr>
      </w:pPr>
      <w:r w:rsidRPr="00564ED8">
        <w:rPr>
          <w:rFonts w:ascii="Times New Roman" w:eastAsia="Times New Roman" w:hAnsi="Times New Roman" w:cs="Times New Roman"/>
          <w:sz w:val="24"/>
          <w:szCs w:val="24"/>
        </w:rPr>
        <w:t>Источник: составлено автором по данным предприятия</w:t>
      </w:r>
    </w:p>
    <w:p w14:paraId="370EE940" w14:textId="77777777" w:rsidR="006C48AE" w:rsidRDefault="006C48AE">
      <w:pPr>
        <w:spacing w:after="0" w:line="360" w:lineRule="auto"/>
        <w:jc w:val="both"/>
        <w:rPr>
          <w:rFonts w:ascii="Times New Roman" w:eastAsia="Times New Roman" w:hAnsi="Times New Roman" w:cs="Times New Roman"/>
          <w:sz w:val="28"/>
          <w:szCs w:val="28"/>
        </w:rPr>
      </w:pPr>
    </w:p>
    <w:p w14:paraId="521717F6" w14:textId="77777777" w:rsidR="00E8645F" w:rsidRDefault="004E74F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анализа видно, что коэффициент ликвидности при мобилизации средств находится ниже нормативного значения во всем анализируемом периоде, что говорит о сильной зависимости платежеспособности </w:t>
      </w:r>
      <w:r w:rsidR="00E8645F" w:rsidRPr="00E8645F">
        <w:rPr>
          <w:rFonts w:ascii="Times New Roman" w:eastAsia="Times New Roman" w:hAnsi="Times New Roman" w:cs="Times New Roman"/>
          <w:sz w:val="28"/>
          <w:szCs w:val="28"/>
        </w:rPr>
        <w:t>компании</w:t>
      </w:r>
      <w:r>
        <w:rPr>
          <w:rFonts w:ascii="Times New Roman" w:eastAsia="Times New Roman" w:hAnsi="Times New Roman" w:cs="Times New Roman"/>
          <w:sz w:val="28"/>
          <w:szCs w:val="28"/>
        </w:rPr>
        <w:t xml:space="preserve"> от материальных запасов.  </w:t>
      </w:r>
    </w:p>
    <w:p w14:paraId="5AFF1ECB" w14:textId="77777777" w:rsidR="006C48AE" w:rsidRDefault="004E74F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Собственная платежеспособность компании находится на критически низком уровне, при этом наблюдается отрицательная динамика данного коэффициента, следовательно, у компании нет собственных средств для </w:t>
      </w:r>
      <w:r>
        <w:rPr>
          <w:rFonts w:ascii="Times New Roman" w:eastAsia="Times New Roman" w:hAnsi="Times New Roman" w:cs="Times New Roman"/>
          <w:sz w:val="28"/>
          <w:szCs w:val="28"/>
        </w:rPr>
        <w:lastRenderedPageBreak/>
        <w:t>возмещения краткосрочных обязательств, ей приходится привлекать дополнительные источники, при этом стоимость их привлечения может быть существенно высокой.</w:t>
      </w:r>
    </w:p>
    <w:p w14:paraId="084D3734"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компания обладает значительной величиной чистых активов, коэффициенты покрытия чистыми активами всех обязательств и кредиторской задолженности находятся выше нормативного уровня. Это объясняется большими объемами внеоборотных активов в общей величине чистых активов.</w:t>
      </w:r>
    </w:p>
    <w:p w14:paraId="154B771F" w14:textId="77777777" w:rsidR="00E8645F"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Соотношение дебиторской и кредиторской задолженностей также находится выше нормативного уровня, в 2019 году объем дебиторской задолженности в 3 раза превышал объем кредиторской, это свидетельствует о том, что </w:t>
      </w:r>
      <w:r w:rsidR="00B06143">
        <w:rPr>
          <w:rFonts w:ascii="Times New Roman" w:eastAsia="Times New Roman" w:hAnsi="Times New Roman" w:cs="Times New Roman"/>
          <w:sz w:val="28"/>
          <w:szCs w:val="28"/>
        </w:rPr>
        <w:t>компания</w:t>
      </w:r>
      <w:r>
        <w:rPr>
          <w:rFonts w:ascii="Times New Roman" w:eastAsia="Times New Roman" w:hAnsi="Times New Roman" w:cs="Times New Roman"/>
          <w:sz w:val="28"/>
          <w:szCs w:val="28"/>
        </w:rPr>
        <w:t xml:space="preserve"> сотрудничает с контрагентами, неспособными вовремя оплатить услуги или товары. </w:t>
      </w:r>
      <w:r w:rsidR="00E8645F">
        <w:rPr>
          <w:rFonts w:ascii="Times New Roman" w:eastAsia="Times New Roman" w:hAnsi="Times New Roman" w:cs="Times New Roman"/>
          <w:sz w:val="28"/>
          <w:szCs w:val="28"/>
        </w:rPr>
        <w:t>Таким образом</w:t>
      </w:r>
      <w:r>
        <w:rPr>
          <w:rFonts w:ascii="Times New Roman" w:eastAsia="Times New Roman" w:hAnsi="Times New Roman" w:cs="Times New Roman"/>
          <w:sz w:val="28"/>
          <w:szCs w:val="28"/>
        </w:rPr>
        <w:t xml:space="preserve">, происходит отвлечение средств из активов, и, </w:t>
      </w:r>
      <w:r w:rsidR="00E8645F">
        <w:rPr>
          <w:rFonts w:ascii="Times New Roman" w:eastAsia="Times New Roman" w:hAnsi="Times New Roman" w:cs="Times New Roman"/>
          <w:sz w:val="28"/>
          <w:szCs w:val="28"/>
        </w:rPr>
        <w:t xml:space="preserve">существует риск невозврата дебиторской задолженности в случае неблагоприятного развития событий у дебиторов, что </w:t>
      </w:r>
      <w:r>
        <w:rPr>
          <w:rFonts w:ascii="Times New Roman" w:eastAsia="Times New Roman" w:hAnsi="Times New Roman" w:cs="Times New Roman"/>
          <w:sz w:val="28"/>
          <w:szCs w:val="28"/>
        </w:rPr>
        <w:t xml:space="preserve">негативно скажется на благосостоянии компании. </w:t>
      </w:r>
    </w:p>
    <w:p w14:paraId="0B25A0B4"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2020-2021 гг. наблюдается рост данного коэффициента, но он по-прежнему остается выше нормативного значения, это значит, что компания начала работу по взысканию задолженности со своих дебиторов, проводит её достаточно эффективно. В будущем для обеспечения нормальной финансовой стабильности компании менеджмент должен стремиться к снижению данного показателя до уровня 1. </w:t>
      </w:r>
    </w:p>
    <w:p w14:paraId="3D92D4F6"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рассмотрим показатели деловой </w:t>
      </w:r>
      <w:proofErr w:type="gramStart"/>
      <w:r w:rsidR="00B06143">
        <w:rPr>
          <w:rFonts w:ascii="Times New Roman" w:eastAsia="Times New Roman" w:hAnsi="Times New Roman" w:cs="Times New Roman"/>
          <w:sz w:val="28"/>
          <w:szCs w:val="28"/>
        </w:rPr>
        <w:t xml:space="preserve">активности </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Приложение И).</w:t>
      </w:r>
    </w:p>
    <w:p w14:paraId="4500A45A"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проведенного анализа, можно заметить тенденцию роста практически всех коэффициентов оборачиваемости и одновременное снижение сроков оборачиваемости, что говорит о повышении деловой активности компании. </w:t>
      </w:r>
    </w:p>
    <w:p w14:paraId="44ADF95F" w14:textId="77777777" w:rsidR="00B10BA8"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Особое внимание следует уделить оборачиваемости дебиторской и кредиторской задолженностей. Коэффициент оборачиваемости дебиторской </w:t>
      </w:r>
      <w:r>
        <w:rPr>
          <w:rFonts w:ascii="Times New Roman" w:eastAsia="Times New Roman" w:hAnsi="Times New Roman" w:cs="Times New Roman"/>
          <w:sz w:val="28"/>
          <w:szCs w:val="28"/>
        </w:rPr>
        <w:lastRenderedPageBreak/>
        <w:t xml:space="preserve">задолженности растет в анализируемом периоде, следовательно, эффективность работы компании со своими дебиторами увеличилась, что говорит об ускорении получения денежных средств за проданную продукцию. Коэффициент оборачиваемости кредиторской задолженности увеличивается, следовательно, </w:t>
      </w:r>
      <w:r w:rsidR="00B10BA8">
        <w:rPr>
          <w:rFonts w:ascii="Times New Roman" w:eastAsia="Times New Roman" w:hAnsi="Times New Roman" w:cs="Times New Roman"/>
          <w:sz w:val="28"/>
          <w:szCs w:val="28"/>
        </w:rPr>
        <w:t>компания</w:t>
      </w:r>
      <w:r>
        <w:rPr>
          <w:rFonts w:ascii="Times New Roman" w:eastAsia="Times New Roman" w:hAnsi="Times New Roman" w:cs="Times New Roman"/>
          <w:sz w:val="28"/>
          <w:szCs w:val="28"/>
        </w:rPr>
        <w:t xml:space="preserve"> сокращает сроки погашения задолженности перед своими кредиторами, что может отрицательно отразиться на деятельности компании ввиду того, что кредиторская задолженность – это практически единственный беспроцентный источник заемных средств. </w:t>
      </w:r>
    </w:p>
    <w:p w14:paraId="614481D5"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рассмотрим показатели рентабельности </w:t>
      </w:r>
      <w:r w:rsidR="00B10BA8">
        <w:rPr>
          <w:rFonts w:ascii="Times New Roman" w:eastAsia="Times New Roman" w:hAnsi="Times New Roman" w:cs="Times New Roman"/>
          <w:sz w:val="28"/>
          <w:szCs w:val="28"/>
        </w:rPr>
        <w:t>компании</w:t>
      </w:r>
      <w:r>
        <w:rPr>
          <w:rFonts w:ascii="Times New Roman" w:eastAsia="Times New Roman" w:hAnsi="Times New Roman" w:cs="Times New Roman"/>
          <w:sz w:val="28"/>
          <w:szCs w:val="28"/>
        </w:rPr>
        <w:t xml:space="preserve"> (таблица 2.7).</w:t>
      </w:r>
    </w:p>
    <w:p w14:paraId="1C35BDCB" w14:textId="77777777" w:rsidR="006C48AE" w:rsidRDefault="004E74FC" w:rsidP="00B10BA8">
      <w:pPr>
        <w:spacing w:after="160"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2.7 - Показатели рентабельности деятельности </w:t>
      </w:r>
      <w:r w:rsidR="00B10BA8">
        <w:rPr>
          <w:rFonts w:ascii="Times New Roman" w:eastAsia="Times New Roman" w:hAnsi="Times New Roman" w:cs="Times New Roman"/>
          <w:sz w:val="28"/>
          <w:szCs w:val="28"/>
        </w:rPr>
        <w:t>компании</w:t>
      </w:r>
    </w:p>
    <w:tbl>
      <w:tblPr>
        <w:tblStyle w:val="ad"/>
        <w:tblW w:w="9370" w:type="dxa"/>
        <w:tblInd w:w="-1" w:type="dxa"/>
        <w:tblLayout w:type="fixed"/>
        <w:tblLook w:val="0400" w:firstRow="0" w:lastRow="0" w:firstColumn="0" w:lastColumn="0" w:noHBand="0" w:noVBand="1"/>
      </w:tblPr>
      <w:tblGrid>
        <w:gridCol w:w="6374"/>
        <w:gridCol w:w="1108"/>
        <w:gridCol w:w="876"/>
        <w:gridCol w:w="1012"/>
      </w:tblGrid>
      <w:tr w:rsidR="006C48AE" w14:paraId="6B34706B" w14:textId="77777777">
        <w:trPr>
          <w:trHeight w:val="318"/>
        </w:trPr>
        <w:tc>
          <w:tcPr>
            <w:tcW w:w="6374" w:type="dxa"/>
            <w:tcBorders>
              <w:top w:val="single" w:sz="4" w:space="0" w:color="000000"/>
              <w:left w:val="single" w:sz="4" w:space="0" w:color="000000"/>
              <w:bottom w:val="single" w:sz="4" w:space="0" w:color="000000"/>
              <w:right w:val="single" w:sz="4" w:space="0" w:color="000000"/>
            </w:tcBorders>
            <w:vAlign w:val="center"/>
          </w:tcPr>
          <w:p w14:paraId="54BEE06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1108" w:type="dxa"/>
            <w:tcBorders>
              <w:top w:val="single" w:sz="4" w:space="0" w:color="000000"/>
              <w:left w:val="nil"/>
              <w:bottom w:val="single" w:sz="4" w:space="0" w:color="000000"/>
              <w:right w:val="single" w:sz="4" w:space="0" w:color="000000"/>
            </w:tcBorders>
            <w:vAlign w:val="center"/>
          </w:tcPr>
          <w:p w14:paraId="39B47A9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876" w:type="dxa"/>
            <w:tcBorders>
              <w:top w:val="single" w:sz="4" w:space="0" w:color="000000"/>
              <w:left w:val="nil"/>
              <w:bottom w:val="single" w:sz="4" w:space="0" w:color="000000"/>
              <w:right w:val="single" w:sz="4" w:space="0" w:color="000000"/>
            </w:tcBorders>
            <w:vAlign w:val="center"/>
          </w:tcPr>
          <w:p w14:paraId="5BD0715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012" w:type="dxa"/>
            <w:tcBorders>
              <w:top w:val="single" w:sz="4" w:space="0" w:color="000000"/>
              <w:left w:val="nil"/>
              <w:bottom w:val="single" w:sz="4" w:space="0" w:color="000000"/>
              <w:right w:val="single" w:sz="4" w:space="0" w:color="000000"/>
            </w:tcBorders>
            <w:vAlign w:val="center"/>
          </w:tcPr>
          <w:p w14:paraId="6697DE3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r>
      <w:tr w:rsidR="006C48AE" w14:paraId="0DFA3E46"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55C9988E"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продукции (затрат), %</w:t>
            </w:r>
          </w:p>
        </w:tc>
        <w:tc>
          <w:tcPr>
            <w:tcW w:w="1108" w:type="dxa"/>
            <w:tcBorders>
              <w:top w:val="nil"/>
              <w:left w:val="nil"/>
              <w:bottom w:val="single" w:sz="4" w:space="0" w:color="000000"/>
              <w:right w:val="single" w:sz="4" w:space="0" w:color="000000"/>
            </w:tcBorders>
            <w:vAlign w:val="center"/>
          </w:tcPr>
          <w:p w14:paraId="31EE57C7"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15,23</w:t>
            </w:r>
          </w:p>
        </w:tc>
        <w:tc>
          <w:tcPr>
            <w:tcW w:w="876" w:type="dxa"/>
            <w:tcBorders>
              <w:top w:val="nil"/>
              <w:left w:val="nil"/>
              <w:bottom w:val="single" w:sz="4" w:space="0" w:color="000000"/>
              <w:right w:val="single" w:sz="4" w:space="0" w:color="000000"/>
            </w:tcBorders>
            <w:vAlign w:val="center"/>
          </w:tcPr>
          <w:p w14:paraId="1FAA3F1E"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012" w:type="dxa"/>
            <w:tcBorders>
              <w:top w:val="nil"/>
              <w:left w:val="nil"/>
              <w:bottom w:val="single" w:sz="4" w:space="0" w:color="000000"/>
              <w:right w:val="single" w:sz="4" w:space="0" w:color="000000"/>
            </w:tcBorders>
            <w:vAlign w:val="center"/>
          </w:tcPr>
          <w:p w14:paraId="614422D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44,18</w:t>
            </w:r>
          </w:p>
        </w:tc>
      </w:tr>
      <w:tr w:rsidR="006C48AE" w14:paraId="224E3A93" w14:textId="77777777">
        <w:trPr>
          <w:trHeight w:val="318"/>
        </w:trPr>
        <w:tc>
          <w:tcPr>
            <w:tcW w:w="6374" w:type="dxa"/>
            <w:tcBorders>
              <w:top w:val="nil"/>
              <w:left w:val="single" w:sz="4" w:space="0" w:color="000000"/>
              <w:bottom w:val="single" w:sz="4" w:space="0" w:color="000000"/>
              <w:right w:val="single" w:sz="4" w:space="0" w:color="000000"/>
            </w:tcBorders>
            <w:vAlign w:val="bottom"/>
          </w:tcPr>
          <w:p w14:paraId="5433A991"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продаж, % (ROS)</w:t>
            </w:r>
          </w:p>
        </w:tc>
        <w:tc>
          <w:tcPr>
            <w:tcW w:w="1108" w:type="dxa"/>
            <w:tcBorders>
              <w:top w:val="nil"/>
              <w:left w:val="nil"/>
              <w:bottom w:val="single" w:sz="4" w:space="0" w:color="000000"/>
              <w:right w:val="single" w:sz="4" w:space="0" w:color="000000"/>
            </w:tcBorders>
            <w:vAlign w:val="center"/>
          </w:tcPr>
          <w:p w14:paraId="5CFD0AF9"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13,22</w:t>
            </w:r>
          </w:p>
        </w:tc>
        <w:tc>
          <w:tcPr>
            <w:tcW w:w="876" w:type="dxa"/>
            <w:tcBorders>
              <w:top w:val="nil"/>
              <w:left w:val="nil"/>
              <w:bottom w:val="single" w:sz="4" w:space="0" w:color="000000"/>
              <w:right w:val="single" w:sz="4" w:space="0" w:color="000000"/>
            </w:tcBorders>
            <w:vAlign w:val="center"/>
          </w:tcPr>
          <w:p w14:paraId="729AD07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012" w:type="dxa"/>
            <w:tcBorders>
              <w:top w:val="nil"/>
              <w:left w:val="nil"/>
              <w:bottom w:val="single" w:sz="4" w:space="0" w:color="000000"/>
              <w:right w:val="single" w:sz="4" w:space="0" w:color="000000"/>
            </w:tcBorders>
            <w:vAlign w:val="center"/>
          </w:tcPr>
          <w:p w14:paraId="383D4A0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30,64</w:t>
            </w:r>
          </w:p>
        </w:tc>
      </w:tr>
      <w:tr w:rsidR="006C48AE" w14:paraId="53E8BD25" w14:textId="77777777">
        <w:trPr>
          <w:trHeight w:val="318"/>
        </w:trPr>
        <w:tc>
          <w:tcPr>
            <w:tcW w:w="6374" w:type="dxa"/>
            <w:tcBorders>
              <w:top w:val="nil"/>
              <w:left w:val="single" w:sz="4" w:space="0" w:color="000000"/>
              <w:bottom w:val="single" w:sz="4" w:space="0" w:color="000000"/>
              <w:right w:val="single" w:sz="4" w:space="0" w:color="000000"/>
            </w:tcBorders>
            <w:vAlign w:val="bottom"/>
          </w:tcPr>
          <w:p w14:paraId="2E29E42F"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Валовая рентабельность, %</w:t>
            </w:r>
          </w:p>
        </w:tc>
        <w:tc>
          <w:tcPr>
            <w:tcW w:w="1108" w:type="dxa"/>
            <w:tcBorders>
              <w:top w:val="nil"/>
              <w:left w:val="nil"/>
              <w:bottom w:val="single" w:sz="4" w:space="0" w:color="000000"/>
              <w:right w:val="single" w:sz="4" w:space="0" w:color="000000"/>
            </w:tcBorders>
            <w:vAlign w:val="center"/>
          </w:tcPr>
          <w:p w14:paraId="18239D3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44,15</w:t>
            </w:r>
          </w:p>
        </w:tc>
        <w:tc>
          <w:tcPr>
            <w:tcW w:w="876" w:type="dxa"/>
            <w:tcBorders>
              <w:top w:val="nil"/>
              <w:left w:val="nil"/>
              <w:bottom w:val="single" w:sz="4" w:space="0" w:color="000000"/>
              <w:right w:val="single" w:sz="4" w:space="0" w:color="000000"/>
            </w:tcBorders>
            <w:vAlign w:val="center"/>
          </w:tcPr>
          <w:p w14:paraId="29522A8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38,74</w:t>
            </w:r>
          </w:p>
        </w:tc>
        <w:tc>
          <w:tcPr>
            <w:tcW w:w="1012" w:type="dxa"/>
            <w:tcBorders>
              <w:top w:val="nil"/>
              <w:left w:val="nil"/>
              <w:bottom w:val="single" w:sz="4" w:space="0" w:color="000000"/>
              <w:right w:val="single" w:sz="4" w:space="0" w:color="000000"/>
            </w:tcBorders>
            <w:vAlign w:val="center"/>
          </w:tcPr>
          <w:p w14:paraId="5036730E"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56,98</w:t>
            </w:r>
          </w:p>
        </w:tc>
      </w:tr>
      <w:tr w:rsidR="006C48AE" w14:paraId="299D5E65" w14:textId="77777777">
        <w:trPr>
          <w:trHeight w:val="318"/>
        </w:trPr>
        <w:tc>
          <w:tcPr>
            <w:tcW w:w="6374" w:type="dxa"/>
            <w:tcBorders>
              <w:top w:val="nil"/>
              <w:left w:val="single" w:sz="4" w:space="0" w:color="000000"/>
              <w:bottom w:val="single" w:sz="4" w:space="0" w:color="000000"/>
              <w:right w:val="single" w:sz="4" w:space="0" w:color="000000"/>
            </w:tcBorders>
            <w:vAlign w:val="bottom"/>
          </w:tcPr>
          <w:p w14:paraId="22AD2536"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Чистая рентабельность, %</w:t>
            </w:r>
          </w:p>
        </w:tc>
        <w:tc>
          <w:tcPr>
            <w:tcW w:w="1108" w:type="dxa"/>
            <w:tcBorders>
              <w:top w:val="nil"/>
              <w:left w:val="nil"/>
              <w:bottom w:val="single" w:sz="4" w:space="0" w:color="000000"/>
              <w:right w:val="single" w:sz="4" w:space="0" w:color="000000"/>
            </w:tcBorders>
            <w:vAlign w:val="center"/>
          </w:tcPr>
          <w:p w14:paraId="67794A41"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15,42</w:t>
            </w:r>
          </w:p>
        </w:tc>
        <w:tc>
          <w:tcPr>
            <w:tcW w:w="876" w:type="dxa"/>
            <w:tcBorders>
              <w:top w:val="nil"/>
              <w:left w:val="nil"/>
              <w:bottom w:val="single" w:sz="4" w:space="0" w:color="000000"/>
              <w:right w:val="single" w:sz="4" w:space="0" w:color="000000"/>
            </w:tcBorders>
            <w:vAlign w:val="center"/>
          </w:tcPr>
          <w:p w14:paraId="33227DF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-17,41</w:t>
            </w:r>
          </w:p>
        </w:tc>
        <w:tc>
          <w:tcPr>
            <w:tcW w:w="1012" w:type="dxa"/>
            <w:tcBorders>
              <w:top w:val="nil"/>
              <w:left w:val="nil"/>
              <w:bottom w:val="single" w:sz="4" w:space="0" w:color="000000"/>
              <w:right w:val="single" w:sz="4" w:space="0" w:color="000000"/>
            </w:tcBorders>
            <w:vAlign w:val="center"/>
          </w:tcPr>
          <w:p w14:paraId="4D46A10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42,02</w:t>
            </w:r>
          </w:p>
        </w:tc>
      </w:tr>
      <w:tr w:rsidR="006C48AE" w14:paraId="14EB7763"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153B0709" w14:textId="77777777" w:rsidR="006C48AE" w:rsidRDefault="004E74FC">
            <w:pPr>
              <w:spacing w:after="0"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организации (активов), % (ROA) по ПР до н/о</w:t>
            </w:r>
          </w:p>
        </w:tc>
        <w:tc>
          <w:tcPr>
            <w:tcW w:w="1108" w:type="dxa"/>
            <w:tcBorders>
              <w:top w:val="nil"/>
              <w:left w:val="nil"/>
              <w:bottom w:val="single" w:sz="4" w:space="0" w:color="000000"/>
              <w:right w:val="single" w:sz="4" w:space="0" w:color="000000"/>
            </w:tcBorders>
            <w:vAlign w:val="center"/>
          </w:tcPr>
          <w:p w14:paraId="14899C8B"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876" w:type="dxa"/>
            <w:tcBorders>
              <w:top w:val="nil"/>
              <w:left w:val="nil"/>
              <w:bottom w:val="single" w:sz="4" w:space="0" w:color="000000"/>
              <w:right w:val="single" w:sz="4" w:space="0" w:color="000000"/>
            </w:tcBorders>
            <w:vAlign w:val="center"/>
          </w:tcPr>
          <w:p w14:paraId="7E4743C7"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-5,83</w:t>
            </w:r>
          </w:p>
        </w:tc>
        <w:tc>
          <w:tcPr>
            <w:tcW w:w="1012" w:type="dxa"/>
            <w:tcBorders>
              <w:top w:val="nil"/>
              <w:left w:val="nil"/>
              <w:bottom w:val="single" w:sz="4" w:space="0" w:color="000000"/>
              <w:right w:val="single" w:sz="4" w:space="0" w:color="000000"/>
            </w:tcBorders>
            <w:vAlign w:val="center"/>
          </w:tcPr>
          <w:p w14:paraId="0F002DD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17,80</w:t>
            </w:r>
          </w:p>
        </w:tc>
      </w:tr>
      <w:tr w:rsidR="006C48AE" w14:paraId="32A31184"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284FC21F"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собственного капитала, %(ROE)</w:t>
            </w:r>
          </w:p>
        </w:tc>
        <w:tc>
          <w:tcPr>
            <w:tcW w:w="1108" w:type="dxa"/>
            <w:tcBorders>
              <w:top w:val="nil"/>
              <w:left w:val="nil"/>
              <w:bottom w:val="single" w:sz="4" w:space="0" w:color="000000"/>
              <w:right w:val="single" w:sz="4" w:space="0" w:color="000000"/>
            </w:tcBorders>
            <w:vAlign w:val="center"/>
          </w:tcPr>
          <w:p w14:paraId="16D6D8B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w:t>
            </w:r>
          </w:p>
        </w:tc>
        <w:tc>
          <w:tcPr>
            <w:tcW w:w="876" w:type="dxa"/>
            <w:tcBorders>
              <w:top w:val="nil"/>
              <w:left w:val="nil"/>
              <w:bottom w:val="single" w:sz="4" w:space="0" w:color="000000"/>
              <w:right w:val="single" w:sz="4" w:space="0" w:color="000000"/>
            </w:tcBorders>
            <w:vAlign w:val="center"/>
          </w:tcPr>
          <w:p w14:paraId="4B4563FC"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w:t>
            </w:r>
          </w:p>
        </w:tc>
        <w:tc>
          <w:tcPr>
            <w:tcW w:w="1012" w:type="dxa"/>
            <w:tcBorders>
              <w:top w:val="nil"/>
              <w:left w:val="nil"/>
              <w:bottom w:val="single" w:sz="4" w:space="0" w:color="000000"/>
              <w:right w:val="single" w:sz="4" w:space="0" w:color="000000"/>
            </w:tcBorders>
            <w:vAlign w:val="center"/>
          </w:tcPr>
          <w:p w14:paraId="4019A386"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22,58</w:t>
            </w:r>
          </w:p>
        </w:tc>
      </w:tr>
      <w:tr w:rsidR="006C48AE" w14:paraId="50B1951D"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34E3B385"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перманентного капитала (инвестиционной деятельности), %</w:t>
            </w:r>
          </w:p>
        </w:tc>
        <w:tc>
          <w:tcPr>
            <w:tcW w:w="1108" w:type="dxa"/>
            <w:tcBorders>
              <w:top w:val="nil"/>
              <w:left w:val="nil"/>
              <w:bottom w:val="single" w:sz="4" w:space="0" w:color="000000"/>
              <w:right w:val="single" w:sz="4" w:space="0" w:color="000000"/>
            </w:tcBorders>
            <w:vAlign w:val="center"/>
          </w:tcPr>
          <w:p w14:paraId="1E6AC27F"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11,85</w:t>
            </w:r>
          </w:p>
        </w:tc>
        <w:tc>
          <w:tcPr>
            <w:tcW w:w="876" w:type="dxa"/>
            <w:tcBorders>
              <w:top w:val="nil"/>
              <w:left w:val="nil"/>
              <w:bottom w:val="single" w:sz="4" w:space="0" w:color="000000"/>
              <w:right w:val="single" w:sz="4" w:space="0" w:color="000000"/>
            </w:tcBorders>
            <w:vAlign w:val="center"/>
          </w:tcPr>
          <w:p w14:paraId="00B43910"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-12,89</w:t>
            </w:r>
          </w:p>
        </w:tc>
        <w:tc>
          <w:tcPr>
            <w:tcW w:w="1012" w:type="dxa"/>
            <w:tcBorders>
              <w:top w:val="nil"/>
              <w:left w:val="nil"/>
              <w:bottom w:val="single" w:sz="4" w:space="0" w:color="000000"/>
              <w:right w:val="single" w:sz="4" w:space="0" w:color="000000"/>
            </w:tcBorders>
            <w:vAlign w:val="center"/>
          </w:tcPr>
          <w:p w14:paraId="1CFDD3C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30,33</w:t>
            </w:r>
          </w:p>
        </w:tc>
      </w:tr>
      <w:tr w:rsidR="006C48AE" w14:paraId="2D6013CA"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47B2647F"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доходов организации, %</w:t>
            </w:r>
          </w:p>
        </w:tc>
        <w:tc>
          <w:tcPr>
            <w:tcW w:w="1108" w:type="dxa"/>
            <w:tcBorders>
              <w:top w:val="nil"/>
              <w:left w:val="nil"/>
              <w:bottom w:val="single" w:sz="4" w:space="0" w:color="000000"/>
              <w:right w:val="single" w:sz="4" w:space="0" w:color="000000"/>
            </w:tcBorders>
            <w:vAlign w:val="center"/>
          </w:tcPr>
          <w:p w14:paraId="21C62DF6"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w:t>
            </w:r>
          </w:p>
        </w:tc>
        <w:tc>
          <w:tcPr>
            <w:tcW w:w="876" w:type="dxa"/>
            <w:tcBorders>
              <w:top w:val="nil"/>
              <w:left w:val="nil"/>
              <w:bottom w:val="single" w:sz="4" w:space="0" w:color="000000"/>
              <w:right w:val="single" w:sz="4" w:space="0" w:color="000000"/>
            </w:tcBorders>
            <w:vAlign w:val="center"/>
          </w:tcPr>
          <w:p w14:paraId="4ADDF75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012" w:type="dxa"/>
            <w:tcBorders>
              <w:top w:val="nil"/>
              <w:left w:val="nil"/>
              <w:bottom w:val="single" w:sz="4" w:space="0" w:color="000000"/>
              <w:right w:val="single" w:sz="4" w:space="0" w:color="000000"/>
            </w:tcBorders>
            <w:vAlign w:val="center"/>
          </w:tcPr>
          <w:p w14:paraId="40663DD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14,81</w:t>
            </w:r>
          </w:p>
        </w:tc>
      </w:tr>
      <w:tr w:rsidR="006C48AE" w14:paraId="44539A49"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59E3F151"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основного капитала (внеоборотных активов), %</w:t>
            </w:r>
          </w:p>
        </w:tc>
        <w:tc>
          <w:tcPr>
            <w:tcW w:w="1108" w:type="dxa"/>
            <w:tcBorders>
              <w:top w:val="nil"/>
              <w:left w:val="nil"/>
              <w:bottom w:val="single" w:sz="4" w:space="0" w:color="000000"/>
              <w:right w:val="single" w:sz="4" w:space="0" w:color="000000"/>
            </w:tcBorders>
            <w:vAlign w:val="center"/>
          </w:tcPr>
          <w:p w14:paraId="18AD8E77"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7,93</w:t>
            </w:r>
          </w:p>
        </w:tc>
        <w:tc>
          <w:tcPr>
            <w:tcW w:w="876" w:type="dxa"/>
            <w:tcBorders>
              <w:top w:val="nil"/>
              <w:left w:val="nil"/>
              <w:bottom w:val="single" w:sz="4" w:space="0" w:color="000000"/>
              <w:right w:val="single" w:sz="4" w:space="0" w:color="000000"/>
            </w:tcBorders>
            <w:vAlign w:val="center"/>
          </w:tcPr>
          <w:p w14:paraId="553F1D2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012" w:type="dxa"/>
            <w:tcBorders>
              <w:top w:val="nil"/>
              <w:left w:val="nil"/>
              <w:bottom w:val="single" w:sz="4" w:space="0" w:color="000000"/>
              <w:right w:val="single" w:sz="4" w:space="0" w:color="000000"/>
            </w:tcBorders>
            <w:vAlign w:val="center"/>
          </w:tcPr>
          <w:p w14:paraId="714D7A24"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22,55</w:t>
            </w:r>
          </w:p>
        </w:tc>
      </w:tr>
      <w:tr w:rsidR="006C48AE" w14:paraId="01CE5DDF"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5652A8E0"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Рентабельность основных средств, %</w:t>
            </w:r>
          </w:p>
        </w:tc>
        <w:tc>
          <w:tcPr>
            <w:tcW w:w="1108" w:type="dxa"/>
            <w:tcBorders>
              <w:top w:val="nil"/>
              <w:left w:val="nil"/>
              <w:bottom w:val="single" w:sz="4" w:space="0" w:color="000000"/>
              <w:right w:val="single" w:sz="4" w:space="0" w:color="000000"/>
            </w:tcBorders>
            <w:vAlign w:val="center"/>
          </w:tcPr>
          <w:p w14:paraId="3C2588B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15,23</w:t>
            </w:r>
          </w:p>
        </w:tc>
        <w:tc>
          <w:tcPr>
            <w:tcW w:w="876" w:type="dxa"/>
            <w:tcBorders>
              <w:top w:val="nil"/>
              <w:left w:val="nil"/>
              <w:bottom w:val="single" w:sz="4" w:space="0" w:color="000000"/>
              <w:right w:val="single" w:sz="4" w:space="0" w:color="000000"/>
            </w:tcBorders>
            <w:vAlign w:val="center"/>
          </w:tcPr>
          <w:p w14:paraId="06FAD18A"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012" w:type="dxa"/>
            <w:tcBorders>
              <w:top w:val="nil"/>
              <w:left w:val="nil"/>
              <w:bottom w:val="single" w:sz="4" w:space="0" w:color="000000"/>
              <w:right w:val="single" w:sz="4" w:space="0" w:color="000000"/>
            </w:tcBorders>
            <w:vAlign w:val="center"/>
          </w:tcPr>
          <w:p w14:paraId="5F4554AD"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44,18</w:t>
            </w:r>
          </w:p>
        </w:tc>
      </w:tr>
      <w:tr w:rsidR="006C48AE" w14:paraId="20871E4C" w14:textId="77777777">
        <w:trPr>
          <w:trHeight w:val="70"/>
        </w:trPr>
        <w:tc>
          <w:tcPr>
            <w:tcW w:w="6374" w:type="dxa"/>
            <w:tcBorders>
              <w:top w:val="nil"/>
              <w:left w:val="single" w:sz="4" w:space="0" w:color="000000"/>
              <w:bottom w:val="single" w:sz="4" w:space="0" w:color="000000"/>
              <w:right w:val="single" w:sz="4" w:space="0" w:color="000000"/>
            </w:tcBorders>
            <w:vAlign w:val="bottom"/>
          </w:tcPr>
          <w:p w14:paraId="64F3F280" w14:textId="77777777" w:rsidR="006C48AE" w:rsidRDefault="004E74F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Рентабельность персонала, </w:t>
            </w:r>
            <w:proofErr w:type="spellStart"/>
            <w:r>
              <w:rPr>
                <w:rFonts w:ascii="Times New Roman" w:eastAsia="Times New Roman" w:hAnsi="Times New Roman" w:cs="Times New Roman"/>
                <w:color w:val="000000"/>
                <w:sz w:val="24"/>
                <w:szCs w:val="24"/>
              </w:rPr>
              <w:t>т.р</w:t>
            </w:r>
            <w:proofErr w:type="spellEnd"/>
            <w:r>
              <w:rPr>
                <w:rFonts w:ascii="Times New Roman" w:eastAsia="Times New Roman" w:hAnsi="Times New Roman" w:cs="Times New Roman"/>
                <w:color w:val="000000"/>
                <w:sz w:val="24"/>
                <w:szCs w:val="24"/>
              </w:rPr>
              <w:t>./чел.</w:t>
            </w:r>
          </w:p>
        </w:tc>
        <w:tc>
          <w:tcPr>
            <w:tcW w:w="1108" w:type="dxa"/>
            <w:tcBorders>
              <w:top w:val="nil"/>
              <w:left w:val="nil"/>
              <w:bottom w:val="single" w:sz="4" w:space="0" w:color="000000"/>
              <w:right w:val="single" w:sz="4" w:space="0" w:color="000000"/>
            </w:tcBorders>
            <w:vAlign w:val="center"/>
          </w:tcPr>
          <w:p w14:paraId="7DAB0512"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13,22</w:t>
            </w:r>
          </w:p>
        </w:tc>
        <w:tc>
          <w:tcPr>
            <w:tcW w:w="876" w:type="dxa"/>
            <w:tcBorders>
              <w:top w:val="nil"/>
              <w:left w:val="nil"/>
              <w:bottom w:val="single" w:sz="4" w:space="0" w:color="000000"/>
              <w:right w:val="single" w:sz="4" w:space="0" w:color="000000"/>
            </w:tcBorders>
            <w:vAlign w:val="center"/>
          </w:tcPr>
          <w:p w14:paraId="24EE7BF3"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012" w:type="dxa"/>
            <w:tcBorders>
              <w:top w:val="nil"/>
              <w:left w:val="nil"/>
              <w:bottom w:val="single" w:sz="4" w:space="0" w:color="000000"/>
              <w:right w:val="single" w:sz="4" w:space="0" w:color="000000"/>
            </w:tcBorders>
            <w:vAlign w:val="center"/>
          </w:tcPr>
          <w:p w14:paraId="6C15EF38" w14:textId="77777777" w:rsidR="006C48AE" w:rsidRDefault="004E74F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30,64</w:t>
            </w:r>
          </w:p>
        </w:tc>
      </w:tr>
    </w:tbl>
    <w:p w14:paraId="7AA21343" w14:textId="77777777" w:rsidR="00B243B7" w:rsidRPr="00B243B7" w:rsidRDefault="009D418E" w:rsidP="00B243B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B243B7" w:rsidRPr="00B243B7">
        <w:rPr>
          <w:rFonts w:ascii="Times New Roman" w:eastAsia="Times New Roman" w:hAnsi="Times New Roman" w:cs="Times New Roman"/>
          <w:sz w:val="24"/>
          <w:szCs w:val="24"/>
        </w:rPr>
        <w:t>Источник: составлено автором по данным предприятия</w:t>
      </w:r>
    </w:p>
    <w:p w14:paraId="36C9E062" w14:textId="77777777" w:rsidR="006C48AE" w:rsidRDefault="006C48AE">
      <w:pPr>
        <w:spacing w:after="0" w:line="360" w:lineRule="auto"/>
        <w:jc w:val="both"/>
        <w:rPr>
          <w:rFonts w:ascii="Times New Roman" w:eastAsia="Times New Roman" w:hAnsi="Times New Roman" w:cs="Times New Roman"/>
          <w:sz w:val="28"/>
          <w:szCs w:val="28"/>
        </w:rPr>
      </w:pPr>
    </w:p>
    <w:p w14:paraId="79B1F0EE" w14:textId="77777777" w:rsidR="00B243B7" w:rsidRDefault="00B243B7" w:rsidP="00B243B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деятельность компании является прибыльной, о чем свидетельствует рост рентабельности продукции, продаж, валовой рентабельности, рентабельности основных средств в анализируемом периоде. Рентабельность активов, собственного капитала, перманентного капитала в 2020 году снизилась ввиду снижения величины чистой прибыли компании, однако в 2021 г. наблюдается значительный рост данных показателей, что говорит об эффективности деятельности компании. </w:t>
      </w:r>
    </w:p>
    <w:p w14:paraId="3A74D8CA" w14:textId="77777777" w:rsidR="00A85E49" w:rsidRDefault="00F139F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Таким образом, на основе проведенного анализа можно сделать вывод о том, что положительными моментами в работе </w:t>
      </w:r>
      <w:r w:rsidRPr="00F139FC">
        <w:rPr>
          <w:rFonts w:ascii="Times New Roman" w:eastAsia="Times New Roman" w:hAnsi="Times New Roman" w:cs="Times New Roman"/>
          <w:sz w:val="28"/>
          <w:szCs w:val="28"/>
        </w:rPr>
        <w:t>ПАО «Газпром»</w:t>
      </w:r>
      <w:r>
        <w:rPr>
          <w:rFonts w:ascii="Times New Roman" w:eastAsia="Times New Roman" w:hAnsi="Times New Roman" w:cs="Times New Roman"/>
          <w:sz w:val="28"/>
          <w:szCs w:val="28"/>
        </w:rPr>
        <w:t xml:space="preserve"> являются:</w:t>
      </w:r>
    </w:p>
    <w:p w14:paraId="2FADA0D0" w14:textId="77777777" w:rsidR="008019A8" w:rsidRDefault="008019A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положительная динамика финансовых результатов компании, именно прибыли от продаж, прибыли до налогообложения и чистой прибыли в 2021 году по сравнению с 2020 годом;</w:t>
      </w:r>
    </w:p>
    <w:p w14:paraId="32FF26D4" w14:textId="77777777" w:rsidR="008019A8" w:rsidRDefault="008019A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рост практически всех показателей рентабельности в анализируемом периода, как важнейшего показателя эффективности финансовой деятельности</w:t>
      </w:r>
      <w:r w:rsidR="005D33CC">
        <w:rPr>
          <w:rFonts w:ascii="Times New Roman" w:eastAsia="Times New Roman" w:hAnsi="Times New Roman" w:cs="Times New Roman"/>
          <w:sz w:val="28"/>
          <w:szCs w:val="28"/>
        </w:rPr>
        <w:t>;</w:t>
      </w:r>
    </w:p>
    <w:p w14:paraId="01814FA3" w14:textId="77777777" w:rsidR="005D33CC" w:rsidRDefault="005D33C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рост величины денежных средств и их эквивалентов и доли данной статьи в общей валюте баланса, что в дальнейшем может положительно сказать на уровне ликвидности и платежеспособности, при условии сохранения данной тенденции</w:t>
      </w:r>
      <w:r w:rsidR="003B215A">
        <w:rPr>
          <w:rFonts w:ascii="Times New Roman" w:eastAsia="Times New Roman" w:hAnsi="Times New Roman" w:cs="Times New Roman"/>
          <w:sz w:val="28"/>
          <w:szCs w:val="28"/>
        </w:rPr>
        <w:t>;</w:t>
      </w:r>
    </w:p>
    <w:p w14:paraId="58D8D1AB" w14:textId="77777777" w:rsidR="003B215A" w:rsidRDefault="003B215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превышение собственных средств над заемными, что свидетельствует о </w:t>
      </w:r>
      <w:r w:rsidR="0090715E">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независимости кампании</w:t>
      </w:r>
      <w:r w:rsidR="0090715E">
        <w:rPr>
          <w:rFonts w:ascii="Times New Roman" w:eastAsia="Times New Roman" w:hAnsi="Times New Roman" w:cs="Times New Roman"/>
          <w:sz w:val="28"/>
          <w:szCs w:val="28"/>
        </w:rPr>
        <w:t xml:space="preserve"> и обеспечивает высокую финансовую устойчивость.</w:t>
      </w:r>
    </w:p>
    <w:p w14:paraId="10F06278" w14:textId="77777777" w:rsidR="00F139FC" w:rsidRDefault="00F139F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проведенный анализ позволил в</w:t>
      </w:r>
      <w:r w:rsidR="005D33CC">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явить следующие финансовые проблемы в </w:t>
      </w:r>
      <w:proofErr w:type="gramStart"/>
      <w:r>
        <w:rPr>
          <w:rFonts w:ascii="Times New Roman" w:eastAsia="Times New Roman" w:hAnsi="Times New Roman" w:cs="Times New Roman"/>
          <w:sz w:val="28"/>
          <w:szCs w:val="28"/>
        </w:rPr>
        <w:t xml:space="preserve">деятельности  </w:t>
      </w:r>
      <w:r w:rsidRPr="00F139FC">
        <w:rPr>
          <w:rFonts w:ascii="Times New Roman" w:eastAsia="Times New Roman" w:hAnsi="Times New Roman" w:cs="Times New Roman"/>
          <w:sz w:val="28"/>
          <w:szCs w:val="28"/>
        </w:rPr>
        <w:t>ПАО</w:t>
      </w:r>
      <w:proofErr w:type="gramEnd"/>
      <w:r w:rsidRPr="00F139FC">
        <w:rPr>
          <w:rFonts w:ascii="Times New Roman" w:eastAsia="Times New Roman" w:hAnsi="Times New Roman" w:cs="Times New Roman"/>
          <w:sz w:val="28"/>
          <w:szCs w:val="28"/>
        </w:rPr>
        <w:t xml:space="preserve"> «Газпром»</w:t>
      </w:r>
      <w:r>
        <w:rPr>
          <w:rFonts w:ascii="Times New Roman" w:eastAsia="Times New Roman" w:hAnsi="Times New Roman" w:cs="Times New Roman"/>
          <w:sz w:val="28"/>
          <w:szCs w:val="28"/>
        </w:rPr>
        <w:t>:</w:t>
      </w:r>
    </w:p>
    <w:p w14:paraId="70FE5043" w14:textId="77777777" w:rsidR="003B215A" w:rsidRDefault="003B215A" w:rsidP="003B215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рост дебиторской задолженности в анализируемом периоде (причем как в абсолютном выражении, так и доли данной статьи в общей сумме активов компании) и ее превышение над кредиторской задолженностью практически в 3 раза, что свидетельствует об отвлечении имеющих активов из оборота и создает риск привлечения заемных средств при недостатке собственных;</w:t>
      </w:r>
    </w:p>
    <w:p w14:paraId="6759FCCB" w14:textId="77777777" w:rsidR="003B215A" w:rsidRDefault="003B215A" w:rsidP="003B215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наибольшую долю в общей сумме активов компании составляют внеоборотные активы, что повлекло за собой </w:t>
      </w:r>
      <w:r w:rsidR="0090715E">
        <w:rPr>
          <w:rFonts w:ascii="Times New Roman" w:eastAsia="Times New Roman" w:hAnsi="Times New Roman" w:cs="Times New Roman"/>
          <w:sz w:val="28"/>
          <w:szCs w:val="28"/>
        </w:rPr>
        <w:t>недостаток</w:t>
      </w:r>
      <w:r>
        <w:rPr>
          <w:rFonts w:ascii="Times New Roman" w:eastAsia="Times New Roman" w:hAnsi="Times New Roman" w:cs="Times New Roman"/>
          <w:sz w:val="28"/>
          <w:szCs w:val="28"/>
        </w:rPr>
        <w:t xml:space="preserve"> собственных оборотных средств для покрытия запасов;</w:t>
      </w:r>
    </w:p>
    <w:p w14:paraId="7FC49C5C" w14:textId="161138D7" w:rsidR="00A548EF" w:rsidRPr="00A548EF" w:rsidRDefault="003B215A" w:rsidP="00A548E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715E">
        <w:rPr>
          <w:rFonts w:ascii="Times New Roman" w:eastAsia="Times New Roman" w:hAnsi="Times New Roman" w:cs="Times New Roman"/>
          <w:sz w:val="28"/>
          <w:szCs w:val="28"/>
        </w:rPr>
        <w:t xml:space="preserve">баланс ПАО «Газпром» не является абсолютно ликвидным и в динамике наблюдается усиление неплатежеспособности компании, при этом коэффициент текущей ликвидности не соответствует нормативу. </w:t>
      </w:r>
    </w:p>
    <w:p w14:paraId="56DCD2DC" w14:textId="1F2B4B36" w:rsidR="006C48AE" w:rsidRDefault="00E02FDF" w:rsidP="009D73BA">
      <w:pPr>
        <w:tabs>
          <w:tab w:val="right" w:pos="8647"/>
        </w:tabs>
        <w:spacing w:after="0" w:line="360" w:lineRule="auto"/>
        <w:ind w:right="851"/>
        <w:jc w:val="center"/>
        <w:rPr>
          <w:rFonts w:ascii="Times New Roman" w:eastAsia="Times New Roman" w:hAnsi="Times New Roman" w:cs="Times New Roman"/>
          <w:b/>
          <w:sz w:val="28"/>
          <w:szCs w:val="28"/>
        </w:rPr>
      </w:pPr>
      <w:hyperlink r:id="rId12" w:anchor="heading=h.jkatg0w5yjz3">
        <w:r w:rsidR="004E74FC">
          <w:rPr>
            <w:rFonts w:ascii="Times New Roman" w:eastAsia="Times New Roman" w:hAnsi="Times New Roman" w:cs="Times New Roman"/>
            <w:b/>
            <w:sz w:val="28"/>
            <w:szCs w:val="28"/>
          </w:rPr>
          <w:t xml:space="preserve">ГЛАВА 3. МЕРЫ ПО УЛУЧШЕНИЮ ФИНАНСОВОЙ </w:t>
        </w:r>
        <w:proofErr w:type="gramStart"/>
        <w:r w:rsidR="004E74FC">
          <w:rPr>
            <w:rFonts w:ascii="Times New Roman" w:eastAsia="Times New Roman" w:hAnsi="Times New Roman" w:cs="Times New Roman"/>
            <w:b/>
            <w:sz w:val="28"/>
            <w:szCs w:val="28"/>
          </w:rPr>
          <w:t xml:space="preserve">ДЕЯТЕЛЬНОСТИ </w:t>
        </w:r>
      </w:hyperlink>
      <w:r w:rsidR="004E74FC">
        <w:rPr>
          <w:b/>
        </w:rPr>
        <w:t xml:space="preserve"> </w:t>
      </w:r>
      <w:hyperlink r:id="rId13" w:anchor="heading=h.advddkzap44">
        <w:r w:rsidR="004E74FC">
          <w:rPr>
            <w:rFonts w:ascii="Times New Roman" w:eastAsia="Times New Roman" w:hAnsi="Times New Roman" w:cs="Times New Roman"/>
            <w:b/>
            <w:sz w:val="28"/>
            <w:szCs w:val="28"/>
          </w:rPr>
          <w:t>ПАО</w:t>
        </w:r>
        <w:proofErr w:type="gramEnd"/>
        <w:r w:rsidR="004E74FC">
          <w:rPr>
            <w:rFonts w:ascii="Times New Roman" w:eastAsia="Times New Roman" w:hAnsi="Times New Roman" w:cs="Times New Roman"/>
            <w:b/>
            <w:sz w:val="28"/>
            <w:szCs w:val="28"/>
          </w:rPr>
          <w:t xml:space="preserve"> </w:t>
        </w:r>
      </w:hyperlink>
      <w:hyperlink w:anchor="_1t3h5sf">
        <w:r w:rsidR="004E74FC">
          <w:rPr>
            <w:rFonts w:ascii="Times New Roman" w:eastAsia="Times New Roman" w:hAnsi="Times New Roman" w:cs="Times New Roman"/>
            <w:b/>
            <w:sz w:val="28"/>
            <w:szCs w:val="28"/>
          </w:rPr>
          <w:t>«</w:t>
        </w:r>
      </w:hyperlink>
      <w:hyperlink r:id="rId14" w:anchor="heading=h.advddkzap44">
        <w:r w:rsidR="004E74FC">
          <w:rPr>
            <w:rFonts w:ascii="Times New Roman" w:eastAsia="Times New Roman" w:hAnsi="Times New Roman" w:cs="Times New Roman"/>
            <w:b/>
            <w:sz w:val="28"/>
            <w:szCs w:val="28"/>
          </w:rPr>
          <w:t>ГАЗПРОМ</w:t>
        </w:r>
      </w:hyperlink>
      <w:hyperlink w:anchor="_1t3h5sf">
        <w:r w:rsidR="004E74FC">
          <w:rPr>
            <w:rFonts w:ascii="Times New Roman" w:eastAsia="Times New Roman" w:hAnsi="Times New Roman" w:cs="Times New Roman"/>
            <w:b/>
            <w:sz w:val="28"/>
            <w:szCs w:val="28"/>
          </w:rPr>
          <w:t>»</w:t>
        </w:r>
      </w:hyperlink>
      <w:r w:rsidR="004E74FC">
        <w:rPr>
          <w:rFonts w:ascii="Times New Roman" w:eastAsia="Times New Roman" w:hAnsi="Times New Roman" w:cs="Times New Roman"/>
          <w:b/>
          <w:sz w:val="28"/>
          <w:szCs w:val="28"/>
        </w:rPr>
        <w:t xml:space="preserve"> С УЧЕТОМ РЕЗУЛЬТАТОВ ФИНАНСОВОГО АНАЛИЗА</w:t>
      </w:r>
    </w:p>
    <w:p w14:paraId="70922426" w14:textId="77777777" w:rsidR="00CC643C" w:rsidRDefault="00CC643C">
      <w:pPr>
        <w:tabs>
          <w:tab w:val="right" w:pos="9345"/>
        </w:tabs>
        <w:spacing w:after="0" w:line="360" w:lineRule="auto"/>
        <w:jc w:val="both"/>
        <w:rPr>
          <w:rFonts w:ascii="Times New Roman" w:eastAsia="Times New Roman" w:hAnsi="Times New Roman" w:cs="Times New Roman"/>
          <w:b/>
          <w:sz w:val="28"/>
          <w:szCs w:val="28"/>
        </w:rPr>
      </w:pPr>
    </w:p>
    <w:p w14:paraId="3181CB07" w14:textId="77777777" w:rsidR="0090715E" w:rsidRDefault="00A85E4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проведенный во второй главе позволил выявить ряд недостатков</w:t>
      </w:r>
      <w:r w:rsidR="0090715E">
        <w:rPr>
          <w:rFonts w:ascii="Times New Roman" w:eastAsia="Times New Roman" w:hAnsi="Times New Roman" w:cs="Times New Roman"/>
          <w:sz w:val="28"/>
          <w:szCs w:val="28"/>
        </w:rPr>
        <w:t xml:space="preserve"> в финансовой деятельности ПАО «Газпром», а именно:</w:t>
      </w:r>
    </w:p>
    <w:p w14:paraId="5B56A3E2" w14:textId="77777777" w:rsidR="00B4032C" w:rsidRDefault="009071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области работы с дебиторской задолженность</w:t>
      </w:r>
      <w:r w:rsidR="00B4032C">
        <w:rPr>
          <w:rFonts w:ascii="Times New Roman" w:eastAsia="Times New Roman" w:hAnsi="Times New Roman" w:cs="Times New Roman"/>
          <w:sz w:val="28"/>
          <w:szCs w:val="28"/>
        </w:rPr>
        <w:t>ю;</w:t>
      </w:r>
    </w:p>
    <w:p w14:paraId="25D9F4DD" w14:textId="77777777" w:rsidR="00B4032C" w:rsidRDefault="00B4032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недостаток собственных оборотных активов;</w:t>
      </w:r>
    </w:p>
    <w:p w14:paraId="35937B02" w14:textId="77777777" w:rsidR="00A85E49" w:rsidRDefault="00B4032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-недостаточный уровень платежеспособности и ликвидности.</w:t>
      </w:r>
      <w:r w:rsidR="00A85E49">
        <w:rPr>
          <w:rFonts w:ascii="Times New Roman" w:eastAsia="Times New Roman" w:hAnsi="Times New Roman" w:cs="Times New Roman"/>
          <w:sz w:val="28"/>
          <w:szCs w:val="28"/>
        </w:rPr>
        <w:t xml:space="preserve"> </w:t>
      </w:r>
    </w:p>
    <w:p w14:paraId="75E2C275" w14:textId="77777777" w:rsidR="00BF2C5E" w:rsidRDefault="00BF2C5E" w:rsidP="00BF2C5E">
      <w:pPr>
        <w:spacing w:after="0" w:line="360" w:lineRule="auto"/>
        <w:ind w:firstLine="709"/>
        <w:jc w:val="both"/>
        <w:rPr>
          <w:rFonts w:ascii="Times New Roman" w:eastAsia="Times New Roman" w:hAnsi="Times New Roman" w:cs="Times New Roman"/>
          <w:sz w:val="28"/>
          <w:szCs w:val="28"/>
          <w:lang w:val="ru"/>
        </w:rPr>
      </w:pPr>
      <w:r w:rsidRPr="00BF2C5E">
        <w:rPr>
          <w:rFonts w:ascii="Times New Roman" w:eastAsia="Times New Roman" w:hAnsi="Times New Roman" w:cs="Times New Roman"/>
          <w:sz w:val="28"/>
          <w:szCs w:val="28"/>
          <w:lang w:val="ru"/>
        </w:rPr>
        <w:t xml:space="preserve">Для обеспечения </w:t>
      </w:r>
      <w:r w:rsidR="00B4032C">
        <w:rPr>
          <w:rFonts w:ascii="Times New Roman" w:eastAsia="Times New Roman" w:hAnsi="Times New Roman" w:cs="Times New Roman"/>
          <w:sz w:val="28"/>
          <w:szCs w:val="28"/>
          <w:lang w:val="ru"/>
        </w:rPr>
        <w:t>повышения эффективности финансовой деятельности</w:t>
      </w:r>
      <w:r w:rsidRPr="00BF2C5E">
        <w:rPr>
          <w:rFonts w:ascii="Times New Roman" w:eastAsia="Times New Roman" w:hAnsi="Times New Roman" w:cs="Times New Roman"/>
          <w:sz w:val="28"/>
          <w:szCs w:val="28"/>
          <w:lang w:val="ru"/>
        </w:rPr>
        <w:t xml:space="preserve"> компани</w:t>
      </w:r>
      <w:r w:rsidR="00715EB9">
        <w:rPr>
          <w:rFonts w:ascii="Times New Roman" w:eastAsia="Times New Roman" w:hAnsi="Times New Roman" w:cs="Times New Roman"/>
          <w:sz w:val="28"/>
          <w:szCs w:val="28"/>
          <w:lang w:val="ru"/>
        </w:rPr>
        <w:t>и</w:t>
      </w:r>
      <w:r w:rsidRPr="00BF2C5E">
        <w:rPr>
          <w:rFonts w:ascii="Times New Roman" w:eastAsia="Times New Roman" w:hAnsi="Times New Roman" w:cs="Times New Roman"/>
          <w:sz w:val="28"/>
          <w:szCs w:val="28"/>
          <w:lang w:val="ru"/>
        </w:rPr>
        <w:t xml:space="preserve"> может применить следующий комплекс мероприятий:</w:t>
      </w:r>
    </w:p>
    <w:p w14:paraId="174AEE54" w14:textId="77777777" w:rsidR="00683FB1" w:rsidRDefault="00683FB1" w:rsidP="00BF2C5E">
      <w:pPr>
        <w:spacing w:after="0" w:line="360" w:lineRule="auto"/>
        <w:ind w:firstLine="709"/>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 xml:space="preserve">- расширить сферу </w:t>
      </w:r>
      <w:r w:rsidRPr="00683FB1">
        <w:rPr>
          <w:rFonts w:ascii="Times New Roman" w:eastAsia="Times New Roman" w:hAnsi="Times New Roman" w:cs="Times New Roman"/>
          <w:sz w:val="28"/>
          <w:szCs w:val="28"/>
        </w:rPr>
        <w:t xml:space="preserve">применения передовых инструментов для увеличения эффективности управления финансовыми средствами </w:t>
      </w:r>
      <w:r w:rsidR="00BC4890" w:rsidRPr="00BC4890">
        <w:rPr>
          <w:rFonts w:ascii="Times New Roman" w:eastAsia="Times New Roman" w:hAnsi="Times New Roman" w:cs="Times New Roman"/>
          <w:sz w:val="28"/>
          <w:szCs w:val="28"/>
        </w:rPr>
        <w:t>ПАО «Газпром»</w:t>
      </w:r>
      <w:r w:rsidRPr="00683FB1">
        <w:rPr>
          <w:rFonts w:ascii="Times New Roman" w:eastAsia="Times New Roman" w:hAnsi="Times New Roman" w:cs="Times New Roman"/>
          <w:sz w:val="28"/>
          <w:szCs w:val="28"/>
        </w:rPr>
        <w:t xml:space="preserve">. </w:t>
      </w:r>
      <w:r w:rsidR="00BC4890">
        <w:rPr>
          <w:rFonts w:ascii="Times New Roman" w:eastAsia="Times New Roman" w:hAnsi="Times New Roman" w:cs="Times New Roman"/>
          <w:sz w:val="28"/>
          <w:szCs w:val="28"/>
        </w:rPr>
        <w:t xml:space="preserve">В качестве данного мероприятия предлагается </w:t>
      </w:r>
      <w:r w:rsidRPr="00683FB1">
        <w:rPr>
          <w:rFonts w:ascii="Times New Roman" w:eastAsia="Times New Roman" w:hAnsi="Times New Roman" w:cs="Times New Roman"/>
          <w:sz w:val="28"/>
          <w:szCs w:val="28"/>
        </w:rPr>
        <w:t xml:space="preserve">при реализации инвестиционных проектов активно </w:t>
      </w:r>
      <w:r w:rsidR="00BC4890">
        <w:rPr>
          <w:rFonts w:ascii="Times New Roman" w:eastAsia="Times New Roman" w:hAnsi="Times New Roman" w:cs="Times New Roman"/>
          <w:sz w:val="28"/>
          <w:szCs w:val="28"/>
        </w:rPr>
        <w:t>использовать</w:t>
      </w:r>
      <w:r w:rsidRPr="00683FB1">
        <w:rPr>
          <w:rFonts w:ascii="Times New Roman" w:eastAsia="Times New Roman" w:hAnsi="Times New Roman" w:cs="Times New Roman"/>
          <w:sz w:val="28"/>
          <w:szCs w:val="28"/>
        </w:rPr>
        <w:t xml:space="preserve"> услугу банковского сопровождения договоров на поставку товаров, выполнение работ и оказание услуг</w:t>
      </w:r>
      <w:r w:rsidR="00BC4890">
        <w:rPr>
          <w:rFonts w:ascii="Times New Roman" w:eastAsia="Times New Roman" w:hAnsi="Times New Roman" w:cs="Times New Roman"/>
          <w:sz w:val="28"/>
          <w:szCs w:val="28"/>
        </w:rPr>
        <w:t>;</w:t>
      </w:r>
    </w:p>
    <w:p w14:paraId="30A5CEAE" w14:textId="77777777" w:rsidR="00683FB1" w:rsidRDefault="00683FB1" w:rsidP="00BF2C5E">
      <w:pPr>
        <w:spacing w:after="0" w:line="360" w:lineRule="auto"/>
        <w:ind w:firstLine="709"/>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 повышение уровня платежеспособности за счет повышения уровня наиболее ликвидных активов, в том числе за счет оборачиваемости активов</w:t>
      </w:r>
      <w:r w:rsidR="00BC4890">
        <w:rPr>
          <w:rFonts w:ascii="Times New Roman" w:eastAsia="Times New Roman" w:hAnsi="Times New Roman" w:cs="Times New Roman"/>
          <w:sz w:val="28"/>
          <w:szCs w:val="28"/>
          <w:lang w:val="ru"/>
        </w:rPr>
        <w:t>.</w:t>
      </w:r>
      <w:r>
        <w:rPr>
          <w:rFonts w:ascii="Times New Roman" w:eastAsia="Times New Roman" w:hAnsi="Times New Roman" w:cs="Times New Roman"/>
          <w:sz w:val="28"/>
          <w:szCs w:val="28"/>
          <w:lang w:val="ru"/>
        </w:rPr>
        <w:t xml:space="preserve">  </w:t>
      </w:r>
    </w:p>
    <w:p w14:paraId="63F6AB98" w14:textId="77777777" w:rsidR="00257364" w:rsidRDefault="00BC4B6C" w:rsidP="00BF2C5E">
      <w:pPr>
        <w:spacing w:after="0" w:line="360" w:lineRule="auto"/>
        <w:ind w:firstLine="709"/>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 применение факторинга</w:t>
      </w:r>
      <w:r w:rsidR="00257364">
        <w:rPr>
          <w:rFonts w:ascii="Times New Roman" w:eastAsia="Times New Roman" w:hAnsi="Times New Roman" w:cs="Times New Roman"/>
          <w:sz w:val="28"/>
          <w:szCs w:val="28"/>
          <w:lang w:val="ru"/>
        </w:rPr>
        <w:t>.</w:t>
      </w:r>
    </w:p>
    <w:p w14:paraId="0921E3E1" w14:textId="77777777" w:rsidR="00257364" w:rsidRDefault="0025736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257364">
        <w:rPr>
          <w:rFonts w:ascii="Times New Roman" w:eastAsia="Times New Roman" w:hAnsi="Times New Roman" w:cs="Times New Roman"/>
          <w:sz w:val="28"/>
          <w:szCs w:val="28"/>
        </w:rPr>
        <w:t>овысить ликвидность (платежеспособность) организации</w:t>
      </w:r>
      <w:r w:rsidRPr="00257364">
        <w:rPr>
          <w:rFonts w:ascii="Times New Roman" w:eastAsia="Times New Roman" w:hAnsi="Times New Roman" w:cs="Times New Roman"/>
          <w:sz w:val="28"/>
          <w:szCs w:val="28"/>
        </w:rPr>
        <w:br/>
        <w:t xml:space="preserve">можно через ускорение оборачиваемости активов. Сокращение </w:t>
      </w:r>
      <w:r>
        <w:rPr>
          <w:rFonts w:ascii="Times New Roman" w:eastAsia="Times New Roman" w:hAnsi="Times New Roman" w:cs="Times New Roman"/>
          <w:sz w:val="28"/>
          <w:szCs w:val="28"/>
        </w:rPr>
        <w:t xml:space="preserve">производственного </w:t>
      </w:r>
      <w:r w:rsidRPr="00257364">
        <w:rPr>
          <w:rFonts w:ascii="Times New Roman" w:eastAsia="Times New Roman" w:hAnsi="Times New Roman" w:cs="Times New Roman"/>
          <w:sz w:val="28"/>
          <w:szCs w:val="28"/>
        </w:rPr>
        <w:t>цикла позволяет</w:t>
      </w:r>
      <w:r>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 xml:space="preserve">менее ликвидным активам (запасам) </w:t>
      </w:r>
      <w:r>
        <w:rPr>
          <w:rFonts w:ascii="Times New Roman" w:eastAsia="Times New Roman" w:hAnsi="Times New Roman" w:cs="Times New Roman"/>
          <w:sz w:val="28"/>
          <w:szCs w:val="28"/>
        </w:rPr>
        <w:t>б</w:t>
      </w:r>
      <w:r w:rsidRPr="00257364">
        <w:rPr>
          <w:rFonts w:ascii="Times New Roman" w:eastAsia="Times New Roman" w:hAnsi="Times New Roman" w:cs="Times New Roman"/>
          <w:sz w:val="28"/>
          <w:szCs w:val="28"/>
        </w:rPr>
        <w:t>ыстрее превращаться в высоколиквидные</w:t>
      </w:r>
      <w:r>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активы (дебиторскую задолженность, денежные средства).</w:t>
      </w:r>
      <w:r>
        <w:rPr>
          <w:rFonts w:ascii="Times New Roman" w:eastAsia="Times New Roman" w:hAnsi="Times New Roman" w:cs="Times New Roman"/>
          <w:sz w:val="28"/>
          <w:szCs w:val="28"/>
        </w:rPr>
        <w:t xml:space="preserve"> </w:t>
      </w:r>
    </w:p>
    <w:p w14:paraId="742FD34D" w14:textId="77777777" w:rsidR="00BF2C5E" w:rsidRDefault="00257364">
      <w:pPr>
        <w:spacing w:after="0" w:line="360" w:lineRule="auto"/>
        <w:ind w:firstLine="709"/>
        <w:jc w:val="both"/>
        <w:rPr>
          <w:rFonts w:ascii="Times New Roman" w:eastAsia="Times New Roman" w:hAnsi="Times New Roman" w:cs="Times New Roman"/>
          <w:sz w:val="28"/>
          <w:szCs w:val="28"/>
          <w:lang w:val="ru"/>
        </w:rPr>
      </w:pPr>
      <w:r w:rsidRPr="00257364">
        <w:rPr>
          <w:rFonts w:ascii="Times New Roman" w:eastAsia="Times New Roman" w:hAnsi="Times New Roman" w:cs="Times New Roman"/>
          <w:sz w:val="28"/>
          <w:szCs w:val="28"/>
        </w:rPr>
        <w:t>Это повышает</w:t>
      </w:r>
      <w:r>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способность организации рассчитываться по своим обязательствам. Повысить</w:t>
      </w:r>
      <w:r>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оборачиваемость позволяет не только ускорение самого производственного</w:t>
      </w:r>
      <w:r w:rsidR="00932A88">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процесса (или процесса выполнения работ и оказания услуг), но и ужесточение</w:t>
      </w:r>
      <w:r w:rsidR="00932A88">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 xml:space="preserve">платежной дисциплины покупателей – </w:t>
      </w:r>
      <w:r w:rsidRPr="00257364">
        <w:rPr>
          <w:rFonts w:ascii="Times New Roman" w:eastAsia="Times New Roman" w:hAnsi="Times New Roman" w:cs="Times New Roman"/>
          <w:sz w:val="28"/>
          <w:szCs w:val="28"/>
        </w:rPr>
        <w:lastRenderedPageBreak/>
        <w:t>снижение периода взыскания</w:t>
      </w:r>
      <w:r w:rsidR="00932A88">
        <w:rPr>
          <w:rFonts w:ascii="Times New Roman" w:eastAsia="Times New Roman" w:hAnsi="Times New Roman" w:cs="Times New Roman"/>
          <w:sz w:val="28"/>
          <w:szCs w:val="28"/>
        </w:rPr>
        <w:t xml:space="preserve"> </w:t>
      </w:r>
      <w:r w:rsidRPr="00257364">
        <w:rPr>
          <w:rFonts w:ascii="Times New Roman" w:eastAsia="Times New Roman" w:hAnsi="Times New Roman" w:cs="Times New Roman"/>
          <w:sz w:val="28"/>
          <w:szCs w:val="28"/>
        </w:rPr>
        <w:t>дебиторской задолженности.</w:t>
      </w:r>
      <w:r w:rsidR="0051238E">
        <w:rPr>
          <w:rFonts w:ascii="Times New Roman" w:eastAsia="Times New Roman" w:hAnsi="Times New Roman" w:cs="Times New Roman"/>
          <w:sz w:val="28"/>
          <w:szCs w:val="28"/>
        </w:rPr>
        <w:t xml:space="preserve"> </w:t>
      </w:r>
      <w:r w:rsidR="0051238E" w:rsidRPr="0051238E">
        <w:rPr>
          <w:rFonts w:ascii="Times New Roman" w:eastAsia="Times New Roman" w:hAnsi="Times New Roman" w:cs="Times New Roman"/>
          <w:sz w:val="28"/>
          <w:szCs w:val="28"/>
        </w:rPr>
        <w:t xml:space="preserve">Также для повышения данного показателя </w:t>
      </w:r>
      <w:r w:rsidR="0051238E">
        <w:rPr>
          <w:rFonts w:ascii="Times New Roman" w:eastAsia="Times New Roman" w:hAnsi="Times New Roman" w:cs="Times New Roman"/>
          <w:sz w:val="28"/>
          <w:szCs w:val="28"/>
        </w:rPr>
        <w:t>н</w:t>
      </w:r>
      <w:r w:rsidR="0051238E" w:rsidRPr="0051238E">
        <w:rPr>
          <w:rFonts w:ascii="Times New Roman" w:eastAsia="Times New Roman" w:hAnsi="Times New Roman" w:cs="Times New Roman"/>
          <w:sz w:val="28"/>
          <w:szCs w:val="28"/>
        </w:rPr>
        <w:t>а внутреннем рынке необходимо сократить рамки государственного регулирования цен на газ. Для этого предлагается сохранить регулируемый государством сектор поставок населению, расширить сектор оптовой торговли с использованием электронных технологий и сформировать сектор по договорным ценам с использованием прозрачной формулы цены на базе долгосрочных контрактов. На сегодняшний день российский рынок является самым большим и потенциально самым привлекательным рынком газа для </w:t>
      </w:r>
      <w:r w:rsidR="0051238E">
        <w:rPr>
          <w:rFonts w:ascii="Times New Roman" w:eastAsia="Times New Roman" w:hAnsi="Times New Roman" w:cs="Times New Roman"/>
          <w:sz w:val="28"/>
          <w:szCs w:val="28"/>
        </w:rPr>
        <w:t xml:space="preserve">ПАО </w:t>
      </w:r>
      <w:r w:rsidR="0051238E" w:rsidRPr="0051238E">
        <w:rPr>
          <w:rFonts w:ascii="Times New Roman" w:eastAsia="Times New Roman" w:hAnsi="Times New Roman" w:cs="Times New Roman"/>
          <w:sz w:val="28"/>
          <w:szCs w:val="28"/>
        </w:rPr>
        <w:t>«Газпром».</w:t>
      </w:r>
    </w:p>
    <w:p w14:paraId="69CA2363" w14:textId="77777777" w:rsidR="006C48AE" w:rsidRDefault="00CC219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меры, направленной на сокращение величины дебиторской задолженности </w:t>
      </w:r>
      <w:r w:rsidR="004E74FC">
        <w:rPr>
          <w:rFonts w:ascii="Times New Roman" w:eastAsia="Times New Roman" w:hAnsi="Times New Roman" w:cs="Times New Roman"/>
          <w:sz w:val="28"/>
          <w:szCs w:val="28"/>
        </w:rPr>
        <w:t>ПАО «Газпром»</w:t>
      </w:r>
      <w:r w:rsidR="00761E34">
        <w:rPr>
          <w:rFonts w:ascii="Times New Roman" w:eastAsia="Times New Roman" w:hAnsi="Times New Roman" w:cs="Times New Roman"/>
          <w:sz w:val="28"/>
          <w:szCs w:val="28"/>
        </w:rPr>
        <w:t>,</w:t>
      </w:r>
      <w:r w:rsidR="004E74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предлагается</w:t>
      </w:r>
      <w:r w:rsidR="004E74FC">
        <w:rPr>
          <w:rFonts w:ascii="Times New Roman" w:eastAsia="Times New Roman" w:hAnsi="Times New Roman" w:cs="Times New Roman"/>
          <w:sz w:val="28"/>
          <w:szCs w:val="28"/>
        </w:rPr>
        <w:t xml:space="preserve"> применение факторинга. </w:t>
      </w:r>
    </w:p>
    <w:p w14:paraId="0ABC74E5" w14:textId="77777777" w:rsidR="006C48AE" w:rsidRDefault="004E74FC">
      <w:pPr>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Факторинг позволяет клиенту также избавиться от рутинной работы, связанной с отслеживанием состояния дебиторской задолженности, напоминанием дебиторам о задержках платежей. Обычно факторинговая компания по первому требованию поставщика предоставляет ему отчет о состоянии дебиторской задолженности, включающий в себя информацию обо всех поставках поставщика и платежах его покупателей. Также в случае </w:t>
      </w:r>
      <w:proofErr w:type="spellStart"/>
      <w:r>
        <w:rPr>
          <w:rFonts w:ascii="Times New Roman" w:eastAsia="Times New Roman" w:hAnsi="Times New Roman" w:cs="Times New Roman"/>
          <w:sz w:val="28"/>
          <w:szCs w:val="28"/>
          <w:highlight w:val="white"/>
        </w:rPr>
        <w:t>безрегрессного</w:t>
      </w:r>
      <w:proofErr w:type="spellEnd"/>
      <w:r>
        <w:rPr>
          <w:rFonts w:ascii="Times New Roman" w:eastAsia="Times New Roman" w:hAnsi="Times New Roman" w:cs="Times New Roman"/>
          <w:sz w:val="28"/>
          <w:szCs w:val="28"/>
          <w:highlight w:val="white"/>
        </w:rPr>
        <w:t xml:space="preserve"> факторинга фактор берет на себя заботу о взыскании долгов с дебиторов, что особенно актуально для небольших компаний, не располагающих собственными ресурсами для инкассации. Это позволяет им экономить трудовые и финансовые ресурсы.</w:t>
      </w:r>
    </w:p>
    <w:p w14:paraId="7ADD2631" w14:textId="77777777" w:rsidR="006C48AE" w:rsidRDefault="004E74FC">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Отдельные функции факторинга выполняют банковские и страховые инструменты, таким образом, выступая конкурентами факторинга. А факторинг интересен, прежде всего, тем компаниям, которые заинтересованы именно в сочетании услуг, которые присущи данному продукту.</w:t>
      </w:r>
    </w:p>
    <w:p w14:paraId="110F1E10"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Анализ эффективности использования факторинга проведем на примере задолженности </w:t>
      </w:r>
      <w:r w:rsidR="00761E34">
        <w:rPr>
          <w:rFonts w:ascii="Times New Roman" w:eastAsia="Times New Roman" w:hAnsi="Times New Roman" w:cs="Times New Roman"/>
          <w:sz w:val="28"/>
          <w:szCs w:val="28"/>
        </w:rPr>
        <w:t xml:space="preserve">юридического лица </w:t>
      </w:r>
      <w:r w:rsidRPr="00B42A20">
        <w:rPr>
          <w:rFonts w:ascii="Times New Roman" w:eastAsia="Times New Roman" w:hAnsi="Times New Roman" w:cs="Times New Roman"/>
          <w:sz w:val="28"/>
          <w:szCs w:val="28"/>
        </w:rPr>
        <w:t>ООО «</w:t>
      </w:r>
      <w:proofErr w:type="spellStart"/>
      <w:r w:rsidR="00761E34">
        <w:rPr>
          <w:rFonts w:ascii="Times New Roman" w:eastAsia="Times New Roman" w:hAnsi="Times New Roman" w:cs="Times New Roman"/>
          <w:sz w:val="28"/>
          <w:szCs w:val="28"/>
        </w:rPr>
        <w:t>Промтехресурс</w:t>
      </w:r>
      <w:proofErr w:type="spellEnd"/>
      <w:r w:rsidRPr="00B42A20">
        <w:rPr>
          <w:rFonts w:ascii="Times New Roman" w:eastAsia="Times New Roman" w:hAnsi="Times New Roman" w:cs="Times New Roman"/>
          <w:sz w:val="28"/>
          <w:szCs w:val="28"/>
        </w:rPr>
        <w:t>» за предоставленные услуги.</w:t>
      </w:r>
    </w:p>
    <w:p w14:paraId="0C0113D2"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lastRenderedPageBreak/>
        <w:t xml:space="preserve">Текущая дебиторская задолженность </w:t>
      </w:r>
      <w:r w:rsidR="00681B3A" w:rsidRPr="00681B3A">
        <w:rPr>
          <w:rFonts w:ascii="Times New Roman" w:eastAsia="Times New Roman" w:hAnsi="Times New Roman" w:cs="Times New Roman"/>
          <w:sz w:val="28"/>
          <w:szCs w:val="28"/>
        </w:rPr>
        <w:t>ООО «</w:t>
      </w:r>
      <w:proofErr w:type="spellStart"/>
      <w:r w:rsidR="00681B3A" w:rsidRPr="00681B3A">
        <w:rPr>
          <w:rFonts w:ascii="Times New Roman" w:eastAsia="Times New Roman" w:hAnsi="Times New Roman" w:cs="Times New Roman"/>
          <w:sz w:val="28"/>
          <w:szCs w:val="28"/>
        </w:rPr>
        <w:t>Промтехресурс</w:t>
      </w:r>
      <w:proofErr w:type="spellEnd"/>
      <w:r w:rsidR="00681B3A" w:rsidRPr="00681B3A">
        <w:rPr>
          <w:rFonts w:ascii="Times New Roman" w:eastAsia="Times New Roman" w:hAnsi="Times New Roman" w:cs="Times New Roman"/>
          <w:sz w:val="28"/>
          <w:szCs w:val="28"/>
        </w:rPr>
        <w:t>»</w:t>
      </w:r>
      <w:r w:rsidR="00681B3A">
        <w:rPr>
          <w:rFonts w:ascii="Times New Roman" w:eastAsia="Times New Roman" w:hAnsi="Times New Roman" w:cs="Times New Roman"/>
          <w:sz w:val="28"/>
          <w:szCs w:val="28"/>
        </w:rPr>
        <w:t xml:space="preserve"> </w:t>
      </w:r>
      <w:r w:rsidRPr="00B42A20">
        <w:rPr>
          <w:rFonts w:ascii="Times New Roman" w:eastAsia="Times New Roman" w:hAnsi="Times New Roman" w:cs="Times New Roman"/>
          <w:sz w:val="28"/>
          <w:szCs w:val="28"/>
        </w:rPr>
        <w:t xml:space="preserve">перед </w:t>
      </w:r>
      <w:proofErr w:type="spellStart"/>
      <w:r w:rsidR="00761E34" w:rsidRPr="00761E34">
        <w:rPr>
          <w:rFonts w:ascii="Times New Roman" w:eastAsia="Times New Roman" w:hAnsi="Times New Roman" w:cs="Times New Roman"/>
          <w:sz w:val="28"/>
          <w:szCs w:val="28"/>
        </w:rPr>
        <w:t>ПАО</w:t>
      </w:r>
      <w:proofErr w:type="spellEnd"/>
      <w:r w:rsidR="00761E34" w:rsidRPr="00761E34">
        <w:rPr>
          <w:rFonts w:ascii="Times New Roman" w:eastAsia="Times New Roman" w:hAnsi="Times New Roman" w:cs="Times New Roman"/>
          <w:sz w:val="28"/>
          <w:szCs w:val="28"/>
        </w:rPr>
        <w:t xml:space="preserve"> «</w:t>
      </w:r>
      <w:proofErr w:type="gramStart"/>
      <w:r w:rsidR="00761E34" w:rsidRPr="00761E34">
        <w:rPr>
          <w:rFonts w:ascii="Times New Roman" w:eastAsia="Times New Roman" w:hAnsi="Times New Roman" w:cs="Times New Roman"/>
          <w:sz w:val="28"/>
          <w:szCs w:val="28"/>
        </w:rPr>
        <w:t>Газпром»</w:t>
      </w:r>
      <w:r w:rsidRPr="00B42A20">
        <w:rPr>
          <w:rFonts w:ascii="Times New Roman" w:eastAsia="Times New Roman" w:hAnsi="Times New Roman" w:cs="Times New Roman"/>
          <w:sz w:val="28"/>
          <w:szCs w:val="28"/>
        </w:rPr>
        <w:t xml:space="preserve">  составляет</w:t>
      </w:r>
      <w:proofErr w:type="gramEnd"/>
      <w:r w:rsidRPr="00B42A20">
        <w:rPr>
          <w:rFonts w:ascii="Times New Roman" w:eastAsia="Times New Roman" w:hAnsi="Times New Roman" w:cs="Times New Roman"/>
          <w:sz w:val="28"/>
          <w:szCs w:val="28"/>
        </w:rPr>
        <w:t> </w:t>
      </w:r>
      <w:r w:rsidR="00D820FF">
        <w:rPr>
          <w:rFonts w:ascii="Times New Roman" w:eastAsia="Times New Roman" w:hAnsi="Times New Roman" w:cs="Times New Roman"/>
          <w:sz w:val="28"/>
          <w:szCs w:val="28"/>
        </w:rPr>
        <w:t xml:space="preserve"> </w:t>
      </w:r>
      <w:r w:rsidR="00A7392A">
        <w:rPr>
          <w:rFonts w:ascii="Times New Roman" w:eastAsia="Times New Roman" w:hAnsi="Times New Roman" w:cs="Times New Roman"/>
          <w:sz w:val="28"/>
          <w:szCs w:val="28"/>
        </w:rPr>
        <w:t>9</w:t>
      </w:r>
      <w:r w:rsidRPr="00B42A20">
        <w:rPr>
          <w:rFonts w:ascii="Times New Roman" w:eastAsia="Times New Roman" w:hAnsi="Times New Roman" w:cs="Times New Roman"/>
          <w:sz w:val="28"/>
          <w:szCs w:val="28"/>
        </w:rPr>
        <w:t xml:space="preserve">64 200  рублей. Согласно договору регрессного </w:t>
      </w:r>
      <w:r w:rsidR="00A7392A">
        <w:rPr>
          <w:rFonts w:ascii="Times New Roman" w:eastAsia="Times New Roman" w:hAnsi="Times New Roman" w:cs="Times New Roman"/>
          <w:sz w:val="28"/>
          <w:szCs w:val="28"/>
        </w:rPr>
        <w:t>ф</w:t>
      </w:r>
      <w:r w:rsidRPr="00B42A20">
        <w:rPr>
          <w:rFonts w:ascii="Times New Roman" w:eastAsia="Times New Roman" w:hAnsi="Times New Roman" w:cs="Times New Roman"/>
          <w:sz w:val="28"/>
          <w:szCs w:val="28"/>
        </w:rPr>
        <w:t xml:space="preserve">акторинга банк предоставляет </w:t>
      </w:r>
      <w:r w:rsidR="00761E34" w:rsidRPr="00761E34">
        <w:rPr>
          <w:rFonts w:ascii="Times New Roman" w:eastAsia="Times New Roman" w:hAnsi="Times New Roman" w:cs="Times New Roman"/>
          <w:sz w:val="28"/>
          <w:szCs w:val="28"/>
        </w:rPr>
        <w:t>ПАО «Газпром»</w:t>
      </w:r>
      <w:r w:rsidR="00761E34">
        <w:rPr>
          <w:rFonts w:ascii="Times New Roman" w:eastAsia="Times New Roman" w:hAnsi="Times New Roman" w:cs="Times New Roman"/>
          <w:sz w:val="28"/>
          <w:szCs w:val="28"/>
        </w:rPr>
        <w:t xml:space="preserve"> </w:t>
      </w:r>
      <w:r w:rsidRPr="00B42A20">
        <w:rPr>
          <w:rFonts w:ascii="Times New Roman" w:eastAsia="Times New Roman" w:hAnsi="Times New Roman" w:cs="Times New Roman"/>
          <w:sz w:val="28"/>
          <w:szCs w:val="28"/>
        </w:rPr>
        <w:t xml:space="preserve">денежные средства, обязательство по возврату которых организация исполняет путем уступки права требования долга. </w:t>
      </w:r>
    </w:p>
    <w:p w14:paraId="2062281F"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Необходимо учесть, что срок дебиторской задолженности большой и поэтому расчет </w:t>
      </w:r>
      <w:r w:rsidRPr="00761E34">
        <w:rPr>
          <w:rFonts w:ascii="Times New Roman" w:eastAsia="Times New Roman" w:hAnsi="Times New Roman" w:cs="Times New Roman"/>
          <w:color w:val="FFFFFF" w:themeColor="background1"/>
          <w:sz w:val="28"/>
          <w:szCs w:val="28"/>
        </w:rPr>
        <w:t>а</w:t>
      </w:r>
      <w:r w:rsidRPr="00B42A20">
        <w:rPr>
          <w:rFonts w:ascii="Times New Roman" w:eastAsia="Times New Roman" w:hAnsi="Times New Roman" w:cs="Times New Roman"/>
          <w:sz w:val="28"/>
          <w:szCs w:val="28"/>
        </w:rPr>
        <w:t xml:space="preserve">экономической целесообразности факторинга будет произведен по минимальной </w:t>
      </w:r>
      <w:r w:rsidRPr="00761E34">
        <w:rPr>
          <w:rFonts w:ascii="Times New Roman" w:eastAsia="Times New Roman" w:hAnsi="Times New Roman" w:cs="Times New Roman"/>
          <w:color w:val="FFFFFF" w:themeColor="background1"/>
          <w:sz w:val="28"/>
          <w:szCs w:val="28"/>
        </w:rPr>
        <w:t>а</w:t>
      </w:r>
      <w:r w:rsidRPr="00B42A20">
        <w:rPr>
          <w:rFonts w:ascii="Times New Roman" w:eastAsia="Times New Roman" w:hAnsi="Times New Roman" w:cs="Times New Roman"/>
          <w:sz w:val="28"/>
          <w:szCs w:val="28"/>
        </w:rPr>
        <w:t>ставке возврата денежных асредств – 85%.</w:t>
      </w:r>
    </w:p>
    <w:p w14:paraId="70A9F604"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Банк перечисляет на расчетный счет </w:t>
      </w:r>
      <w:r w:rsidR="00681B3A" w:rsidRPr="00681B3A">
        <w:rPr>
          <w:rFonts w:ascii="Times New Roman" w:eastAsia="Times New Roman" w:hAnsi="Times New Roman" w:cs="Times New Roman"/>
          <w:sz w:val="28"/>
          <w:szCs w:val="28"/>
        </w:rPr>
        <w:t>ПАО «Газпром»</w:t>
      </w:r>
      <w:r w:rsidRPr="00B42A20">
        <w:rPr>
          <w:rFonts w:ascii="Times New Roman" w:eastAsia="Times New Roman" w:hAnsi="Times New Roman" w:cs="Times New Roman"/>
          <w:sz w:val="28"/>
          <w:szCs w:val="28"/>
        </w:rPr>
        <w:t xml:space="preserve"> денежные средства в аразмере 85% от суммы дебиторской азадолженности </w:t>
      </w:r>
      <w:r w:rsidR="00681B3A" w:rsidRPr="00681B3A">
        <w:rPr>
          <w:rFonts w:ascii="Times New Roman" w:eastAsia="Times New Roman" w:hAnsi="Times New Roman" w:cs="Times New Roman"/>
          <w:sz w:val="28"/>
          <w:szCs w:val="28"/>
        </w:rPr>
        <w:t>ООО «</w:t>
      </w:r>
      <w:proofErr w:type="spellStart"/>
      <w:r w:rsidR="00681B3A" w:rsidRPr="00681B3A">
        <w:rPr>
          <w:rFonts w:ascii="Times New Roman" w:eastAsia="Times New Roman" w:hAnsi="Times New Roman" w:cs="Times New Roman"/>
          <w:sz w:val="28"/>
          <w:szCs w:val="28"/>
        </w:rPr>
        <w:t>Промтехресурс</w:t>
      </w:r>
      <w:proofErr w:type="spellEnd"/>
      <w:r w:rsidR="00681B3A" w:rsidRPr="00681B3A">
        <w:rPr>
          <w:rFonts w:ascii="Times New Roman" w:eastAsia="Times New Roman" w:hAnsi="Times New Roman" w:cs="Times New Roman"/>
          <w:sz w:val="28"/>
          <w:szCs w:val="28"/>
        </w:rPr>
        <w:t>»</w:t>
      </w:r>
      <w:r w:rsidRPr="00B42A20">
        <w:rPr>
          <w:rFonts w:ascii="Times New Roman" w:eastAsia="Times New Roman" w:hAnsi="Times New Roman" w:cs="Times New Roman"/>
          <w:sz w:val="28"/>
          <w:szCs w:val="28"/>
        </w:rPr>
        <w:t xml:space="preserve">, а остальную сумму (за вычетом комиссий) - после того, как с ним арассчитается </w:t>
      </w:r>
      <w:r w:rsidR="00681B3A" w:rsidRPr="00681B3A">
        <w:rPr>
          <w:rFonts w:ascii="Times New Roman" w:eastAsia="Times New Roman" w:hAnsi="Times New Roman" w:cs="Times New Roman"/>
          <w:sz w:val="28"/>
          <w:szCs w:val="28"/>
        </w:rPr>
        <w:t>ООО «</w:t>
      </w:r>
      <w:proofErr w:type="spellStart"/>
      <w:r w:rsidR="00681B3A" w:rsidRPr="00681B3A">
        <w:rPr>
          <w:rFonts w:ascii="Times New Roman" w:eastAsia="Times New Roman" w:hAnsi="Times New Roman" w:cs="Times New Roman"/>
          <w:sz w:val="28"/>
          <w:szCs w:val="28"/>
        </w:rPr>
        <w:t>Промтехресурс</w:t>
      </w:r>
      <w:proofErr w:type="spellEnd"/>
      <w:r w:rsidR="00681B3A" w:rsidRPr="00681B3A">
        <w:rPr>
          <w:rFonts w:ascii="Times New Roman" w:eastAsia="Times New Roman" w:hAnsi="Times New Roman" w:cs="Times New Roman"/>
          <w:sz w:val="28"/>
          <w:szCs w:val="28"/>
        </w:rPr>
        <w:t>»</w:t>
      </w:r>
      <w:r w:rsidRPr="00B42A20">
        <w:rPr>
          <w:rFonts w:ascii="Times New Roman" w:eastAsia="Times New Roman" w:hAnsi="Times New Roman" w:cs="Times New Roman"/>
          <w:sz w:val="28"/>
          <w:szCs w:val="28"/>
        </w:rPr>
        <w:t>.</w:t>
      </w:r>
    </w:p>
    <w:p w14:paraId="434FDF9B"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То есть банк перечислит на счет </w:t>
      </w:r>
      <w:r w:rsidR="00681B3A" w:rsidRPr="00681B3A">
        <w:rPr>
          <w:rFonts w:ascii="Times New Roman" w:eastAsia="Times New Roman" w:hAnsi="Times New Roman" w:cs="Times New Roman"/>
          <w:sz w:val="28"/>
          <w:szCs w:val="28"/>
        </w:rPr>
        <w:t>ПАО «Газпром»</w:t>
      </w:r>
      <w:r w:rsidRPr="00B42A20">
        <w:rPr>
          <w:rFonts w:ascii="Times New Roman" w:eastAsia="Times New Roman" w:hAnsi="Times New Roman" w:cs="Times New Roman"/>
          <w:sz w:val="28"/>
          <w:szCs w:val="28"/>
        </w:rPr>
        <w:t xml:space="preserve">: </w:t>
      </w:r>
    </w:p>
    <w:p w14:paraId="6A42035D"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0188009F" w14:textId="77777777" w:rsidR="009370EB" w:rsidRPr="00B42A20" w:rsidRDefault="00A7392A" w:rsidP="009370EB">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9370EB" w:rsidRPr="00B42A20">
        <w:rPr>
          <w:rFonts w:ascii="Times New Roman" w:eastAsia="Times New Roman" w:hAnsi="Times New Roman" w:cs="Times New Roman"/>
          <w:sz w:val="28"/>
          <w:szCs w:val="28"/>
        </w:rPr>
        <w:t xml:space="preserve">64 200*85% </w:t>
      </w:r>
      <w:proofErr w:type="gramStart"/>
      <w:r w:rsidR="009370EB" w:rsidRPr="00B42A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819570</w:t>
      </w:r>
      <w:proofErr w:type="gramEnd"/>
      <w:r w:rsidR="009370EB" w:rsidRPr="00B42A20">
        <w:rPr>
          <w:rFonts w:ascii="Times New Roman" w:eastAsia="Times New Roman" w:hAnsi="Times New Roman" w:cs="Times New Roman"/>
          <w:sz w:val="28"/>
          <w:szCs w:val="28"/>
        </w:rPr>
        <w:t xml:space="preserve"> рублей</w:t>
      </w:r>
    </w:p>
    <w:p w14:paraId="598C9493"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Средний срок расчетов должников по операциям факторинга при суммах долга свыше 300 000 </w:t>
      </w:r>
      <w:proofErr w:type="gramStart"/>
      <w:r w:rsidRPr="00B42A20">
        <w:rPr>
          <w:rFonts w:ascii="Times New Roman" w:eastAsia="Times New Roman" w:hAnsi="Times New Roman" w:cs="Times New Roman"/>
          <w:sz w:val="28"/>
          <w:szCs w:val="28"/>
        </w:rPr>
        <w:t>рублей  45</w:t>
      </w:r>
      <w:proofErr w:type="gramEnd"/>
      <w:r w:rsidRPr="00B42A20">
        <w:rPr>
          <w:rFonts w:ascii="Times New Roman" w:eastAsia="Times New Roman" w:hAnsi="Times New Roman" w:cs="Times New Roman"/>
          <w:sz w:val="28"/>
          <w:szCs w:val="28"/>
        </w:rPr>
        <w:t xml:space="preserve"> дней. </w:t>
      </w:r>
    </w:p>
    <w:p w14:paraId="012CA9D1"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Рассчитаем период инкассирования дебиторской задолженности </w:t>
      </w:r>
      <w:r w:rsidR="00681B3A" w:rsidRPr="00681B3A">
        <w:rPr>
          <w:rFonts w:ascii="Times New Roman" w:eastAsia="Times New Roman" w:hAnsi="Times New Roman" w:cs="Times New Roman"/>
          <w:sz w:val="28"/>
          <w:szCs w:val="28"/>
        </w:rPr>
        <w:t>ПАО «Газпром»</w:t>
      </w:r>
      <w:r w:rsidRPr="00B42A20">
        <w:rPr>
          <w:rFonts w:ascii="Times New Roman" w:eastAsia="Times New Roman" w:hAnsi="Times New Roman" w:cs="Times New Roman"/>
          <w:sz w:val="28"/>
          <w:szCs w:val="28"/>
        </w:rPr>
        <w:t>:</w:t>
      </w:r>
    </w:p>
    <w:p w14:paraId="297B70C6"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7FA21818"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П</w:t>
      </w:r>
      <w:r w:rsidRPr="00B42A20">
        <w:rPr>
          <w:rFonts w:ascii="Times New Roman" w:eastAsia="Times New Roman" w:hAnsi="Times New Roman" w:cs="Times New Roman"/>
          <w:sz w:val="28"/>
          <w:szCs w:val="28"/>
          <w:vertAlign w:val="subscript"/>
        </w:rPr>
        <w:t>инк.</w:t>
      </w:r>
      <w:r w:rsidRPr="00B42A20">
        <w:rPr>
          <w:rFonts w:ascii="Times New Roman" w:eastAsia="Times New Roman" w:hAnsi="Times New Roman" w:cs="Times New Roman"/>
          <w:sz w:val="28"/>
          <w:szCs w:val="28"/>
        </w:rPr>
        <w:t xml:space="preserve"> = 365/(</w:t>
      </w:r>
      <w:r w:rsidR="00593800">
        <w:rPr>
          <w:rFonts w:ascii="Times New Roman" w:eastAsia="Times New Roman" w:hAnsi="Times New Roman" w:cs="Times New Roman"/>
          <w:sz w:val="28"/>
          <w:szCs w:val="28"/>
        </w:rPr>
        <w:t>6388987167/2728840042</w:t>
      </w:r>
      <w:r w:rsidRPr="00B42A20">
        <w:rPr>
          <w:rFonts w:ascii="Times New Roman" w:eastAsia="Times New Roman" w:hAnsi="Times New Roman" w:cs="Times New Roman"/>
          <w:sz w:val="28"/>
          <w:szCs w:val="28"/>
        </w:rPr>
        <w:t xml:space="preserve">) = </w:t>
      </w:r>
      <w:r w:rsidR="00506D75">
        <w:rPr>
          <w:rFonts w:ascii="Times New Roman" w:eastAsia="Times New Roman" w:hAnsi="Times New Roman" w:cs="Times New Roman"/>
          <w:sz w:val="28"/>
          <w:szCs w:val="28"/>
        </w:rPr>
        <w:t xml:space="preserve">158 </w:t>
      </w:r>
      <w:r w:rsidRPr="00B42A20">
        <w:rPr>
          <w:rFonts w:ascii="Times New Roman" w:eastAsia="Times New Roman" w:hAnsi="Times New Roman" w:cs="Times New Roman"/>
          <w:sz w:val="28"/>
          <w:szCs w:val="28"/>
        </w:rPr>
        <w:t>дней</w:t>
      </w:r>
    </w:p>
    <w:p w14:paraId="088356F5"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31ABA509"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        где </w:t>
      </w:r>
      <w:r w:rsidR="00593800">
        <w:rPr>
          <w:rFonts w:ascii="Times New Roman" w:eastAsia="Times New Roman" w:hAnsi="Times New Roman" w:cs="Times New Roman"/>
          <w:sz w:val="28"/>
          <w:szCs w:val="28"/>
        </w:rPr>
        <w:t>6388987167</w:t>
      </w:r>
      <w:r w:rsidRPr="00B42A20">
        <w:rPr>
          <w:rFonts w:ascii="Times New Roman" w:eastAsia="Times New Roman" w:hAnsi="Times New Roman" w:cs="Times New Roman"/>
          <w:sz w:val="28"/>
          <w:szCs w:val="28"/>
        </w:rPr>
        <w:t xml:space="preserve"> тыс. рублей – объем выручки </w:t>
      </w:r>
      <w:r w:rsidR="00681B3A" w:rsidRPr="00681B3A">
        <w:rPr>
          <w:rFonts w:ascii="Times New Roman" w:eastAsia="Times New Roman" w:hAnsi="Times New Roman" w:cs="Times New Roman"/>
          <w:sz w:val="28"/>
          <w:szCs w:val="28"/>
        </w:rPr>
        <w:t>ПАО «Газпром»</w:t>
      </w:r>
      <w:r w:rsidR="00681B3A">
        <w:rPr>
          <w:rFonts w:ascii="Times New Roman" w:eastAsia="Times New Roman" w:hAnsi="Times New Roman" w:cs="Times New Roman"/>
          <w:sz w:val="28"/>
          <w:szCs w:val="28"/>
        </w:rPr>
        <w:t xml:space="preserve"> </w:t>
      </w:r>
      <w:r w:rsidRPr="00B42A20">
        <w:rPr>
          <w:rFonts w:ascii="Times New Roman" w:eastAsia="Times New Roman" w:hAnsi="Times New Roman" w:cs="Times New Roman"/>
          <w:sz w:val="28"/>
          <w:szCs w:val="28"/>
        </w:rPr>
        <w:t>за 20</w:t>
      </w:r>
      <w:r w:rsidR="00593800">
        <w:rPr>
          <w:rFonts w:ascii="Times New Roman" w:eastAsia="Times New Roman" w:hAnsi="Times New Roman" w:cs="Times New Roman"/>
          <w:sz w:val="28"/>
          <w:szCs w:val="28"/>
        </w:rPr>
        <w:t>21</w:t>
      </w:r>
      <w:r w:rsidRPr="00B42A20">
        <w:rPr>
          <w:rFonts w:ascii="Times New Roman" w:eastAsia="Times New Roman" w:hAnsi="Times New Roman" w:cs="Times New Roman"/>
          <w:sz w:val="28"/>
          <w:szCs w:val="28"/>
        </w:rPr>
        <w:t xml:space="preserve"> год,</w:t>
      </w:r>
    </w:p>
    <w:p w14:paraId="20E70E4F"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       </w:t>
      </w:r>
      <w:r w:rsidR="00506D75">
        <w:rPr>
          <w:rFonts w:ascii="Times New Roman" w:eastAsia="Times New Roman" w:hAnsi="Times New Roman" w:cs="Times New Roman"/>
          <w:sz w:val="28"/>
          <w:szCs w:val="28"/>
        </w:rPr>
        <w:t>2728840042</w:t>
      </w:r>
      <w:r w:rsidRPr="00B42A20">
        <w:rPr>
          <w:rFonts w:ascii="Times New Roman" w:eastAsia="Times New Roman" w:hAnsi="Times New Roman" w:cs="Times New Roman"/>
          <w:sz w:val="28"/>
          <w:szCs w:val="28"/>
        </w:rPr>
        <w:t xml:space="preserve"> – </w:t>
      </w:r>
      <w:r w:rsidR="00593800">
        <w:rPr>
          <w:rFonts w:ascii="Times New Roman" w:eastAsia="Times New Roman" w:hAnsi="Times New Roman" w:cs="Times New Roman"/>
          <w:sz w:val="28"/>
          <w:szCs w:val="28"/>
        </w:rPr>
        <w:t>сумма</w:t>
      </w:r>
      <w:r w:rsidRPr="00B42A20">
        <w:rPr>
          <w:rFonts w:ascii="Times New Roman" w:eastAsia="Times New Roman" w:hAnsi="Times New Roman" w:cs="Times New Roman"/>
          <w:sz w:val="28"/>
          <w:szCs w:val="28"/>
        </w:rPr>
        <w:t xml:space="preserve"> дебиторской задолженности </w:t>
      </w:r>
      <w:r w:rsidR="00593800" w:rsidRPr="00593800">
        <w:rPr>
          <w:rFonts w:ascii="Times New Roman" w:eastAsia="Times New Roman" w:hAnsi="Times New Roman" w:cs="Times New Roman"/>
          <w:sz w:val="28"/>
          <w:szCs w:val="28"/>
        </w:rPr>
        <w:t>ПАО «</w:t>
      </w:r>
      <w:proofErr w:type="gramStart"/>
      <w:r w:rsidR="00593800" w:rsidRPr="00593800">
        <w:rPr>
          <w:rFonts w:ascii="Times New Roman" w:eastAsia="Times New Roman" w:hAnsi="Times New Roman" w:cs="Times New Roman"/>
          <w:sz w:val="28"/>
          <w:szCs w:val="28"/>
        </w:rPr>
        <w:t>Газпром»</w:t>
      </w:r>
      <w:r w:rsidR="00593800">
        <w:rPr>
          <w:rFonts w:ascii="Times New Roman" w:eastAsia="Times New Roman" w:hAnsi="Times New Roman" w:cs="Times New Roman"/>
          <w:sz w:val="28"/>
          <w:szCs w:val="28"/>
        </w:rPr>
        <w:t xml:space="preserve">  на</w:t>
      </w:r>
      <w:proofErr w:type="gramEnd"/>
      <w:r w:rsidR="00593800">
        <w:rPr>
          <w:rFonts w:ascii="Times New Roman" w:eastAsia="Times New Roman" w:hAnsi="Times New Roman" w:cs="Times New Roman"/>
          <w:sz w:val="28"/>
          <w:szCs w:val="28"/>
        </w:rPr>
        <w:t xml:space="preserve"> </w:t>
      </w:r>
      <w:r w:rsidRPr="00B42A20">
        <w:rPr>
          <w:rFonts w:ascii="Times New Roman" w:eastAsia="Times New Roman" w:hAnsi="Times New Roman" w:cs="Times New Roman"/>
          <w:sz w:val="28"/>
          <w:szCs w:val="28"/>
        </w:rPr>
        <w:t>конец 20</w:t>
      </w:r>
      <w:r w:rsidR="00593800">
        <w:rPr>
          <w:rFonts w:ascii="Times New Roman" w:eastAsia="Times New Roman" w:hAnsi="Times New Roman" w:cs="Times New Roman"/>
          <w:sz w:val="28"/>
          <w:szCs w:val="28"/>
        </w:rPr>
        <w:t>21</w:t>
      </w:r>
      <w:r w:rsidRPr="00B42A20">
        <w:rPr>
          <w:rFonts w:ascii="Times New Roman" w:eastAsia="Times New Roman" w:hAnsi="Times New Roman" w:cs="Times New Roman"/>
          <w:sz w:val="28"/>
          <w:szCs w:val="28"/>
        </w:rPr>
        <w:t xml:space="preserve"> года. </w:t>
      </w:r>
    </w:p>
    <w:p w14:paraId="5B1C9D7A"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Следовательно, расчет произведем исходя из того, что </w:t>
      </w:r>
      <w:r w:rsidR="007E62B8">
        <w:rPr>
          <w:rFonts w:ascii="Times New Roman" w:eastAsia="Times New Roman" w:hAnsi="Times New Roman" w:cs="Times New Roman"/>
          <w:sz w:val="28"/>
          <w:szCs w:val="28"/>
        </w:rPr>
        <w:t>дебитор</w:t>
      </w:r>
      <w:r w:rsidRPr="00B42A20">
        <w:rPr>
          <w:rFonts w:ascii="Times New Roman" w:eastAsia="Times New Roman" w:hAnsi="Times New Roman" w:cs="Times New Roman"/>
          <w:sz w:val="28"/>
          <w:szCs w:val="28"/>
        </w:rPr>
        <w:t xml:space="preserve"> (</w:t>
      </w:r>
      <w:r w:rsidR="00681B3A" w:rsidRPr="00681B3A">
        <w:rPr>
          <w:rFonts w:ascii="Times New Roman" w:eastAsia="Times New Roman" w:hAnsi="Times New Roman" w:cs="Times New Roman"/>
          <w:sz w:val="28"/>
          <w:szCs w:val="28"/>
        </w:rPr>
        <w:t>ООО «</w:t>
      </w:r>
      <w:proofErr w:type="spellStart"/>
      <w:r w:rsidR="00681B3A" w:rsidRPr="00681B3A">
        <w:rPr>
          <w:rFonts w:ascii="Times New Roman" w:eastAsia="Times New Roman" w:hAnsi="Times New Roman" w:cs="Times New Roman"/>
          <w:sz w:val="28"/>
          <w:szCs w:val="28"/>
        </w:rPr>
        <w:t>Промтехресурс</w:t>
      </w:r>
      <w:proofErr w:type="spellEnd"/>
      <w:r w:rsidR="00681B3A" w:rsidRPr="00681B3A">
        <w:rPr>
          <w:rFonts w:ascii="Times New Roman" w:eastAsia="Times New Roman" w:hAnsi="Times New Roman" w:cs="Times New Roman"/>
          <w:sz w:val="28"/>
          <w:szCs w:val="28"/>
        </w:rPr>
        <w:t>»</w:t>
      </w:r>
      <w:r w:rsidRPr="00B42A20">
        <w:rPr>
          <w:rFonts w:ascii="Times New Roman" w:eastAsia="Times New Roman" w:hAnsi="Times New Roman" w:cs="Times New Roman"/>
          <w:sz w:val="28"/>
          <w:szCs w:val="28"/>
        </w:rPr>
        <w:t xml:space="preserve">) расплатится с банком спустя </w:t>
      </w:r>
      <w:r w:rsidR="007E62B8">
        <w:rPr>
          <w:rFonts w:ascii="Times New Roman" w:eastAsia="Times New Roman" w:hAnsi="Times New Roman" w:cs="Times New Roman"/>
          <w:sz w:val="28"/>
          <w:szCs w:val="28"/>
        </w:rPr>
        <w:t>158</w:t>
      </w:r>
      <w:r w:rsidRPr="00B42A20">
        <w:rPr>
          <w:rFonts w:ascii="Times New Roman" w:eastAsia="Times New Roman" w:hAnsi="Times New Roman" w:cs="Times New Roman"/>
          <w:sz w:val="28"/>
          <w:szCs w:val="28"/>
        </w:rPr>
        <w:t xml:space="preserve"> дней.</w:t>
      </w:r>
    </w:p>
    <w:p w14:paraId="73D234AC" w14:textId="77777777" w:rsidR="009370EB" w:rsidRPr="00B42A20" w:rsidRDefault="00681B3A" w:rsidP="009370EB">
      <w:pPr>
        <w:shd w:val="clear" w:color="auto" w:fill="FFFFFF"/>
        <w:spacing w:after="0" w:line="360" w:lineRule="auto"/>
        <w:ind w:firstLine="709"/>
        <w:jc w:val="both"/>
        <w:rPr>
          <w:rFonts w:ascii="Times New Roman" w:eastAsia="Times New Roman" w:hAnsi="Times New Roman" w:cs="Times New Roman"/>
          <w:sz w:val="28"/>
          <w:szCs w:val="28"/>
        </w:rPr>
      </w:pPr>
      <w:r w:rsidRPr="00681B3A">
        <w:rPr>
          <w:rFonts w:ascii="Times New Roman" w:eastAsia="Times New Roman" w:hAnsi="Times New Roman" w:cs="Times New Roman"/>
          <w:sz w:val="28"/>
          <w:szCs w:val="28"/>
        </w:rPr>
        <w:lastRenderedPageBreak/>
        <w:t>ПАО «Газпром»</w:t>
      </w:r>
      <w:r w:rsidR="009370EB" w:rsidRPr="00B42A20">
        <w:rPr>
          <w:rFonts w:ascii="Times New Roman" w:eastAsia="Times New Roman" w:hAnsi="Times New Roman" w:cs="Times New Roman"/>
          <w:sz w:val="28"/>
          <w:szCs w:val="28"/>
        </w:rPr>
        <w:t xml:space="preserve"> понесет следующие затраты, связанные с финансированием под уступку требования:</w:t>
      </w:r>
    </w:p>
    <w:p w14:paraId="623BA524"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проценты за пользование денежными средствами - 0,025% суммы финансирования (за каждый день с даты зачисления средств на расчетный счет организации по дату уплаты денег покупателем банку);</w:t>
      </w:r>
    </w:p>
    <w:p w14:paraId="253B3D42"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 плата за обработку документов - </w:t>
      </w:r>
      <w:r w:rsidR="008F0493">
        <w:rPr>
          <w:rFonts w:ascii="Times New Roman" w:eastAsia="Times New Roman" w:hAnsi="Times New Roman" w:cs="Times New Roman"/>
          <w:sz w:val="28"/>
          <w:szCs w:val="28"/>
        </w:rPr>
        <w:t>2</w:t>
      </w:r>
      <w:r w:rsidRPr="00B42A20">
        <w:rPr>
          <w:rFonts w:ascii="Times New Roman" w:eastAsia="Times New Roman" w:hAnsi="Times New Roman" w:cs="Times New Roman"/>
          <w:sz w:val="28"/>
          <w:szCs w:val="28"/>
        </w:rPr>
        <w:t>60 руб. за один документ;</w:t>
      </w:r>
    </w:p>
    <w:p w14:paraId="6CA9C505"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комиссия за факторинговое обслуживание - 9% суммы уступленной дебиторской азадолженности (единовременно в момент возврата денег банку).</w:t>
      </w:r>
    </w:p>
    <w:p w14:paraId="47F84BEC"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Таким образом, услуги, предоставляемые банком, обойдутся </w:t>
      </w:r>
      <w:r w:rsidR="00681B3A" w:rsidRPr="00681B3A">
        <w:rPr>
          <w:rFonts w:ascii="Times New Roman" w:eastAsia="Times New Roman" w:hAnsi="Times New Roman" w:cs="Times New Roman"/>
          <w:sz w:val="28"/>
          <w:szCs w:val="28"/>
        </w:rPr>
        <w:t>ПАО «Газпром»</w:t>
      </w:r>
      <w:r w:rsidRPr="00B42A20">
        <w:rPr>
          <w:rFonts w:ascii="Times New Roman" w:eastAsia="Times New Roman" w:hAnsi="Times New Roman" w:cs="Times New Roman"/>
          <w:sz w:val="28"/>
          <w:szCs w:val="28"/>
        </w:rPr>
        <w:t>:</w:t>
      </w:r>
    </w:p>
    <w:p w14:paraId="1B85875C" w14:textId="0040402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1. проценты – </w:t>
      </w:r>
      <w:r w:rsidR="008F0493">
        <w:rPr>
          <w:rFonts w:ascii="Times New Roman" w:eastAsia="Times New Roman" w:hAnsi="Times New Roman" w:cs="Times New Roman"/>
          <w:sz w:val="28"/>
          <w:szCs w:val="28"/>
        </w:rPr>
        <w:t>32 373</w:t>
      </w:r>
      <w:r w:rsidRPr="00B42A20">
        <w:rPr>
          <w:rFonts w:ascii="Times New Roman" w:eastAsia="Times New Roman" w:hAnsi="Times New Roman" w:cs="Times New Roman"/>
          <w:sz w:val="28"/>
          <w:szCs w:val="28"/>
        </w:rPr>
        <w:t xml:space="preserve"> руб. (</w:t>
      </w:r>
      <w:r w:rsidR="002E0143">
        <w:rPr>
          <w:rFonts w:ascii="Times New Roman" w:eastAsia="Times New Roman" w:hAnsi="Times New Roman" w:cs="Times New Roman"/>
          <w:sz w:val="28"/>
          <w:szCs w:val="28"/>
        </w:rPr>
        <w:t>819570</w:t>
      </w:r>
      <w:r w:rsidRPr="00B42A20">
        <w:rPr>
          <w:rFonts w:ascii="Times New Roman" w:eastAsia="Times New Roman" w:hAnsi="Times New Roman" w:cs="Times New Roman"/>
          <w:sz w:val="28"/>
          <w:szCs w:val="28"/>
        </w:rPr>
        <w:t xml:space="preserve"> руб. *0,025% *</w:t>
      </w:r>
      <w:r w:rsidR="002E0143">
        <w:rPr>
          <w:rFonts w:ascii="Times New Roman" w:eastAsia="Times New Roman" w:hAnsi="Times New Roman" w:cs="Times New Roman"/>
          <w:sz w:val="28"/>
          <w:szCs w:val="28"/>
        </w:rPr>
        <w:t>158</w:t>
      </w:r>
      <w:r w:rsidRPr="00B42A20">
        <w:rPr>
          <w:rFonts w:ascii="Times New Roman" w:eastAsia="Times New Roman" w:hAnsi="Times New Roman" w:cs="Times New Roman"/>
          <w:sz w:val="28"/>
          <w:szCs w:val="28"/>
        </w:rPr>
        <w:t xml:space="preserve"> дней);</w:t>
      </w:r>
    </w:p>
    <w:p w14:paraId="6CA69A1A"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2. банком </w:t>
      </w:r>
      <w:r w:rsidR="008F0493">
        <w:rPr>
          <w:rFonts w:ascii="Times New Roman" w:eastAsia="Times New Roman" w:hAnsi="Times New Roman" w:cs="Times New Roman"/>
          <w:sz w:val="28"/>
          <w:szCs w:val="28"/>
        </w:rPr>
        <w:t>будут</w:t>
      </w:r>
      <w:r w:rsidRPr="00B42A20">
        <w:rPr>
          <w:rFonts w:ascii="Times New Roman" w:eastAsia="Times New Roman" w:hAnsi="Times New Roman" w:cs="Times New Roman"/>
          <w:sz w:val="28"/>
          <w:szCs w:val="28"/>
        </w:rPr>
        <w:t xml:space="preserve"> обработаны </w:t>
      </w:r>
      <w:r w:rsidR="008F0493">
        <w:rPr>
          <w:rFonts w:ascii="Times New Roman" w:eastAsia="Times New Roman" w:hAnsi="Times New Roman" w:cs="Times New Roman"/>
          <w:sz w:val="28"/>
          <w:szCs w:val="28"/>
        </w:rPr>
        <w:t>пять</w:t>
      </w:r>
      <w:r w:rsidRPr="00B42A20">
        <w:rPr>
          <w:rFonts w:ascii="Times New Roman" w:eastAsia="Times New Roman" w:hAnsi="Times New Roman" w:cs="Times New Roman"/>
          <w:sz w:val="28"/>
          <w:szCs w:val="28"/>
        </w:rPr>
        <w:t xml:space="preserve"> документ</w:t>
      </w:r>
      <w:r w:rsidR="008F0493">
        <w:rPr>
          <w:rFonts w:ascii="Times New Roman" w:eastAsia="Times New Roman" w:hAnsi="Times New Roman" w:cs="Times New Roman"/>
          <w:sz w:val="28"/>
          <w:szCs w:val="28"/>
        </w:rPr>
        <w:t>ов в рамках договора</w:t>
      </w:r>
      <w:r w:rsidRPr="00B42A20">
        <w:rPr>
          <w:rFonts w:ascii="Times New Roman" w:eastAsia="Times New Roman" w:hAnsi="Times New Roman" w:cs="Times New Roman"/>
          <w:sz w:val="28"/>
          <w:szCs w:val="28"/>
        </w:rPr>
        <w:t xml:space="preserve">, за что </w:t>
      </w:r>
      <w:proofErr w:type="spellStart"/>
      <w:r w:rsidR="00681B3A" w:rsidRPr="00681B3A">
        <w:rPr>
          <w:rFonts w:ascii="Times New Roman" w:eastAsia="Times New Roman" w:hAnsi="Times New Roman" w:cs="Times New Roman"/>
          <w:sz w:val="28"/>
          <w:szCs w:val="28"/>
        </w:rPr>
        <w:t>ПАО</w:t>
      </w:r>
      <w:proofErr w:type="spellEnd"/>
      <w:r w:rsidR="00681B3A" w:rsidRPr="00681B3A">
        <w:rPr>
          <w:rFonts w:ascii="Times New Roman" w:eastAsia="Times New Roman" w:hAnsi="Times New Roman" w:cs="Times New Roman"/>
          <w:sz w:val="28"/>
          <w:szCs w:val="28"/>
        </w:rPr>
        <w:t xml:space="preserve"> «Газпром»</w:t>
      </w:r>
      <w:r w:rsidRPr="00B42A20">
        <w:rPr>
          <w:rFonts w:ascii="Times New Roman" w:eastAsia="Times New Roman" w:hAnsi="Times New Roman" w:cs="Times New Roman"/>
          <w:sz w:val="28"/>
          <w:szCs w:val="28"/>
        </w:rPr>
        <w:t xml:space="preserve"> ззаплатит </w:t>
      </w:r>
      <w:r w:rsidR="008F0493">
        <w:rPr>
          <w:rFonts w:ascii="Times New Roman" w:eastAsia="Times New Roman" w:hAnsi="Times New Roman" w:cs="Times New Roman"/>
          <w:sz w:val="28"/>
          <w:szCs w:val="28"/>
        </w:rPr>
        <w:t>1300</w:t>
      </w:r>
      <w:r w:rsidRPr="00B42A20">
        <w:rPr>
          <w:rFonts w:ascii="Times New Roman" w:eastAsia="Times New Roman" w:hAnsi="Times New Roman" w:cs="Times New Roman"/>
          <w:sz w:val="28"/>
          <w:szCs w:val="28"/>
        </w:rPr>
        <w:t xml:space="preserve"> руб.;</w:t>
      </w:r>
    </w:p>
    <w:p w14:paraId="4E72D4CD" w14:textId="3BE9BB03"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3. плата за администрирование – </w:t>
      </w:r>
      <w:r w:rsidR="00BF73BF">
        <w:rPr>
          <w:rFonts w:ascii="Times New Roman" w:eastAsia="Times New Roman" w:hAnsi="Times New Roman" w:cs="Times New Roman"/>
          <w:sz w:val="28"/>
          <w:szCs w:val="28"/>
        </w:rPr>
        <w:t>86 778</w:t>
      </w:r>
      <w:r w:rsidRPr="00B42A20">
        <w:rPr>
          <w:rFonts w:ascii="Times New Roman" w:eastAsia="Times New Roman" w:hAnsi="Times New Roman" w:cs="Times New Roman"/>
          <w:sz w:val="28"/>
          <w:szCs w:val="28"/>
        </w:rPr>
        <w:t xml:space="preserve"> руб. (</w:t>
      </w:r>
      <w:r w:rsidR="00BF73BF">
        <w:rPr>
          <w:rFonts w:ascii="Times New Roman" w:eastAsia="Times New Roman" w:hAnsi="Times New Roman" w:cs="Times New Roman"/>
          <w:sz w:val="28"/>
          <w:szCs w:val="28"/>
        </w:rPr>
        <w:t>964200</w:t>
      </w:r>
      <w:r w:rsidRPr="00B42A20">
        <w:rPr>
          <w:rFonts w:ascii="Times New Roman" w:eastAsia="Times New Roman" w:hAnsi="Times New Roman" w:cs="Times New Roman"/>
          <w:sz w:val="28"/>
          <w:szCs w:val="28"/>
        </w:rPr>
        <w:t>руб. * 9%).</w:t>
      </w:r>
    </w:p>
    <w:p w14:paraId="265A91F8"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Общая сумма расходов </w:t>
      </w:r>
      <w:r w:rsidR="00681B3A" w:rsidRPr="00681B3A">
        <w:rPr>
          <w:rFonts w:ascii="Times New Roman" w:eastAsia="Times New Roman" w:hAnsi="Times New Roman" w:cs="Times New Roman"/>
          <w:sz w:val="28"/>
          <w:szCs w:val="28"/>
        </w:rPr>
        <w:t>ПАО «Газпром»</w:t>
      </w:r>
      <w:r w:rsidRPr="00B42A20">
        <w:rPr>
          <w:rFonts w:ascii="Times New Roman" w:eastAsia="Times New Roman" w:hAnsi="Times New Roman" w:cs="Times New Roman"/>
          <w:sz w:val="28"/>
          <w:szCs w:val="28"/>
        </w:rPr>
        <w:t xml:space="preserve"> составит:</w:t>
      </w:r>
    </w:p>
    <w:p w14:paraId="7B9E943B"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0DA9A408"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B42A20">
        <w:rPr>
          <w:rFonts w:ascii="Times New Roman" w:eastAsia="Times New Roman" w:hAnsi="Times New Roman" w:cs="Times New Roman"/>
          <w:sz w:val="28"/>
          <w:szCs w:val="28"/>
        </w:rPr>
        <w:t>Р</w:t>
      </w:r>
      <w:r w:rsidRPr="00B42A20">
        <w:rPr>
          <w:rFonts w:ascii="Times New Roman" w:eastAsia="Times New Roman" w:hAnsi="Times New Roman" w:cs="Times New Roman"/>
          <w:sz w:val="28"/>
          <w:szCs w:val="28"/>
          <w:vertAlign w:val="subscript"/>
        </w:rPr>
        <w:t>факторинг</w:t>
      </w:r>
      <w:proofErr w:type="spellEnd"/>
      <w:r w:rsidRPr="00B42A20">
        <w:rPr>
          <w:rFonts w:ascii="Times New Roman" w:eastAsia="Times New Roman" w:hAnsi="Times New Roman" w:cs="Times New Roman"/>
          <w:sz w:val="28"/>
          <w:szCs w:val="28"/>
          <w:vertAlign w:val="subscript"/>
        </w:rPr>
        <w:t>.</w:t>
      </w:r>
      <w:r w:rsidRPr="00B42A20">
        <w:rPr>
          <w:rFonts w:ascii="Times New Roman" w:eastAsia="Times New Roman" w:hAnsi="Times New Roman" w:cs="Times New Roman"/>
          <w:sz w:val="28"/>
          <w:szCs w:val="28"/>
        </w:rPr>
        <w:t xml:space="preserve"> = </w:t>
      </w:r>
      <w:r w:rsidR="00F96681">
        <w:rPr>
          <w:rFonts w:ascii="Times New Roman" w:eastAsia="Times New Roman" w:hAnsi="Times New Roman" w:cs="Times New Roman"/>
          <w:sz w:val="28"/>
          <w:szCs w:val="28"/>
        </w:rPr>
        <w:t xml:space="preserve">32 373 + 1300 + </w:t>
      </w:r>
      <w:r w:rsidR="0059764B">
        <w:rPr>
          <w:rFonts w:ascii="Times New Roman" w:eastAsia="Times New Roman" w:hAnsi="Times New Roman" w:cs="Times New Roman"/>
          <w:sz w:val="28"/>
          <w:szCs w:val="28"/>
        </w:rPr>
        <w:t>86778</w:t>
      </w:r>
      <w:r w:rsidR="00F96681">
        <w:rPr>
          <w:rFonts w:ascii="Times New Roman" w:eastAsia="Times New Roman" w:hAnsi="Times New Roman" w:cs="Times New Roman"/>
          <w:sz w:val="28"/>
          <w:szCs w:val="28"/>
        </w:rPr>
        <w:t xml:space="preserve"> = </w:t>
      </w:r>
      <w:r w:rsidR="0059764B">
        <w:rPr>
          <w:rFonts w:ascii="Times New Roman" w:eastAsia="Times New Roman" w:hAnsi="Times New Roman" w:cs="Times New Roman"/>
          <w:sz w:val="28"/>
          <w:szCs w:val="28"/>
        </w:rPr>
        <w:t>120 451</w:t>
      </w:r>
      <w:r w:rsidRPr="00B42A20">
        <w:rPr>
          <w:rFonts w:ascii="Times New Roman" w:eastAsia="Times New Roman" w:hAnsi="Times New Roman" w:cs="Times New Roman"/>
          <w:sz w:val="28"/>
          <w:szCs w:val="28"/>
        </w:rPr>
        <w:t xml:space="preserve"> рубл</w:t>
      </w:r>
      <w:r w:rsidR="00BF73BF">
        <w:rPr>
          <w:rFonts w:ascii="Times New Roman" w:eastAsia="Times New Roman" w:hAnsi="Times New Roman" w:cs="Times New Roman"/>
          <w:sz w:val="28"/>
          <w:szCs w:val="28"/>
        </w:rPr>
        <w:t>я</w:t>
      </w:r>
      <w:r w:rsidRPr="00B42A20">
        <w:rPr>
          <w:rFonts w:ascii="Times New Roman" w:eastAsia="Times New Roman" w:hAnsi="Times New Roman" w:cs="Times New Roman"/>
          <w:sz w:val="28"/>
          <w:szCs w:val="28"/>
        </w:rPr>
        <w:t>.</w:t>
      </w:r>
    </w:p>
    <w:p w14:paraId="40067F7A"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54554A7A"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 После поступления денег от </w:t>
      </w:r>
      <w:r w:rsidR="00BF73BF" w:rsidRPr="00BF73BF">
        <w:rPr>
          <w:rFonts w:ascii="Times New Roman" w:eastAsia="Times New Roman" w:hAnsi="Times New Roman" w:cs="Times New Roman"/>
          <w:sz w:val="28"/>
          <w:szCs w:val="28"/>
        </w:rPr>
        <w:t>ООО «</w:t>
      </w:r>
      <w:proofErr w:type="spellStart"/>
      <w:r w:rsidR="00BF73BF" w:rsidRPr="00BF73BF">
        <w:rPr>
          <w:rFonts w:ascii="Times New Roman" w:eastAsia="Times New Roman" w:hAnsi="Times New Roman" w:cs="Times New Roman"/>
          <w:sz w:val="28"/>
          <w:szCs w:val="28"/>
        </w:rPr>
        <w:t>Промтехресурс</w:t>
      </w:r>
      <w:proofErr w:type="spellEnd"/>
      <w:r w:rsidR="00BF73BF" w:rsidRPr="00BF73BF">
        <w:rPr>
          <w:rFonts w:ascii="Times New Roman" w:eastAsia="Times New Roman" w:hAnsi="Times New Roman" w:cs="Times New Roman"/>
          <w:sz w:val="28"/>
          <w:szCs w:val="28"/>
        </w:rPr>
        <w:t>»)</w:t>
      </w:r>
      <w:r w:rsidR="00BF73BF">
        <w:rPr>
          <w:rFonts w:ascii="Times New Roman" w:eastAsia="Times New Roman" w:hAnsi="Times New Roman" w:cs="Times New Roman"/>
          <w:sz w:val="28"/>
          <w:szCs w:val="28"/>
        </w:rPr>
        <w:t xml:space="preserve"> </w:t>
      </w:r>
      <w:r w:rsidRPr="00B42A20">
        <w:rPr>
          <w:rFonts w:ascii="Times New Roman" w:eastAsia="Times New Roman" w:hAnsi="Times New Roman" w:cs="Times New Roman"/>
          <w:sz w:val="28"/>
          <w:szCs w:val="28"/>
        </w:rPr>
        <w:t xml:space="preserve">банк перечислит </w:t>
      </w:r>
      <w:proofErr w:type="spellStart"/>
      <w:r w:rsidR="00681B3A" w:rsidRPr="00681B3A">
        <w:rPr>
          <w:rFonts w:ascii="Times New Roman" w:eastAsia="Times New Roman" w:hAnsi="Times New Roman" w:cs="Times New Roman"/>
          <w:sz w:val="28"/>
          <w:szCs w:val="28"/>
        </w:rPr>
        <w:t>ПАО</w:t>
      </w:r>
      <w:proofErr w:type="spellEnd"/>
      <w:r w:rsidR="00681B3A" w:rsidRPr="00681B3A">
        <w:rPr>
          <w:rFonts w:ascii="Times New Roman" w:eastAsia="Times New Roman" w:hAnsi="Times New Roman" w:cs="Times New Roman"/>
          <w:sz w:val="28"/>
          <w:szCs w:val="28"/>
        </w:rPr>
        <w:t xml:space="preserve"> «Газпром»</w:t>
      </w:r>
      <w:r w:rsidR="00681B3A">
        <w:rPr>
          <w:rFonts w:ascii="Times New Roman" w:eastAsia="Times New Roman" w:hAnsi="Times New Roman" w:cs="Times New Roman"/>
          <w:sz w:val="28"/>
          <w:szCs w:val="28"/>
        </w:rPr>
        <w:t xml:space="preserve"> </w:t>
      </w:r>
      <w:r w:rsidRPr="00B42A20">
        <w:rPr>
          <w:rFonts w:ascii="Times New Roman" w:eastAsia="Times New Roman" w:hAnsi="Times New Roman" w:cs="Times New Roman"/>
          <w:sz w:val="28"/>
          <w:szCs w:val="28"/>
        </w:rPr>
        <w:t xml:space="preserve">средств за минусом комиссий: </w:t>
      </w:r>
    </w:p>
    <w:p w14:paraId="67171E62"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7CF57D4D" w14:textId="77777777" w:rsidR="009370EB" w:rsidRPr="00B42A20"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B42A20">
        <w:rPr>
          <w:rFonts w:ascii="Times New Roman" w:eastAsia="Times New Roman" w:hAnsi="Times New Roman" w:cs="Times New Roman"/>
          <w:sz w:val="28"/>
          <w:szCs w:val="28"/>
        </w:rPr>
        <w:t>ДЗ</w:t>
      </w:r>
      <w:r w:rsidRPr="00B42A20">
        <w:rPr>
          <w:rFonts w:ascii="Times New Roman" w:eastAsia="Times New Roman" w:hAnsi="Times New Roman" w:cs="Times New Roman"/>
          <w:sz w:val="28"/>
          <w:szCs w:val="28"/>
          <w:vertAlign w:val="subscript"/>
        </w:rPr>
        <w:t>переч</w:t>
      </w:r>
      <w:proofErr w:type="spellEnd"/>
      <w:r w:rsidRPr="00B42A20">
        <w:rPr>
          <w:rFonts w:ascii="Times New Roman" w:eastAsia="Times New Roman" w:hAnsi="Times New Roman" w:cs="Times New Roman"/>
          <w:sz w:val="28"/>
          <w:szCs w:val="28"/>
          <w:vertAlign w:val="subscript"/>
        </w:rPr>
        <w:t xml:space="preserve">. </w:t>
      </w:r>
      <w:r w:rsidRPr="00B42A20">
        <w:rPr>
          <w:rFonts w:ascii="Times New Roman" w:eastAsia="Times New Roman" w:hAnsi="Times New Roman" w:cs="Times New Roman"/>
          <w:sz w:val="28"/>
          <w:szCs w:val="28"/>
        </w:rPr>
        <w:t>=</w:t>
      </w:r>
      <w:r w:rsidRPr="00B42A20">
        <w:rPr>
          <w:rFonts w:ascii="Times New Roman" w:eastAsia="Times New Roman" w:hAnsi="Times New Roman" w:cs="Times New Roman"/>
          <w:sz w:val="28"/>
          <w:szCs w:val="28"/>
          <w:vertAlign w:val="subscript"/>
        </w:rPr>
        <w:t xml:space="preserve"> </w:t>
      </w:r>
      <w:r w:rsidR="0059764B">
        <w:rPr>
          <w:rFonts w:ascii="Times New Roman" w:eastAsia="Times New Roman" w:hAnsi="Times New Roman" w:cs="Times New Roman"/>
          <w:sz w:val="28"/>
          <w:szCs w:val="28"/>
        </w:rPr>
        <w:t>964 200 – 819570 – 120 451</w:t>
      </w:r>
      <w:r w:rsidRPr="00B42A20">
        <w:rPr>
          <w:rFonts w:ascii="Times New Roman" w:eastAsia="Times New Roman" w:hAnsi="Times New Roman" w:cs="Times New Roman"/>
          <w:sz w:val="28"/>
          <w:szCs w:val="28"/>
        </w:rPr>
        <w:t xml:space="preserve"> = </w:t>
      </w:r>
      <w:r w:rsidR="0059764B">
        <w:rPr>
          <w:rFonts w:ascii="Times New Roman" w:eastAsia="Times New Roman" w:hAnsi="Times New Roman" w:cs="Times New Roman"/>
          <w:sz w:val="28"/>
          <w:szCs w:val="28"/>
        </w:rPr>
        <w:t>23 999</w:t>
      </w:r>
      <w:r w:rsidRPr="00B42A20">
        <w:rPr>
          <w:rFonts w:ascii="Times New Roman" w:eastAsia="Times New Roman" w:hAnsi="Times New Roman" w:cs="Times New Roman"/>
          <w:sz w:val="28"/>
          <w:szCs w:val="28"/>
        </w:rPr>
        <w:t xml:space="preserve"> рубл</w:t>
      </w:r>
      <w:r w:rsidR="0059764B">
        <w:rPr>
          <w:rFonts w:ascii="Times New Roman" w:eastAsia="Times New Roman" w:hAnsi="Times New Roman" w:cs="Times New Roman"/>
          <w:sz w:val="28"/>
          <w:szCs w:val="28"/>
        </w:rPr>
        <w:t>ей</w:t>
      </w:r>
    </w:p>
    <w:p w14:paraId="70D4DBCB"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r w:rsidRPr="00B42A20">
        <w:rPr>
          <w:rFonts w:ascii="Times New Roman" w:eastAsia="Times New Roman" w:hAnsi="Times New Roman" w:cs="Times New Roman"/>
          <w:sz w:val="28"/>
          <w:szCs w:val="28"/>
        </w:rPr>
        <w:t xml:space="preserve">Таким образом, экономический эффект в виде сокращения дебиторской задолженности и высвобождения денежных средств за вычетом расходов составит: </w:t>
      </w:r>
    </w:p>
    <w:p w14:paraId="3100FF72" w14:textId="77777777" w:rsidR="0051238E" w:rsidRPr="00B42A20"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0E548645" w14:textId="77777777" w:rsidR="009370EB" w:rsidRDefault="009370EB" w:rsidP="009370EB">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B42A20">
        <w:rPr>
          <w:rFonts w:ascii="Times New Roman" w:eastAsia="Times New Roman" w:hAnsi="Times New Roman" w:cs="Times New Roman"/>
          <w:sz w:val="28"/>
          <w:szCs w:val="28"/>
        </w:rPr>
        <w:t>В</w:t>
      </w:r>
      <w:r w:rsidRPr="00B42A20">
        <w:rPr>
          <w:rFonts w:ascii="Times New Roman" w:eastAsia="Times New Roman" w:hAnsi="Times New Roman" w:cs="Times New Roman"/>
          <w:sz w:val="28"/>
          <w:szCs w:val="28"/>
          <w:vertAlign w:val="subscript"/>
        </w:rPr>
        <w:t>д</w:t>
      </w:r>
      <w:proofErr w:type="spellEnd"/>
      <w:r w:rsidRPr="00B42A20">
        <w:rPr>
          <w:rFonts w:ascii="Times New Roman" w:eastAsia="Times New Roman" w:hAnsi="Times New Roman" w:cs="Times New Roman"/>
          <w:sz w:val="28"/>
          <w:szCs w:val="28"/>
          <w:vertAlign w:val="subscript"/>
        </w:rPr>
        <w:t>/с.</w:t>
      </w:r>
      <w:r w:rsidRPr="00B42A20">
        <w:rPr>
          <w:rFonts w:ascii="Times New Roman" w:eastAsia="Times New Roman" w:hAnsi="Times New Roman" w:cs="Times New Roman"/>
          <w:sz w:val="28"/>
          <w:szCs w:val="28"/>
        </w:rPr>
        <w:t xml:space="preserve">   = </w:t>
      </w:r>
      <w:r w:rsidR="00931E03">
        <w:rPr>
          <w:rFonts w:ascii="Times New Roman" w:eastAsia="Times New Roman" w:hAnsi="Times New Roman" w:cs="Times New Roman"/>
          <w:sz w:val="28"/>
          <w:szCs w:val="28"/>
        </w:rPr>
        <w:t>819 570 + 23 999</w:t>
      </w:r>
      <w:r w:rsidRPr="00B42A20">
        <w:rPr>
          <w:rFonts w:ascii="Times New Roman" w:eastAsia="Times New Roman" w:hAnsi="Times New Roman" w:cs="Times New Roman"/>
          <w:sz w:val="28"/>
          <w:szCs w:val="28"/>
        </w:rPr>
        <w:t xml:space="preserve"> </w:t>
      </w:r>
      <w:proofErr w:type="gramStart"/>
      <w:r w:rsidRPr="00B42A20">
        <w:rPr>
          <w:rFonts w:ascii="Times New Roman" w:eastAsia="Times New Roman" w:hAnsi="Times New Roman" w:cs="Times New Roman"/>
          <w:sz w:val="28"/>
          <w:szCs w:val="28"/>
        </w:rPr>
        <w:t xml:space="preserve">=  </w:t>
      </w:r>
      <w:r w:rsidR="00931E03">
        <w:rPr>
          <w:rFonts w:ascii="Times New Roman" w:eastAsia="Times New Roman" w:hAnsi="Times New Roman" w:cs="Times New Roman"/>
          <w:sz w:val="28"/>
          <w:szCs w:val="28"/>
        </w:rPr>
        <w:t>843</w:t>
      </w:r>
      <w:proofErr w:type="gramEnd"/>
      <w:r w:rsidR="00931E03">
        <w:rPr>
          <w:rFonts w:ascii="Times New Roman" w:eastAsia="Times New Roman" w:hAnsi="Times New Roman" w:cs="Times New Roman"/>
          <w:sz w:val="28"/>
          <w:szCs w:val="28"/>
        </w:rPr>
        <w:t xml:space="preserve"> 569</w:t>
      </w:r>
      <w:r w:rsidRPr="00B42A20">
        <w:rPr>
          <w:rFonts w:ascii="Times New Roman" w:eastAsia="Times New Roman" w:hAnsi="Times New Roman" w:cs="Times New Roman"/>
          <w:sz w:val="28"/>
          <w:szCs w:val="28"/>
        </w:rPr>
        <w:t xml:space="preserve">  рублей </w:t>
      </w:r>
    </w:p>
    <w:p w14:paraId="5BAFADFA" w14:textId="77777777" w:rsidR="0051238E" w:rsidRDefault="0051238E" w:rsidP="009370EB">
      <w:pPr>
        <w:shd w:val="clear" w:color="auto" w:fill="FFFFFF"/>
        <w:spacing w:after="0" w:line="360" w:lineRule="auto"/>
        <w:ind w:firstLine="709"/>
        <w:jc w:val="both"/>
        <w:rPr>
          <w:rFonts w:ascii="Times New Roman" w:eastAsia="Times New Roman" w:hAnsi="Times New Roman" w:cs="Times New Roman"/>
          <w:sz w:val="28"/>
          <w:szCs w:val="28"/>
        </w:rPr>
      </w:pPr>
    </w:p>
    <w:p w14:paraId="7DB23066" w14:textId="77777777" w:rsidR="0051238E" w:rsidRDefault="00650243" w:rsidP="009370EB">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w:t>
      </w:r>
      <w:r w:rsidR="00335072">
        <w:rPr>
          <w:rFonts w:ascii="Times New Roman" w:eastAsia="Times New Roman" w:hAnsi="Times New Roman" w:cs="Times New Roman"/>
          <w:sz w:val="28"/>
          <w:szCs w:val="28"/>
        </w:rPr>
        <w:t xml:space="preserve"> образом, реализация предложенных </w:t>
      </w:r>
      <w:r>
        <w:rPr>
          <w:rFonts w:ascii="Times New Roman" w:eastAsia="Times New Roman" w:hAnsi="Times New Roman" w:cs="Times New Roman"/>
          <w:sz w:val="28"/>
          <w:szCs w:val="28"/>
        </w:rPr>
        <w:t>мероприятий</w:t>
      </w:r>
      <w:r w:rsidR="00335072">
        <w:rPr>
          <w:rFonts w:ascii="Times New Roman" w:eastAsia="Times New Roman" w:hAnsi="Times New Roman" w:cs="Times New Roman"/>
          <w:sz w:val="28"/>
          <w:szCs w:val="28"/>
        </w:rPr>
        <w:t xml:space="preserve">, как в части </w:t>
      </w:r>
      <w:r>
        <w:rPr>
          <w:rFonts w:ascii="Times New Roman" w:eastAsia="Times New Roman" w:hAnsi="Times New Roman" w:cs="Times New Roman"/>
          <w:sz w:val="28"/>
          <w:szCs w:val="28"/>
        </w:rPr>
        <w:t>совершенствования</w:t>
      </w:r>
      <w:r w:rsidR="00335072">
        <w:rPr>
          <w:rFonts w:ascii="Times New Roman" w:eastAsia="Times New Roman" w:hAnsi="Times New Roman" w:cs="Times New Roman"/>
          <w:sz w:val="28"/>
          <w:szCs w:val="28"/>
        </w:rPr>
        <w:t xml:space="preserve"> работы с дебиторской </w:t>
      </w:r>
      <w:r>
        <w:rPr>
          <w:rFonts w:ascii="Times New Roman" w:eastAsia="Times New Roman" w:hAnsi="Times New Roman" w:cs="Times New Roman"/>
          <w:sz w:val="28"/>
          <w:szCs w:val="28"/>
        </w:rPr>
        <w:t>задолженностью</w:t>
      </w:r>
      <w:r w:rsidR="00335072">
        <w:rPr>
          <w:rFonts w:ascii="Times New Roman" w:eastAsia="Times New Roman" w:hAnsi="Times New Roman" w:cs="Times New Roman"/>
          <w:sz w:val="28"/>
          <w:szCs w:val="28"/>
        </w:rPr>
        <w:t xml:space="preserve">, так и в </w:t>
      </w:r>
      <w:r>
        <w:rPr>
          <w:rFonts w:ascii="Times New Roman" w:eastAsia="Times New Roman" w:hAnsi="Times New Roman" w:cs="Times New Roman"/>
          <w:sz w:val="28"/>
          <w:szCs w:val="28"/>
        </w:rPr>
        <w:t>части</w:t>
      </w:r>
      <w:r w:rsidR="003350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ускорения</w:t>
      </w:r>
      <w:r w:rsidR="003350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оборачиваемости</w:t>
      </w:r>
      <w:r w:rsidR="00335072">
        <w:rPr>
          <w:rFonts w:ascii="Times New Roman" w:eastAsia="Times New Roman" w:hAnsi="Times New Roman" w:cs="Times New Roman"/>
          <w:sz w:val="28"/>
          <w:szCs w:val="28"/>
        </w:rPr>
        <w:t xml:space="preserve"> об</w:t>
      </w:r>
      <w:r>
        <w:rPr>
          <w:rFonts w:ascii="Times New Roman" w:eastAsia="Times New Roman" w:hAnsi="Times New Roman" w:cs="Times New Roman"/>
          <w:sz w:val="28"/>
          <w:szCs w:val="28"/>
        </w:rPr>
        <w:t>о</w:t>
      </w:r>
      <w:r w:rsidR="00335072">
        <w:rPr>
          <w:rFonts w:ascii="Times New Roman" w:eastAsia="Times New Roman" w:hAnsi="Times New Roman" w:cs="Times New Roman"/>
          <w:sz w:val="28"/>
          <w:szCs w:val="28"/>
        </w:rPr>
        <w:t xml:space="preserve">ротных активов и </w:t>
      </w:r>
      <w:r>
        <w:rPr>
          <w:rFonts w:ascii="Times New Roman" w:eastAsia="Times New Roman" w:hAnsi="Times New Roman" w:cs="Times New Roman"/>
          <w:sz w:val="28"/>
          <w:szCs w:val="28"/>
        </w:rPr>
        <w:t>повышения</w:t>
      </w:r>
      <w:r w:rsidR="00335072">
        <w:rPr>
          <w:rFonts w:ascii="Times New Roman" w:eastAsia="Times New Roman" w:hAnsi="Times New Roman" w:cs="Times New Roman"/>
          <w:sz w:val="28"/>
          <w:szCs w:val="28"/>
        </w:rPr>
        <w:t xml:space="preserve"> уровня </w:t>
      </w:r>
      <w:r>
        <w:rPr>
          <w:rFonts w:ascii="Times New Roman" w:eastAsia="Times New Roman" w:hAnsi="Times New Roman" w:cs="Times New Roman"/>
          <w:sz w:val="28"/>
          <w:szCs w:val="28"/>
        </w:rPr>
        <w:t>платежеспособности</w:t>
      </w:r>
      <w:r w:rsidR="00335072">
        <w:rPr>
          <w:rFonts w:ascii="Times New Roman" w:eastAsia="Times New Roman" w:hAnsi="Times New Roman" w:cs="Times New Roman"/>
          <w:sz w:val="28"/>
          <w:szCs w:val="28"/>
        </w:rPr>
        <w:t xml:space="preserve"> позволит ПАО «Газпром» повысить </w:t>
      </w:r>
      <w:r>
        <w:rPr>
          <w:rFonts w:ascii="Times New Roman" w:eastAsia="Times New Roman" w:hAnsi="Times New Roman" w:cs="Times New Roman"/>
          <w:sz w:val="28"/>
          <w:szCs w:val="28"/>
        </w:rPr>
        <w:t>эффективность</w:t>
      </w:r>
      <w:r w:rsidR="003350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финансовой</w:t>
      </w:r>
      <w:r w:rsidR="003350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деятельности</w:t>
      </w:r>
      <w:r w:rsidR="00335072">
        <w:rPr>
          <w:rFonts w:ascii="Times New Roman" w:eastAsia="Times New Roman" w:hAnsi="Times New Roman" w:cs="Times New Roman"/>
          <w:sz w:val="28"/>
          <w:szCs w:val="28"/>
        </w:rPr>
        <w:t xml:space="preserve"> и решить проблемы, выявленные в результате анализа.</w:t>
      </w:r>
    </w:p>
    <w:p w14:paraId="37F7BE6E" w14:textId="77777777" w:rsidR="0051238E" w:rsidRDefault="0051238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65141BA" w14:textId="44356CC9" w:rsidR="006C48AE" w:rsidRDefault="004E74FC" w:rsidP="009D73BA">
      <w:pPr>
        <w:pStyle w:val="1"/>
        <w:spacing w:line="360" w:lineRule="auto"/>
        <w:ind w:right="851"/>
        <w:jc w:val="center"/>
        <w:rPr>
          <w:rFonts w:ascii="Times New Roman" w:eastAsia="Times New Roman" w:hAnsi="Times New Roman" w:cs="Times New Roman"/>
          <w:color w:val="000000"/>
        </w:rPr>
      </w:pPr>
      <w:bookmarkStart w:id="14" w:name="_Toc121342664"/>
      <w:r>
        <w:rPr>
          <w:rFonts w:ascii="Times New Roman" w:eastAsia="Times New Roman" w:hAnsi="Times New Roman" w:cs="Times New Roman"/>
          <w:color w:val="000000"/>
        </w:rPr>
        <w:lastRenderedPageBreak/>
        <w:t>ЗАКЛЮЧЕНИЕ</w:t>
      </w:r>
      <w:bookmarkEnd w:id="14"/>
    </w:p>
    <w:p w14:paraId="66534626" w14:textId="77777777" w:rsidR="00CC643C" w:rsidRPr="00CC643C" w:rsidRDefault="00CC643C" w:rsidP="00CC643C"/>
    <w:p w14:paraId="23B707E2" w14:textId="77777777" w:rsidR="006C48AE" w:rsidRDefault="006C48AE">
      <w:pPr>
        <w:spacing w:after="0" w:line="360" w:lineRule="auto"/>
        <w:ind w:firstLine="709"/>
        <w:jc w:val="both"/>
        <w:rPr>
          <w:rFonts w:ascii="Times New Roman" w:eastAsia="Times New Roman" w:hAnsi="Times New Roman" w:cs="Times New Roman"/>
          <w:sz w:val="28"/>
          <w:szCs w:val="28"/>
        </w:rPr>
      </w:pPr>
    </w:p>
    <w:p w14:paraId="3FB6280B"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 результате данной работы был осуществлен финансовый анализ бухгалтерской отчетности ПАО «Газпром» по 4-м её основным формам, а именно был проведен анализ бухгалтерского баланса, отчета о финансовых результатах, отчета об изменениях капитала и отчета о движении денежных средств за 2019-2021 гг.</w:t>
      </w:r>
    </w:p>
    <w:p w14:paraId="4A2AF7A6"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баланса показал, что в структуре активов преобладают внеоборотные активы, а именно основные средства, что обусловлено спецификой деятельности нефтяных компаний. Пассив баланса на 65% состоит из собственных источников финансирования, что говорит о том, что компания является финансово устойчивой. При этом в динамике наблюдается увеличение использования заемных средств, что на данном этапе не является критичным показателем, но в дальнейшем может усилить финансовую зависимость компании от других организаций. </w:t>
      </w:r>
    </w:p>
    <w:p w14:paraId="6D6B8A59"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отчета о финансовых результатах показал, что деятельность компании является прибыльной, что подтверждается коэффициентами рентабельности организации. При этом были выявлены проблемы организации в 2020 году в связи со снижением величины чистой прибыли, вызванной отрицательным сальдо по прочим операциям в связи с большими расходами по курсовым разницам, а также платежами в связи с нарушением условий договоров и иными штрафными санкциями, направленными в адрес компании. В 2021 году наблюдается повышение эффективности деятельности компании, что подтверждается увеличением выручки от продаж в 3 раза, увеличением чистой прибыли в 5 раз. Анализ деловой активности показывает, что компания расширяет свою деятельность, увеличивает эффективность использования капитала и сокращает затраты, что подтверждается </w:t>
      </w:r>
      <w:r>
        <w:rPr>
          <w:rFonts w:ascii="Times New Roman" w:eastAsia="Times New Roman" w:hAnsi="Times New Roman" w:cs="Times New Roman"/>
          <w:sz w:val="28"/>
          <w:szCs w:val="28"/>
        </w:rPr>
        <w:lastRenderedPageBreak/>
        <w:t>выполнением золотого правила экономики, а также положительной динамикой коэффициентов оборачиваемости организации.</w:t>
      </w:r>
    </w:p>
    <w:p w14:paraId="51A75983" w14:textId="77777777" w:rsidR="006C48AE" w:rsidRDefault="004E74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Компания испытывает недостаток наиболее ликвидных активов для погашения наиболее срочных обязательств, а также недостаток постоянных пассивов для погашения медленно реализуемых активов. </w:t>
      </w:r>
    </w:p>
    <w:p w14:paraId="1C21E70F" w14:textId="77777777" w:rsidR="006C48AE" w:rsidRDefault="004E74FC">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определенных направлений для предприятия в целях поддержания и укрепления его позиций на рынке следует начать с рассмотрения наиболее типичных мер.</w:t>
      </w:r>
    </w:p>
    <w:p w14:paraId="5BA9F693" w14:textId="77777777" w:rsidR="006C48AE" w:rsidRDefault="004E74F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путей улучшения финансового состояния выступает внедрение кредитной политики для уменьшения объема дебиторской задолженности. Кредитная политика связана с регламентацией предоставления кредита и порядком взыскания дебиторской задолженности. Данный прием связан с оценкой контрагентов при помощи группировки их по платежной дисциплине и объемам заказов. Если клиент является значимым, т.е. приобретает большие объемы и не задерживает оплату, то его можно поощрить льготными условиями.  Кредитная политика также связана с формированием кредитного регламента, состоящего из порядка действий с заключения договора и до подачи судебного иска при невыполнении обязательств. </w:t>
      </w:r>
    </w:p>
    <w:p w14:paraId="22655439" w14:textId="77777777" w:rsidR="006C48AE" w:rsidRDefault="006C48AE"/>
    <w:p w14:paraId="245CDAFC" w14:textId="77777777" w:rsidR="006C48AE" w:rsidRDefault="004E74FC">
      <w:pPr>
        <w:rPr>
          <w:rFonts w:ascii="Times New Roman" w:eastAsia="Times New Roman" w:hAnsi="Times New Roman" w:cs="Times New Roman"/>
          <w:b/>
          <w:sz w:val="28"/>
          <w:szCs w:val="28"/>
        </w:rPr>
      </w:pPr>
      <w:r>
        <w:br w:type="page"/>
      </w:r>
    </w:p>
    <w:p w14:paraId="1949CBF1" w14:textId="77777777" w:rsidR="006C48AE" w:rsidRDefault="004E74FC" w:rsidP="009D73BA">
      <w:pPr>
        <w:pStyle w:val="1"/>
        <w:spacing w:before="200" w:after="200" w:line="360" w:lineRule="auto"/>
        <w:ind w:right="851"/>
        <w:jc w:val="center"/>
        <w:rPr>
          <w:rFonts w:ascii="Times New Roman" w:eastAsia="Times New Roman" w:hAnsi="Times New Roman" w:cs="Times New Roman"/>
          <w:color w:val="000000"/>
        </w:rPr>
      </w:pPr>
      <w:bookmarkStart w:id="15" w:name="_xc3lmut9mtta" w:colFirst="0" w:colLast="0"/>
      <w:bookmarkStart w:id="16" w:name="_Toc121342665"/>
      <w:bookmarkEnd w:id="15"/>
      <w:r>
        <w:rPr>
          <w:rFonts w:ascii="Times New Roman" w:eastAsia="Times New Roman" w:hAnsi="Times New Roman" w:cs="Times New Roman"/>
          <w:color w:val="000000"/>
        </w:rPr>
        <w:lastRenderedPageBreak/>
        <w:t>СПИСОК ИСПОЛЬЗОВАННЫХ ИСТОЧНИКОВ</w:t>
      </w:r>
      <w:bookmarkEnd w:id="16"/>
    </w:p>
    <w:p w14:paraId="3F21A096" w14:textId="77777777" w:rsidR="006C48AE" w:rsidRDefault="006C48AE"/>
    <w:p w14:paraId="081A71A3" w14:textId="77777777" w:rsidR="00231D50" w:rsidRPr="00231D50" w:rsidRDefault="00231D50" w:rsidP="00231D50">
      <w:pPr>
        <w:numPr>
          <w:ilvl w:val="0"/>
          <w:numId w:val="1"/>
        </w:numPr>
        <w:spacing w:after="0" w:line="360" w:lineRule="auto"/>
        <w:ind w:left="0" w:firstLine="709"/>
        <w:jc w:val="both"/>
        <w:rPr>
          <w:rFonts w:ascii="Times New Roman" w:eastAsia="Times New Roman" w:hAnsi="Times New Roman" w:cs="Times New Roman"/>
          <w:sz w:val="28"/>
          <w:szCs w:val="28"/>
        </w:rPr>
      </w:pPr>
      <w:r w:rsidRPr="00231D50">
        <w:rPr>
          <w:rFonts w:ascii="Times New Roman" w:eastAsia="Times New Roman" w:hAnsi="Times New Roman" w:cs="Times New Roman"/>
          <w:sz w:val="28"/>
          <w:szCs w:val="28"/>
        </w:rPr>
        <w:t>Федеральный закон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Собрание законодательства РФ</w:t>
      </w:r>
    </w:p>
    <w:p w14:paraId="79863734" w14:textId="77777777" w:rsidR="00231D50" w:rsidRPr="00231D50" w:rsidRDefault="00231D50" w:rsidP="00231D50">
      <w:pPr>
        <w:numPr>
          <w:ilvl w:val="0"/>
          <w:numId w:val="1"/>
        </w:numPr>
        <w:spacing w:after="0" w:line="360" w:lineRule="auto"/>
        <w:ind w:left="0" w:firstLine="709"/>
        <w:jc w:val="both"/>
        <w:rPr>
          <w:rFonts w:ascii="Times New Roman" w:eastAsia="Times New Roman" w:hAnsi="Times New Roman" w:cs="Times New Roman"/>
          <w:sz w:val="28"/>
          <w:szCs w:val="28"/>
        </w:rPr>
      </w:pPr>
      <w:r w:rsidRPr="00231D50">
        <w:rPr>
          <w:rFonts w:ascii="Times New Roman" w:eastAsia="Times New Roman" w:hAnsi="Times New Roman" w:cs="Times New Roman"/>
          <w:sz w:val="28"/>
          <w:szCs w:val="28"/>
        </w:rPr>
        <w:t>Федеральный закон от 06.12.2011 N 402-ФЗ (ред. от 26.07.2019) "О бухгалтерском учете" (с изм. и доп., вступ. в силу с 01.01.2020) // Собрание законодательства РФ</w:t>
      </w:r>
    </w:p>
    <w:p w14:paraId="2D00C08D"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Баканов М. И., Мельник М. В., Шеремет А. Д. Теория экономического анализа. М.: Финансы и статистика, 2018. – 583 с.</w:t>
      </w:r>
    </w:p>
    <w:p w14:paraId="10E7A20A"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Бернстайн Л. А. Анализ финансовой отчетности: теория, практика и интерпретация / пер. с англ. М.: Финансы и статистика, 2020. – 229 с.</w:t>
      </w:r>
    </w:p>
    <w:p w14:paraId="214011AE"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Войтоловский</w:t>
      </w:r>
      <w:proofErr w:type="spellEnd"/>
      <w:r>
        <w:rPr>
          <w:rFonts w:ascii="Times New Roman" w:eastAsia="Times New Roman" w:hAnsi="Times New Roman" w:cs="Times New Roman"/>
          <w:sz w:val="28"/>
          <w:szCs w:val="28"/>
        </w:rPr>
        <w:t xml:space="preserve"> Н. В. Экономический анализ: основы теории, комплексный анализ хозяйственной деятельности </w:t>
      </w:r>
      <w:proofErr w:type="gramStart"/>
      <w:r>
        <w:rPr>
          <w:rFonts w:ascii="Times New Roman" w:eastAsia="Times New Roman" w:hAnsi="Times New Roman" w:cs="Times New Roman"/>
          <w:sz w:val="28"/>
          <w:szCs w:val="28"/>
        </w:rPr>
        <w:t>организации :</w:t>
      </w:r>
      <w:proofErr w:type="gramEnd"/>
      <w:r>
        <w:rPr>
          <w:rFonts w:ascii="Times New Roman" w:eastAsia="Times New Roman" w:hAnsi="Times New Roman" w:cs="Times New Roman"/>
          <w:sz w:val="28"/>
          <w:szCs w:val="28"/>
        </w:rPr>
        <w:t xml:space="preserve"> учебник. – </w:t>
      </w:r>
      <w:proofErr w:type="gramStart"/>
      <w:r>
        <w:rPr>
          <w:rFonts w:ascii="Times New Roman" w:eastAsia="Times New Roman" w:hAnsi="Times New Roman" w:cs="Times New Roman"/>
          <w:sz w:val="28"/>
          <w:szCs w:val="28"/>
        </w:rPr>
        <w:t>М.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Юрайт</w:t>
      </w:r>
      <w:proofErr w:type="spellEnd"/>
      <w:r>
        <w:rPr>
          <w:rFonts w:ascii="Times New Roman" w:eastAsia="Times New Roman" w:hAnsi="Times New Roman" w:cs="Times New Roman"/>
          <w:sz w:val="28"/>
          <w:szCs w:val="28"/>
        </w:rPr>
        <w:t xml:space="preserve"> , 2019. - 507 с.</w:t>
      </w:r>
    </w:p>
    <w:p w14:paraId="31F314F5"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Гинзбург А. И. Экономический анализ: учебник. СПб.: Питер, 2021. – 695 с.</w:t>
      </w:r>
    </w:p>
    <w:p w14:paraId="5577BF30"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Донцова Л. В., Никифорова Н. А. Анализ финансовой отчетности. 5-е изд. М.: Дело и Сервис, 2021. – 515 с.</w:t>
      </w:r>
    </w:p>
    <w:p w14:paraId="6DEE7983"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Кадыров Ф. Н. Общие понятия о финансовом анализе // Менеджер здравоохранения. - 2021. - N 5. - С. 45-52.</w:t>
      </w:r>
    </w:p>
    <w:p w14:paraId="70B89810"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Качковский</w:t>
      </w:r>
      <w:proofErr w:type="spellEnd"/>
      <w:r>
        <w:rPr>
          <w:rFonts w:ascii="Times New Roman" w:eastAsia="Times New Roman" w:hAnsi="Times New Roman" w:cs="Times New Roman"/>
          <w:sz w:val="28"/>
          <w:szCs w:val="28"/>
        </w:rPr>
        <w:t xml:space="preserve"> С. В. Содержание и задачи экономического планирования и анализа деятельности предприятия // Экономист. - 2021. - № 4. - С. 29-34.</w:t>
      </w:r>
    </w:p>
    <w:p w14:paraId="6938D979" w14:textId="6EEE6A45" w:rsidR="006C48AE" w:rsidRPr="00165FE7" w:rsidRDefault="004E74FC" w:rsidP="003821DC">
      <w:pPr>
        <w:numPr>
          <w:ilvl w:val="0"/>
          <w:numId w:val="1"/>
        </w:numPr>
        <w:spacing w:after="0" w:line="360" w:lineRule="auto"/>
        <w:ind w:left="0" w:firstLine="709"/>
        <w:jc w:val="both"/>
        <w:rPr>
          <w:rFonts w:ascii="Times New Roman" w:eastAsia="Times New Roman" w:hAnsi="Times New Roman" w:cs="Times New Roman"/>
          <w:sz w:val="28"/>
          <w:szCs w:val="28"/>
        </w:rPr>
      </w:pPr>
      <w:r w:rsidRPr="00165FE7">
        <w:rPr>
          <w:rFonts w:ascii="Times New Roman" w:eastAsia="Times New Roman" w:hAnsi="Times New Roman" w:cs="Times New Roman"/>
          <w:sz w:val="28"/>
          <w:szCs w:val="28"/>
        </w:rPr>
        <w:t xml:space="preserve">  Ковалев В. В., Волкова О. Н. Анализ хозяйственной деятельности предприятия. М.: </w:t>
      </w:r>
      <w:proofErr w:type="spellStart"/>
      <w:r w:rsidRPr="00165FE7">
        <w:rPr>
          <w:rFonts w:ascii="Times New Roman" w:eastAsia="Times New Roman" w:hAnsi="Times New Roman" w:cs="Times New Roman"/>
          <w:sz w:val="28"/>
          <w:szCs w:val="28"/>
        </w:rPr>
        <w:t>Велби</w:t>
      </w:r>
      <w:proofErr w:type="spellEnd"/>
      <w:r w:rsidRPr="00165FE7">
        <w:rPr>
          <w:rFonts w:ascii="Times New Roman" w:eastAsia="Times New Roman" w:hAnsi="Times New Roman" w:cs="Times New Roman"/>
          <w:sz w:val="28"/>
          <w:szCs w:val="28"/>
        </w:rPr>
        <w:t>; Проспект, 2021. – 350 с.</w:t>
      </w:r>
    </w:p>
    <w:p w14:paraId="44FBF8F5"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Когденко</w:t>
      </w:r>
      <w:proofErr w:type="spellEnd"/>
      <w:r>
        <w:rPr>
          <w:rFonts w:ascii="Times New Roman" w:eastAsia="Times New Roman" w:hAnsi="Times New Roman" w:cs="Times New Roman"/>
          <w:sz w:val="28"/>
          <w:szCs w:val="28"/>
        </w:rPr>
        <w:t xml:space="preserve"> В. Г. Экономический анализ: учебное пособие. М.: ЮНИТИ-ДАНА, 2019. – 213 с.</w:t>
      </w:r>
    </w:p>
    <w:p w14:paraId="1053CE72" w14:textId="15A4A404" w:rsidR="006C48AE" w:rsidRPr="00165FE7" w:rsidRDefault="004E74FC" w:rsidP="00144609">
      <w:pPr>
        <w:numPr>
          <w:ilvl w:val="0"/>
          <w:numId w:val="1"/>
        </w:numPr>
        <w:spacing w:after="0" w:line="360" w:lineRule="auto"/>
        <w:ind w:left="0" w:firstLine="709"/>
        <w:jc w:val="both"/>
        <w:rPr>
          <w:rFonts w:ascii="Times New Roman" w:eastAsia="Times New Roman" w:hAnsi="Times New Roman" w:cs="Times New Roman"/>
          <w:sz w:val="28"/>
          <w:szCs w:val="28"/>
        </w:rPr>
      </w:pPr>
      <w:r w:rsidRPr="00165FE7">
        <w:rPr>
          <w:rFonts w:ascii="Times New Roman" w:eastAsia="Times New Roman" w:hAnsi="Times New Roman" w:cs="Times New Roman"/>
          <w:sz w:val="28"/>
          <w:szCs w:val="28"/>
        </w:rPr>
        <w:t xml:space="preserve">   Любушин Н. П., Лещева В. Б., Сучков Е.А. Теория экономического анализа: учеб. пособие. М.: </w:t>
      </w:r>
      <w:proofErr w:type="spellStart"/>
      <w:r w:rsidRPr="00165FE7">
        <w:rPr>
          <w:rFonts w:ascii="Times New Roman" w:eastAsia="Times New Roman" w:hAnsi="Times New Roman" w:cs="Times New Roman"/>
          <w:sz w:val="28"/>
          <w:szCs w:val="28"/>
        </w:rPr>
        <w:t>Экономистъ</w:t>
      </w:r>
      <w:proofErr w:type="spellEnd"/>
      <w:r w:rsidRPr="00165FE7">
        <w:rPr>
          <w:rFonts w:ascii="Times New Roman" w:eastAsia="Times New Roman" w:hAnsi="Times New Roman" w:cs="Times New Roman"/>
          <w:sz w:val="28"/>
          <w:szCs w:val="28"/>
        </w:rPr>
        <w:t>, 20</w:t>
      </w:r>
      <w:r w:rsidR="00165FE7" w:rsidRPr="00165FE7">
        <w:rPr>
          <w:rFonts w:ascii="Times New Roman" w:eastAsia="Times New Roman" w:hAnsi="Times New Roman" w:cs="Times New Roman"/>
          <w:sz w:val="28"/>
          <w:szCs w:val="28"/>
        </w:rPr>
        <w:t>20</w:t>
      </w:r>
      <w:r w:rsidRPr="00165FE7">
        <w:rPr>
          <w:rFonts w:ascii="Times New Roman" w:eastAsia="Times New Roman" w:hAnsi="Times New Roman" w:cs="Times New Roman"/>
          <w:sz w:val="28"/>
          <w:szCs w:val="28"/>
        </w:rPr>
        <w:t>. – 500 с.</w:t>
      </w:r>
    </w:p>
    <w:p w14:paraId="7A239C44"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Маркарьян</w:t>
      </w:r>
      <w:proofErr w:type="spellEnd"/>
      <w:r>
        <w:rPr>
          <w:rFonts w:ascii="Times New Roman" w:eastAsia="Times New Roman" w:hAnsi="Times New Roman" w:cs="Times New Roman"/>
          <w:sz w:val="28"/>
          <w:szCs w:val="28"/>
        </w:rPr>
        <w:t xml:space="preserve"> Э. А., Герасименко Г. П., </w:t>
      </w:r>
      <w:proofErr w:type="spellStart"/>
      <w:r>
        <w:rPr>
          <w:rFonts w:ascii="Times New Roman" w:eastAsia="Times New Roman" w:hAnsi="Times New Roman" w:cs="Times New Roman"/>
          <w:sz w:val="28"/>
          <w:szCs w:val="28"/>
        </w:rPr>
        <w:t>Маркарьян</w:t>
      </w:r>
      <w:proofErr w:type="spellEnd"/>
      <w:r>
        <w:rPr>
          <w:rFonts w:ascii="Times New Roman" w:eastAsia="Times New Roman" w:hAnsi="Times New Roman" w:cs="Times New Roman"/>
          <w:sz w:val="28"/>
          <w:szCs w:val="28"/>
        </w:rPr>
        <w:t xml:space="preserve"> С. Э. Экономический анализ хозяйственной деятельности. М.: Феникс, 2021. – 349 с.</w:t>
      </w:r>
    </w:p>
    <w:p w14:paraId="432EC707"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Окушко Н. Б. Анализ затрат и принятие управленческих решений // Экономика здравоохранения. - 2019. - № 8. - С. 16-25.</w:t>
      </w:r>
    </w:p>
    <w:p w14:paraId="749627CA"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Пласкова</w:t>
      </w:r>
      <w:proofErr w:type="spellEnd"/>
      <w:r>
        <w:rPr>
          <w:rFonts w:ascii="Times New Roman" w:eastAsia="Times New Roman" w:hAnsi="Times New Roman" w:cs="Times New Roman"/>
          <w:sz w:val="28"/>
          <w:szCs w:val="28"/>
        </w:rPr>
        <w:t xml:space="preserve"> Н. С. Экономический анализ: учебник. М.: Эксмо, 2019. – 609 с.</w:t>
      </w:r>
    </w:p>
    <w:p w14:paraId="3F815ED4"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Савицкая Г. В. Анализ хозяйственной деятельности предприятия: учебник. М.: Инфра-М, 2021. – 633 с.</w:t>
      </w:r>
    </w:p>
    <w:p w14:paraId="611FBAF6"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Савицкая Г. В. Теория анализа хозяйственной деятельности: учебное пособие. М.: Инфра-М, 2021. –229 с.</w:t>
      </w:r>
    </w:p>
    <w:p w14:paraId="1954684E"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Селезнева Н. Н., Ионова А. Ф. Финансовый анализ: управление финансами. М.: ЮНИТИ, 2021. – 590 с.</w:t>
      </w:r>
    </w:p>
    <w:p w14:paraId="56323241" w14:textId="65184110" w:rsidR="00EE0BD1" w:rsidRDefault="00EE0BD1" w:rsidP="00BE5E19">
      <w:pPr>
        <w:numPr>
          <w:ilvl w:val="0"/>
          <w:numId w:val="1"/>
        </w:numPr>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Турманидзе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Т.У</w:t>
      </w:r>
      <w:proofErr w:type="spellEnd"/>
      <w:r>
        <w:rPr>
          <w:rFonts w:ascii="Times New Roman" w:eastAsia="Times New Roman" w:hAnsi="Times New Roman" w:cs="Times New Roman"/>
          <w:sz w:val="28"/>
          <w:szCs w:val="28"/>
        </w:rPr>
        <w:t xml:space="preserve">. Финансовый анализ: учебник. – М.: </w:t>
      </w:r>
      <w:proofErr w:type="spellStart"/>
      <w:r>
        <w:rPr>
          <w:rFonts w:ascii="Times New Roman" w:eastAsia="Times New Roman" w:hAnsi="Times New Roman" w:cs="Times New Roman"/>
          <w:sz w:val="28"/>
          <w:szCs w:val="28"/>
        </w:rPr>
        <w:t>ЮНИТИ</w:t>
      </w:r>
      <w:proofErr w:type="spellEnd"/>
      <w:r>
        <w:rPr>
          <w:rFonts w:ascii="Times New Roman" w:eastAsia="Times New Roman" w:hAnsi="Times New Roman" w:cs="Times New Roman"/>
          <w:sz w:val="28"/>
          <w:szCs w:val="28"/>
        </w:rPr>
        <w:t>-ДАНА, 20</w:t>
      </w:r>
      <w:r w:rsidR="001D40D0">
        <w:rPr>
          <w:rFonts w:ascii="Times New Roman" w:eastAsia="Times New Roman" w:hAnsi="Times New Roman" w:cs="Times New Roman"/>
          <w:sz w:val="28"/>
          <w:szCs w:val="28"/>
        </w:rPr>
        <w:t>20</w:t>
      </w:r>
      <w:bookmarkStart w:id="17" w:name="_GoBack"/>
      <w:bookmarkEnd w:id="17"/>
      <w:r>
        <w:rPr>
          <w:rFonts w:ascii="Times New Roman" w:eastAsia="Times New Roman" w:hAnsi="Times New Roman" w:cs="Times New Roman"/>
          <w:sz w:val="28"/>
          <w:szCs w:val="28"/>
        </w:rPr>
        <w:t>. – 287 с.</w:t>
      </w:r>
    </w:p>
    <w:p w14:paraId="5EBED11C"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Чалдаева</w:t>
      </w:r>
      <w:proofErr w:type="spellEnd"/>
      <w:r>
        <w:rPr>
          <w:rFonts w:ascii="Times New Roman" w:eastAsia="Times New Roman" w:hAnsi="Times New Roman" w:cs="Times New Roman"/>
          <w:sz w:val="28"/>
          <w:szCs w:val="28"/>
        </w:rPr>
        <w:t xml:space="preserve"> Л. А. Экономика </w:t>
      </w:r>
      <w:proofErr w:type="gramStart"/>
      <w:r>
        <w:rPr>
          <w:rFonts w:ascii="Times New Roman" w:eastAsia="Times New Roman" w:hAnsi="Times New Roman" w:cs="Times New Roman"/>
          <w:sz w:val="28"/>
          <w:szCs w:val="28"/>
        </w:rPr>
        <w:t>предприятия :</w:t>
      </w:r>
      <w:proofErr w:type="gramEnd"/>
      <w:r>
        <w:rPr>
          <w:rFonts w:ascii="Times New Roman" w:eastAsia="Times New Roman" w:hAnsi="Times New Roman" w:cs="Times New Roman"/>
          <w:sz w:val="28"/>
          <w:szCs w:val="28"/>
        </w:rPr>
        <w:t xml:space="preserve"> учебник. – </w:t>
      </w:r>
      <w:proofErr w:type="gramStart"/>
      <w:r>
        <w:rPr>
          <w:rFonts w:ascii="Times New Roman" w:eastAsia="Times New Roman" w:hAnsi="Times New Roman" w:cs="Times New Roman"/>
          <w:sz w:val="28"/>
          <w:szCs w:val="28"/>
        </w:rPr>
        <w:t>М.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Юрайт</w:t>
      </w:r>
      <w:proofErr w:type="spellEnd"/>
      <w:r>
        <w:rPr>
          <w:rFonts w:ascii="Times New Roman" w:eastAsia="Times New Roman" w:hAnsi="Times New Roman" w:cs="Times New Roman"/>
          <w:sz w:val="28"/>
          <w:szCs w:val="28"/>
        </w:rPr>
        <w:t xml:space="preserve"> , 2019. - 348 с.</w:t>
      </w:r>
    </w:p>
    <w:p w14:paraId="596915C8"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Шеремет А. Д. Теория экономического анализа. М.: ИНФРА-М, 2021. – 792 с.</w:t>
      </w:r>
    </w:p>
    <w:p w14:paraId="2F75881A"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Экономический анализ: ситуации, тесты, примеры, задачи, выбор оптимальных решений, финансовое прогнозирование: учеб. пособие / под ред. М. И. </w:t>
      </w:r>
      <w:proofErr w:type="spellStart"/>
      <w:r>
        <w:rPr>
          <w:rFonts w:ascii="Times New Roman" w:eastAsia="Times New Roman" w:hAnsi="Times New Roman" w:cs="Times New Roman"/>
          <w:sz w:val="28"/>
          <w:szCs w:val="28"/>
        </w:rPr>
        <w:t>Баканова</w:t>
      </w:r>
      <w:proofErr w:type="spellEnd"/>
      <w:r>
        <w:rPr>
          <w:rFonts w:ascii="Times New Roman" w:eastAsia="Times New Roman" w:hAnsi="Times New Roman" w:cs="Times New Roman"/>
          <w:sz w:val="28"/>
          <w:szCs w:val="28"/>
        </w:rPr>
        <w:t>, А. Д. Шеремета. М.: Финансы и статистика, 2021. – 708 с.</w:t>
      </w:r>
    </w:p>
    <w:p w14:paraId="4AF31D3E" w14:textId="77777777" w:rsidR="006C48AE" w:rsidRDefault="004E74FC" w:rsidP="00BE5E19">
      <w:pPr>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Экономический анализ: учеб. для вузов / под ред. Л. Т. Гиляровской. 2-е изд., доп. М.: ЮНИТИ-ДАНА, 2021. – 213 с</w:t>
      </w:r>
    </w:p>
    <w:p w14:paraId="6BB5BE85" w14:textId="77777777" w:rsidR="006C48AE" w:rsidRDefault="008C722F" w:rsidP="00691436">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sidRPr="008C722F">
        <w:rPr>
          <w:rFonts w:ascii="Times New Roman" w:eastAsia="Times New Roman" w:hAnsi="Times New Roman" w:cs="Times New Roman"/>
          <w:sz w:val="28"/>
          <w:szCs w:val="28"/>
        </w:rPr>
        <w:lastRenderedPageBreak/>
        <w:t>ПАО «Газпром»: Бухгалтерская отчетность (РСБУ) [Электронный ресурс]. – Режим доступа: https://www.</w:t>
      </w:r>
      <w:r>
        <w:rPr>
          <w:rFonts w:ascii="Times New Roman" w:eastAsia="Times New Roman" w:hAnsi="Times New Roman" w:cs="Times New Roman"/>
          <w:sz w:val="28"/>
          <w:szCs w:val="28"/>
        </w:rPr>
        <w:t>gazprom.ru/investors/disclosure</w:t>
      </w:r>
    </w:p>
    <w:p w14:paraId="365ADCD8" w14:textId="77777777" w:rsidR="00691436" w:rsidRPr="00691436" w:rsidRDefault="00691436" w:rsidP="00691436">
      <w:pPr>
        <w:pStyle w:val="af3"/>
        <w:numPr>
          <w:ilvl w:val="0"/>
          <w:numId w:val="1"/>
        </w:numPr>
        <w:spacing w:after="0" w:line="360" w:lineRule="auto"/>
        <w:ind w:left="0" w:firstLine="709"/>
        <w:jc w:val="both"/>
        <w:rPr>
          <w:rFonts w:ascii="Times New Roman" w:eastAsia="Times New Roman" w:hAnsi="Times New Roman" w:cs="Times New Roman"/>
          <w:sz w:val="28"/>
          <w:szCs w:val="28"/>
        </w:rPr>
      </w:pPr>
      <w:proofErr w:type="spellStart"/>
      <w:r w:rsidRPr="00691436">
        <w:rPr>
          <w:rFonts w:ascii="Times New Roman" w:eastAsia="Times New Roman" w:hAnsi="Times New Roman" w:cs="Times New Roman"/>
          <w:sz w:val="28"/>
          <w:szCs w:val="28"/>
        </w:rPr>
        <w:t>КомДир</w:t>
      </w:r>
      <w:proofErr w:type="spellEnd"/>
      <w:r w:rsidRPr="00691436">
        <w:rPr>
          <w:rFonts w:ascii="Times New Roman" w:eastAsia="Times New Roman" w:hAnsi="Times New Roman" w:cs="Times New Roman"/>
          <w:sz w:val="28"/>
          <w:szCs w:val="28"/>
        </w:rPr>
        <w:t>: Анализ финансовой устойчивости предприятия [Электронный ресурс]. – Режим доступа: https://www.kom-dir.ru/article/2409-analiz-finansovoy-ustoychivosti-predpriyatiya. - 20</w:t>
      </w:r>
      <w:r>
        <w:rPr>
          <w:rFonts w:ascii="Times New Roman" w:eastAsia="Times New Roman" w:hAnsi="Times New Roman" w:cs="Times New Roman"/>
          <w:sz w:val="28"/>
          <w:szCs w:val="28"/>
        </w:rPr>
        <w:t>21</w:t>
      </w:r>
    </w:p>
    <w:p w14:paraId="56D70CEE" w14:textId="77777777" w:rsidR="008C722F" w:rsidRPr="008C722F" w:rsidRDefault="00691436" w:rsidP="00691436">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и оценка ликвидности и платежеспособности </w:t>
      </w:r>
      <w:r w:rsidRPr="00691436">
        <w:rPr>
          <w:rFonts w:ascii="Times New Roman" w:eastAsia="Times New Roman" w:hAnsi="Times New Roman" w:cs="Times New Roman"/>
          <w:sz w:val="28"/>
          <w:szCs w:val="28"/>
        </w:rPr>
        <w:t>[Электронный ресурс]. – Режим доступа: https://</w:t>
      </w:r>
      <w:r w:rsidRPr="00691436">
        <w:t xml:space="preserve"> </w:t>
      </w:r>
      <w:r w:rsidRPr="00691436">
        <w:rPr>
          <w:rFonts w:ascii="Times New Roman" w:eastAsia="Times New Roman" w:hAnsi="Times New Roman" w:cs="Times New Roman"/>
          <w:sz w:val="28"/>
          <w:szCs w:val="28"/>
        </w:rPr>
        <w:t>https://afdanalyse.ru/publ/finansovyj_analiz/23. - 20</w:t>
      </w:r>
      <w:r>
        <w:rPr>
          <w:rFonts w:ascii="Times New Roman" w:eastAsia="Times New Roman" w:hAnsi="Times New Roman" w:cs="Times New Roman"/>
          <w:sz w:val="28"/>
          <w:szCs w:val="28"/>
        </w:rPr>
        <w:t>22</w:t>
      </w:r>
    </w:p>
    <w:p w14:paraId="1317E4B9" w14:textId="77777777" w:rsidR="006C48AE" w:rsidRDefault="006C48AE">
      <w:pPr>
        <w:spacing w:after="0" w:line="360" w:lineRule="auto"/>
        <w:ind w:left="1440"/>
        <w:jc w:val="both"/>
        <w:rPr>
          <w:rFonts w:ascii="Times New Roman" w:eastAsia="Times New Roman" w:hAnsi="Times New Roman" w:cs="Times New Roman"/>
          <w:sz w:val="28"/>
          <w:szCs w:val="28"/>
        </w:rPr>
      </w:pPr>
    </w:p>
    <w:p w14:paraId="16AE5404" w14:textId="77777777" w:rsidR="006C48AE" w:rsidRDefault="006C48AE">
      <w:pPr>
        <w:spacing w:after="0" w:line="360" w:lineRule="auto"/>
        <w:ind w:left="1440"/>
        <w:jc w:val="both"/>
        <w:rPr>
          <w:rFonts w:ascii="Times New Roman" w:eastAsia="Times New Roman" w:hAnsi="Times New Roman" w:cs="Times New Roman"/>
          <w:sz w:val="28"/>
          <w:szCs w:val="28"/>
        </w:rPr>
      </w:pPr>
    </w:p>
    <w:p w14:paraId="38D9E9E1" w14:textId="77777777" w:rsidR="006C48AE" w:rsidRDefault="006C48AE">
      <w:pPr>
        <w:spacing w:after="0" w:line="360" w:lineRule="auto"/>
        <w:ind w:left="1440"/>
        <w:jc w:val="both"/>
        <w:rPr>
          <w:rFonts w:ascii="Times New Roman" w:eastAsia="Times New Roman" w:hAnsi="Times New Roman" w:cs="Times New Roman"/>
          <w:sz w:val="28"/>
          <w:szCs w:val="28"/>
        </w:rPr>
      </w:pPr>
    </w:p>
    <w:p w14:paraId="1AEE4112" w14:textId="77777777" w:rsidR="006C48AE" w:rsidRDefault="006C48AE">
      <w:pPr>
        <w:spacing w:after="0" w:line="360" w:lineRule="auto"/>
        <w:ind w:left="1440"/>
        <w:jc w:val="both"/>
        <w:rPr>
          <w:rFonts w:ascii="Times New Roman" w:eastAsia="Times New Roman" w:hAnsi="Times New Roman" w:cs="Times New Roman"/>
          <w:sz w:val="28"/>
          <w:szCs w:val="28"/>
        </w:rPr>
      </w:pPr>
    </w:p>
    <w:p w14:paraId="41430B55" w14:textId="77777777" w:rsidR="006C48AE" w:rsidRDefault="006C48AE">
      <w:pPr>
        <w:spacing w:after="0" w:line="360" w:lineRule="auto"/>
        <w:ind w:left="1440"/>
        <w:jc w:val="both"/>
        <w:rPr>
          <w:rFonts w:ascii="Times New Roman" w:eastAsia="Times New Roman" w:hAnsi="Times New Roman" w:cs="Times New Roman"/>
          <w:sz w:val="28"/>
          <w:szCs w:val="28"/>
        </w:rPr>
      </w:pPr>
    </w:p>
    <w:p w14:paraId="441693C5" w14:textId="77777777" w:rsidR="006C48AE" w:rsidRDefault="006C48AE">
      <w:pPr>
        <w:pStyle w:val="1"/>
        <w:spacing w:before="0" w:line="240" w:lineRule="auto"/>
        <w:jc w:val="center"/>
        <w:rPr>
          <w:rFonts w:ascii="Times New Roman" w:eastAsia="Times New Roman" w:hAnsi="Times New Roman" w:cs="Times New Roman"/>
          <w:color w:val="000000"/>
        </w:rPr>
      </w:pPr>
      <w:bookmarkStart w:id="18" w:name="_ofynvncqdypt" w:colFirst="0" w:colLast="0"/>
      <w:bookmarkEnd w:id="18"/>
    </w:p>
    <w:p w14:paraId="312FC8E1" w14:textId="77777777" w:rsidR="006C48AE" w:rsidRDefault="006C48AE">
      <w:pPr>
        <w:pStyle w:val="1"/>
        <w:spacing w:before="0" w:line="240" w:lineRule="auto"/>
        <w:jc w:val="center"/>
        <w:rPr>
          <w:rFonts w:ascii="Times New Roman" w:eastAsia="Times New Roman" w:hAnsi="Times New Roman" w:cs="Times New Roman"/>
          <w:color w:val="000000"/>
        </w:rPr>
      </w:pPr>
      <w:bookmarkStart w:id="19" w:name="_sqt0eny3ky13" w:colFirst="0" w:colLast="0"/>
      <w:bookmarkEnd w:id="19"/>
    </w:p>
    <w:p w14:paraId="113A3130" w14:textId="77777777" w:rsidR="006C48AE" w:rsidRDefault="006C48AE">
      <w:pPr>
        <w:pStyle w:val="1"/>
        <w:spacing w:before="0" w:line="240" w:lineRule="auto"/>
        <w:jc w:val="center"/>
        <w:rPr>
          <w:rFonts w:ascii="Times New Roman" w:eastAsia="Times New Roman" w:hAnsi="Times New Roman" w:cs="Times New Roman"/>
          <w:color w:val="000000"/>
        </w:rPr>
      </w:pPr>
      <w:bookmarkStart w:id="20" w:name="_6rdm9um0kxfv" w:colFirst="0" w:colLast="0"/>
      <w:bookmarkEnd w:id="20"/>
    </w:p>
    <w:p w14:paraId="007DC2ED" w14:textId="77777777" w:rsidR="006C48AE" w:rsidRDefault="006C48AE">
      <w:pPr>
        <w:pStyle w:val="1"/>
        <w:spacing w:before="0" w:line="240" w:lineRule="auto"/>
        <w:jc w:val="center"/>
        <w:rPr>
          <w:rFonts w:ascii="Times New Roman" w:eastAsia="Times New Roman" w:hAnsi="Times New Roman" w:cs="Times New Roman"/>
          <w:color w:val="000000"/>
        </w:rPr>
      </w:pPr>
      <w:bookmarkStart w:id="21" w:name="_v4e2ax2x2mhu" w:colFirst="0" w:colLast="0"/>
      <w:bookmarkEnd w:id="21"/>
    </w:p>
    <w:p w14:paraId="73ABB252" w14:textId="77777777" w:rsidR="006C48AE" w:rsidRDefault="006C48AE">
      <w:pPr>
        <w:pStyle w:val="1"/>
        <w:spacing w:before="0" w:line="240" w:lineRule="auto"/>
        <w:jc w:val="center"/>
        <w:rPr>
          <w:rFonts w:ascii="Times New Roman" w:eastAsia="Times New Roman" w:hAnsi="Times New Roman" w:cs="Times New Roman"/>
          <w:color w:val="000000"/>
        </w:rPr>
      </w:pPr>
      <w:bookmarkStart w:id="22" w:name="_uyglqfvgdhd4" w:colFirst="0" w:colLast="0"/>
      <w:bookmarkEnd w:id="22"/>
    </w:p>
    <w:p w14:paraId="1CE4E4C9" w14:textId="77777777" w:rsidR="006C48AE" w:rsidRDefault="006C48AE">
      <w:pPr>
        <w:pStyle w:val="1"/>
        <w:spacing w:before="0" w:line="240" w:lineRule="auto"/>
        <w:jc w:val="center"/>
        <w:rPr>
          <w:rFonts w:ascii="Times New Roman" w:eastAsia="Times New Roman" w:hAnsi="Times New Roman" w:cs="Times New Roman"/>
          <w:color w:val="000000"/>
        </w:rPr>
      </w:pPr>
      <w:bookmarkStart w:id="23" w:name="_cbv7afqxm3th" w:colFirst="0" w:colLast="0"/>
      <w:bookmarkEnd w:id="23"/>
    </w:p>
    <w:p w14:paraId="1429AEBE" w14:textId="739837AB" w:rsidR="006C48AE" w:rsidRDefault="006C48AE"/>
    <w:p w14:paraId="319C9DA6" w14:textId="6058ACF7" w:rsidR="00E04C86" w:rsidRDefault="00E04C86"/>
    <w:p w14:paraId="44F05A65" w14:textId="53C8A64A" w:rsidR="00E04C86" w:rsidRDefault="00E04C86"/>
    <w:p w14:paraId="53A0374E" w14:textId="44767DAF" w:rsidR="00E04C86" w:rsidRDefault="00E04C86"/>
    <w:p w14:paraId="10C06DF5" w14:textId="4146F924" w:rsidR="00E04C86" w:rsidRDefault="00E04C86"/>
    <w:p w14:paraId="5AD0A933" w14:textId="77777777" w:rsidR="00E04C86" w:rsidRDefault="00E04C86"/>
    <w:p w14:paraId="1E215996" w14:textId="11F8028A" w:rsidR="006C48AE" w:rsidRDefault="006C48AE">
      <w:pPr>
        <w:pStyle w:val="1"/>
        <w:spacing w:before="0" w:line="240" w:lineRule="auto"/>
        <w:jc w:val="center"/>
        <w:rPr>
          <w:rFonts w:ascii="Times New Roman" w:eastAsia="Times New Roman" w:hAnsi="Times New Roman" w:cs="Times New Roman"/>
          <w:color w:val="000000"/>
        </w:rPr>
      </w:pPr>
      <w:bookmarkStart w:id="24" w:name="_sl1v1sanzrhr" w:colFirst="0" w:colLast="0"/>
      <w:bookmarkEnd w:id="24"/>
    </w:p>
    <w:p w14:paraId="72862905" w14:textId="1FE08A32" w:rsidR="00E04C86" w:rsidRDefault="00E04C86" w:rsidP="00E04C86"/>
    <w:p w14:paraId="042270DE" w14:textId="385099D0" w:rsidR="00E04C86" w:rsidRDefault="00E04C86" w:rsidP="00E04C86"/>
    <w:p w14:paraId="07299E00" w14:textId="629F2CE1" w:rsidR="00E04C86" w:rsidRDefault="00E04C86" w:rsidP="00E04C86"/>
    <w:p w14:paraId="0F89AD80" w14:textId="2FD1C159" w:rsidR="00E04C86" w:rsidRDefault="00E04C86" w:rsidP="00E04C86"/>
    <w:p w14:paraId="1CF32F80" w14:textId="78FF37C9" w:rsidR="00E04C86" w:rsidRDefault="00E04C86" w:rsidP="00E04C86"/>
    <w:p w14:paraId="720C1460" w14:textId="5476988A" w:rsidR="00E04C86" w:rsidRDefault="00E04C86" w:rsidP="00E04C86"/>
    <w:p w14:paraId="64C6D51A" w14:textId="3AEA20A9" w:rsidR="00E04C86" w:rsidRDefault="00E04C86" w:rsidP="00E04C86"/>
    <w:p w14:paraId="42F3C18B" w14:textId="1C54DCA5" w:rsidR="00E04C86" w:rsidRDefault="00E04C86" w:rsidP="00E04C86"/>
    <w:p w14:paraId="7EA17609" w14:textId="133A3E25" w:rsidR="00E04C86" w:rsidRDefault="00E04C86" w:rsidP="00E04C86"/>
    <w:p w14:paraId="3C6EC31F" w14:textId="77777777" w:rsidR="00E04C86" w:rsidRDefault="00E04C86" w:rsidP="00E04C86"/>
    <w:p w14:paraId="00768991" w14:textId="4B41A174" w:rsidR="006C48AE" w:rsidRDefault="006C48AE" w:rsidP="00A548EF">
      <w:pPr>
        <w:pStyle w:val="1"/>
        <w:spacing w:before="0" w:line="240" w:lineRule="auto"/>
        <w:rPr>
          <w:rFonts w:ascii="Times New Roman" w:eastAsia="Times New Roman" w:hAnsi="Times New Roman" w:cs="Times New Roman"/>
          <w:color w:val="000000"/>
        </w:rPr>
      </w:pPr>
      <w:bookmarkStart w:id="25" w:name="_pqregt2ycj59" w:colFirst="0" w:colLast="0"/>
      <w:bookmarkEnd w:id="25"/>
    </w:p>
    <w:p w14:paraId="2FDBBE9A" w14:textId="77777777" w:rsidR="00A548EF" w:rsidRPr="00A548EF" w:rsidRDefault="00A548EF" w:rsidP="00A548EF"/>
    <w:p w14:paraId="5E882A62" w14:textId="7EC84A64" w:rsidR="006C48AE" w:rsidRDefault="004E74FC" w:rsidP="009D73BA">
      <w:pPr>
        <w:pStyle w:val="1"/>
        <w:spacing w:before="0" w:line="240" w:lineRule="auto"/>
        <w:ind w:right="851"/>
        <w:jc w:val="center"/>
        <w:rPr>
          <w:rFonts w:ascii="Times New Roman" w:eastAsia="Times New Roman" w:hAnsi="Times New Roman" w:cs="Times New Roman"/>
          <w:color w:val="000000"/>
          <w:sz w:val="40"/>
          <w:szCs w:val="40"/>
        </w:rPr>
      </w:pPr>
      <w:bookmarkStart w:id="26" w:name="_Toc121342666"/>
      <w:bookmarkStart w:id="27" w:name="_f6loy6vhnphi"/>
      <w:bookmarkEnd w:id="27"/>
      <w:r>
        <w:rPr>
          <w:rFonts w:ascii="Times New Roman" w:eastAsia="Times New Roman" w:hAnsi="Times New Roman" w:cs="Times New Roman"/>
          <w:color w:val="000000"/>
          <w:sz w:val="40"/>
          <w:szCs w:val="40"/>
        </w:rPr>
        <w:t>ПРИЛОЖЕНИЯ</w:t>
      </w:r>
      <w:bookmarkEnd w:id="26"/>
    </w:p>
    <w:p w14:paraId="28CEDFF9" w14:textId="77777777" w:rsidR="006C48AE" w:rsidRDefault="006C48AE">
      <w:pPr>
        <w:rPr>
          <w:sz w:val="40"/>
          <w:szCs w:val="40"/>
        </w:rPr>
      </w:pPr>
    </w:p>
    <w:p w14:paraId="237327C1" w14:textId="77777777" w:rsidR="006C48AE" w:rsidRDefault="004E74FC">
      <w:pPr>
        <w:pStyle w:val="1"/>
        <w:spacing w:before="0" w:line="240" w:lineRule="auto"/>
      </w:pPr>
      <w:bookmarkStart w:id="28" w:name="_Toc121342667"/>
      <w:r>
        <w:rPr>
          <w:rFonts w:ascii="Times New Roman" w:eastAsia="Times New Roman" w:hAnsi="Times New Roman" w:cs="Times New Roman"/>
          <w:color w:val="000000"/>
        </w:rPr>
        <w:lastRenderedPageBreak/>
        <w:t>Приложение A. Бухгалтерский баланс ПАО «Газпром» на 31.12.2021 г.</w:t>
      </w:r>
      <w:bookmarkEnd w:id="28"/>
      <w:r>
        <w:t xml:space="preserve"> </w:t>
      </w:r>
    </w:p>
    <w:p w14:paraId="13C8D7DB" w14:textId="77777777" w:rsidR="006C48AE" w:rsidRDefault="004E74FC">
      <w:r>
        <w:rPr>
          <w:noProof/>
        </w:rPr>
        <w:drawing>
          <wp:inline distT="0" distB="0" distL="0" distR="0" wp14:anchorId="36698C56" wp14:editId="0A3985E7">
            <wp:extent cx="5456389" cy="7724775"/>
            <wp:effectExtent l="0" t="0" r="0" b="0"/>
            <wp:docPr id="10" name="image10.jpg" descr="Годовая бухгалтерская (финансовая) отчетность ПАО Газпром за 2021 год_page-0009"/>
            <wp:cNvGraphicFramePr/>
            <a:graphic xmlns:a="http://schemas.openxmlformats.org/drawingml/2006/main">
              <a:graphicData uri="http://schemas.openxmlformats.org/drawingml/2006/picture">
                <pic:pic xmlns:pic="http://schemas.openxmlformats.org/drawingml/2006/picture">
                  <pic:nvPicPr>
                    <pic:cNvPr id="0" name="image10.jpg" descr="Годовая бухгалтерская (финансовая) отчетность ПАО Газпром за 2021 год_page-0009"/>
                    <pic:cNvPicPr preferRelativeResize="0"/>
                  </pic:nvPicPr>
                  <pic:blipFill>
                    <a:blip r:embed="rId15"/>
                    <a:srcRect/>
                    <a:stretch>
                      <a:fillRect/>
                    </a:stretch>
                  </pic:blipFill>
                  <pic:spPr>
                    <a:xfrm>
                      <a:off x="0" y="0"/>
                      <a:ext cx="5456389" cy="7724775"/>
                    </a:xfrm>
                    <a:prstGeom prst="rect">
                      <a:avLst/>
                    </a:prstGeom>
                    <a:ln/>
                  </pic:spPr>
                </pic:pic>
              </a:graphicData>
            </a:graphic>
          </wp:inline>
        </w:drawing>
      </w:r>
    </w:p>
    <w:p w14:paraId="1B0D9DA4" w14:textId="77777777" w:rsidR="006C48AE" w:rsidRDefault="004E74FC">
      <w:pPr>
        <w:rPr>
          <w:rFonts w:ascii="Times New Roman" w:eastAsia="Times New Roman" w:hAnsi="Times New Roman" w:cs="Times New Roman"/>
          <w:sz w:val="28"/>
          <w:szCs w:val="28"/>
        </w:rPr>
      </w:pPr>
      <w:r>
        <w:rPr>
          <w:noProof/>
        </w:rPr>
        <w:lastRenderedPageBreak/>
        <w:drawing>
          <wp:inline distT="0" distB="0" distL="0" distR="0" wp14:anchorId="5BD2AD68" wp14:editId="3C535B5A">
            <wp:extent cx="5934075" cy="8401050"/>
            <wp:effectExtent l="0" t="0" r="0" b="0"/>
            <wp:docPr id="12" name="image15.jpg" descr="Годовая бухгалтерская (финансовая) отчетность ПАО Газпром за 2021 год_page-0010"/>
            <wp:cNvGraphicFramePr/>
            <a:graphic xmlns:a="http://schemas.openxmlformats.org/drawingml/2006/main">
              <a:graphicData uri="http://schemas.openxmlformats.org/drawingml/2006/picture">
                <pic:pic xmlns:pic="http://schemas.openxmlformats.org/drawingml/2006/picture">
                  <pic:nvPicPr>
                    <pic:cNvPr id="0" name="image15.jpg" descr="Годовая бухгалтерская (финансовая) отчетность ПАО Газпром за 2021 год_page-0010"/>
                    <pic:cNvPicPr preferRelativeResize="0"/>
                  </pic:nvPicPr>
                  <pic:blipFill>
                    <a:blip r:embed="rId16"/>
                    <a:srcRect/>
                    <a:stretch>
                      <a:fillRect/>
                    </a:stretch>
                  </pic:blipFill>
                  <pic:spPr>
                    <a:xfrm>
                      <a:off x="0" y="0"/>
                      <a:ext cx="5934075" cy="8401050"/>
                    </a:xfrm>
                    <a:prstGeom prst="rect">
                      <a:avLst/>
                    </a:prstGeom>
                    <a:ln/>
                  </pic:spPr>
                </pic:pic>
              </a:graphicData>
            </a:graphic>
          </wp:inline>
        </w:drawing>
      </w:r>
      <w:r>
        <w:t xml:space="preserve"> </w:t>
      </w:r>
      <w:r>
        <w:rPr>
          <w:noProof/>
        </w:rPr>
        <w:lastRenderedPageBreak/>
        <w:drawing>
          <wp:inline distT="0" distB="0" distL="0" distR="0" wp14:anchorId="64E46D1A" wp14:editId="2A3A5D62">
            <wp:extent cx="5934075" cy="8401050"/>
            <wp:effectExtent l="0" t="0" r="0" b="0"/>
            <wp:docPr id="11" name="image7.jpg" descr="Годовая бухгалтерская (финансовая) отчетность ПАО Газпром за 2021 год_page-0011"/>
            <wp:cNvGraphicFramePr/>
            <a:graphic xmlns:a="http://schemas.openxmlformats.org/drawingml/2006/main">
              <a:graphicData uri="http://schemas.openxmlformats.org/drawingml/2006/picture">
                <pic:pic xmlns:pic="http://schemas.openxmlformats.org/drawingml/2006/picture">
                  <pic:nvPicPr>
                    <pic:cNvPr id="0" name="image7.jpg" descr="Годовая бухгалтерская (финансовая) отчетность ПАО Газпром за 2021 год_page-0011"/>
                    <pic:cNvPicPr preferRelativeResize="0"/>
                  </pic:nvPicPr>
                  <pic:blipFill>
                    <a:blip r:embed="rId17"/>
                    <a:srcRect/>
                    <a:stretch>
                      <a:fillRect/>
                    </a:stretch>
                  </pic:blipFill>
                  <pic:spPr>
                    <a:xfrm>
                      <a:off x="0" y="0"/>
                      <a:ext cx="5934075" cy="8401050"/>
                    </a:xfrm>
                    <a:prstGeom prst="rect">
                      <a:avLst/>
                    </a:prstGeom>
                    <a:ln/>
                  </pic:spPr>
                </pic:pic>
              </a:graphicData>
            </a:graphic>
          </wp:inline>
        </w:drawing>
      </w:r>
      <w:r>
        <w:br w:type="page"/>
      </w:r>
    </w:p>
    <w:p w14:paraId="74654F14" w14:textId="77777777" w:rsidR="006C48AE" w:rsidRDefault="004E74FC">
      <w:pPr>
        <w:pStyle w:val="1"/>
        <w:spacing w:before="0" w:line="240" w:lineRule="auto"/>
        <w:jc w:val="center"/>
        <w:rPr>
          <w:rFonts w:ascii="Times New Roman" w:eastAsia="Times New Roman" w:hAnsi="Times New Roman" w:cs="Times New Roman"/>
          <w:color w:val="000000"/>
        </w:rPr>
      </w:pPr>
      <w:bookmarkStart w:id="29" w:name="_44sinio" w:colFirst="0" w:colLast="0"/>
      <w:bookmarkStart w:id="30" w:name="_Toc121342668"/>
      <w:bookmarkEnd w:id="29"/>
      <w:r>
        <w:rPr>
          <w:rFonts w:ascii="Times New Roman" w:eastAsia="Times New Roman" w:hAnsi="Times New Roman" w:cs="Times New Roman"/>
          <w:color w:val="000000"/>
        </w:rPr>
        <w:lastRenderedPageBreak/>
        <w:t>Приложение Б. Отчет о финансовых результатах ПАО «Газпром» за 2021 г.</w:t>
      </w:r>
      <w:bookmarkEnd w:id="30"/>
    </w:p>
    <w:p w14:paraId="6D979C70" w14:textId="77777777" w:rsidR="006C48AE" w:rsidRDefault="004E74FC">
      <w:r>
        <w:rPr>
          <w:noProof/>
        </w:rPr>
        <w:drawing>
          <wp:anchor distT="0" distB="0" distL="0" distR="0" simplePos="0" relativeHeight="251658240" behindDoc="0" locked="0" layoutInCell="1" hidden="0" allowOverlap="1" wp14:anchorId="1C1D3166" wp14:editId="26FCE3C2">
            <wp:simplePos x="0" y="0"/>
            <wp:positionH relativeFrom="column">
              <wp:posOffset>2963</wp:posOffset>
            </wp:positionH>
            <wp:positionV relativeFrom="paragraph">
              <wp:posOffset>266700</wp:posOffset>
            </wp:positionV>
            <wp:extent cx="5934075" cy="8401050"/>
            <wp:effectExtent l="0" t="0" r="0" b="0"/>
            <wp:wrapNone/>
            <wp:docPr id="4" name="image5.jpg" descr="Годовая бухгалтерская (финансовая) отчетность ПАО Газпром за 2021 год_page-0012"/>
            <wp:cNvGraphicFramePr/>
            <a:graphic xmlns:a="http://schemas.openxmlformats.org/drawingml/2006/main">
              <a:graphicData uri="http://schemas.openxmlformats.org/drawingml/2006/picture">
                <pic:pic xmlns:pic="http://schemas.openxmlformats.org/drawingml/2006/picture">
                  <pic:nvPicPr>
                    <pic:cNvPr id="0" name="image5.jpg" descr="Годовая бухгалтерская (финансовая) отчетность ПАО Газпром за 2021 год_page-0012"/>
                    <pic:cNvPicPr preferRelativeResize="0"/>
                  </pic:nvPicPr>
                  <pic:blipFill>
                    <a:blip r:embed="rId18"/>
                    <a:srcRect/>
                    <a:stretch>
                      <a:fillRect/>
                    </a:stretch>
                  </pic:blipFill>
                  <pic:spPr>
                    <a:xfrm>
                      <a:off x="0" y="0"/>
                      <a:ext cx="5934075" cy="8401050"/>
                    </a:xfrm>
                    <a:prstGeom prst="rect">
                      <a:avLst/>
                    </a:prstGeom>
                    <a:ln/>
                  </pic:spPr>
                </pic:pic>
              </a:graphicData>
            </a:graphic>
          </wp:anchor>
        </w:drawing>
      </w:r>
    </w:p>
    <w:p w14:paraId="6C595D5C" w14:textId="77777777" w:rsidR="006C48AE" w:rsidRDefault="004E74FC">
      <w:pPr>
        <w:rPr>
          <w:rFonts w:ascii="Times New Roman" w:eastAsia="Times New Roman" w:hAnsi="Times New Roman" w:cs="Times New Roman"/>
        </w:rPr>
      </w:pPr>
      <w:r>
        <w:rPr>
          <w:noProof/>
        </w:rPr>
        <w:lastRenderedPageBreak/>
        <w:drawing>
          <wp:inline distT="0" distB="0" distL="0" distR="0" wp14:anchorId="4EBA4AD0" wp14:editId="5BD4F663">
            <wp:extent cx="5934075" cy="8401050"/>
            <wp:effectExtent l="0" t="0" r="0" b="0"/>
            <wp:docPr id="13" name="image13.jpg" descr="Годовая бухгалтерская (финансовая) отчетность ПАО Газпром за 2021 год_page-0013"/>
            <wp:cNvGraphicFramePr/>
            <a:graphic xmlns:a="http://schemas.openxmlformats.org/drawingml/2006/main">
              <a:graphicData uri="http://schemas.openxmlformats.org/drawingml/2006/picture">
                <pic:pic xmlns:pic="http://schemas.openxmlformats.org/drawingml/2006/picture">
                  <pic:nvPicPr>
                    <pic:cNvPr id="0" name="image13.jpg" descr="Годовая бухгалтерская (финансовая) отчетность ПАО Газпром за 2021 год_page-0013"/>
                    <pic:cNvPicPr preferRelativeResize="0"/>
                  </pic:nvPicPr>
                  <pic:blipFill>
                    <a:blip r:embed="rId19"/>
                    <a:srcRect/>
                    <a:stretch>
                      <a:fillRect/>
                    </a:stretch>
                  </pic:blipFill>
                  <pic:spPr>
                    <a:xfrm>
                      <a:off x="0" y="0"/>
                      <a:ext cx="5934075" cy="8401050"/>
                    </a:xfrm>
                    <a:prstGeom prst="rect">
                      <a:avLst/>
                    </a:prstGeom>
                    <a:ln/>
                  </pic:spPr>
                </pic:pic>
              </a:graphicData>
            </a:graphic>
          </wp:inline>
        </w:drawing>
      </w:r>
      <w:r>
        <w:t xml:space="preserve"> </w:t>
      </w:r>
      <w:r>
        <w:rPr>
          <w:noProof/>
        </w:rPr>
        <w:lastRenderedPageBreak/>
        <w:drawing>
          <wp:inline distT="0" distB="0" distL="0" distR="0" wp14:anchorId="13FD123A" wp14:editId="6EB101E0">
            <wp:extent cx="5934075" cy="8401050"/>
            <wp:effectExtent l="0" t="0" r="0" b="0"/>
            <wp:docPr id="16" name="image12.jpg" descr="Годовая бухгалтерская (финансовая) отчетность ПАО Газпром за 2021 год_page-0014"/>
            <wp:cNvGraphicFramePr/>
            <a:graphic xmlns:a="http://schemas.openxmlformats.org/drawingml/2006/main">
              <a:graphicData uri="http://schemas.openxmlformats.org/drawingml/2006/picture">
                <pic:pic xmlns:pic="http://schemas.openxmlformats.org/drawingml/2006/picture">
                  <pic:nvPicPr>
                    <pic:cNvPr id="0" name="image12.jpg" descr="Годовая бухгалтерская (финансовая) отчетность ПАО Газпром за 2021 год_page-0014"/>
                    <pic:cNvPicPr preferRelativeResize="0"/>
                  </pic:nvPicPr>
                  <pic:blipFill>
                    <a:blip r:embed="rId20"/>
                    <a:srcRect/>
                    <a:stretch>
                      <a:fillRect/>
                    </a:stretch>
                  </pic:blipFill>
                  <pic:spPr>
                    <a:xfrm>
                      <a:off x="0" y="0"/>
                      <a:ext cx="5934075" cy="8401050"/>
                    </a:xfrm>
                    <a:prstGeom prst="rect">
                      <a:avLst/>
                    </a:prstGeom>
                    <a:ln/>
                  </pic:spPr>
                </pic:pic>
              </a:graphicData>
            </a:graphic>
          </wp:inline>
        </w:drawing>
      </w:r>
    </w:p>
    <w:p w14:paraId="3B5F892F" w14:textId="77777777" w:rsidR="006C48AE" w:rsidRDefault="006C48AE">
      <w:pPr>
        <w:rPr>
          <w:rFonts w:ascii="Times New Roman" w:eastAsia="Times New Roman" w:hAnsi="Times New Roman" w:cs="Times New Roman"/>
        </w:rPr>
      </w:pPr>
    </w:p>
    <w:p w14:paraId="5B1EA62A" w14:textId="77777777" w:rsidR="006C48AE" w:rsidRDefault="004E74FC">
      <w:pPr>
        <w:pStyle w:val="1"/>
        <w:spacing w:before="0" w:line="240" w:lineRule="auto"/>
        <w:jc w:val="center"/>
        <w:rPr>
          <w:rFonts w:ascii="Times New Roman" w:eastAsia="Times New Roman" w:hAnsi="Times New Roman" w:cs="Times New Roman"/>
          <w:color w:val="000000"/>
        </w:rPr>
      </w:pPr>
      <w:bookmarkStart w:id="31" w:name="_Toc121342669"/>
      <w:r>
        <w:rPr>
          <w:rFonts w:ascii="Times New Roman" w:eastAsia="Times New Roman" w:hAnsi="Times New Roman" w:cs="Times New Roman"/>
          <w:color w:val="000000"/>
        </w:rPr>
        <w:lastRenderedPageBreak/>
        <w:t>Приложение B. Коэффициенты для расчета платежеспособности предприятия</w:t>
      </w:r>
      <w:bookmarkEnd w:id="31"/>
    </w:p>
    <w:p w14:paraId="41D98E25" w14:textId="77777777" w:rsidR="006C48AE" w:rsidRDefault="006C48AE"/>
    <w:p w14:paraId="522F0911" w14:textId="77777777" w:rsidR="006C48AE" w:rsidRDefault="004E74FC">
      <w:pPr>
        <w:jc w:val="center"/>
      </w:pPr>
      <w:r>
        <w:rPr>
          <w:noProof/>
        </w:rPr>
        <w:drawing>
          <wp:inline distT="0" distB="0" distL="0" distR="0" wp14:anchorId="17A1E12B" wp14:editId="3847EC96">
            <wp:extent cx="5788188" cy="5648325"/>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788188" cy="5648325"/>
                    </a:xfrm>
                    <a:prstGeom prst="rect">
                      <a:avLst/>
                    </a:prstGeom>
                    <a:ln/>
                  </pic:spPr>
                </pic:pic>
              </a:graphicData>
            </a:graphic>
          </wp:inline>
        </w:drawing>
      </w:r>
      <w:r>
        <w:br w:type="page"/>
      </w:r>
    </w:p>
    <w:p w14:paraId="717BB308" w14:textId="77777777" w:rsidR="006C48AE" w:rsidRDefault="004E74FC">
      <w:pPr>
        <w:pStyle w:val="1"/>
        <w:spacing w:before="0" w:line="240" w:lineRule="auto"/>
        <w:jc w:val="center"/>
        <w:rPr>
          <w:rFonts w:ascii="Times New Roman" w:eastAsia="Times New Roman" w:hAnsi="Times New Roman" w:cs="Times New Roman"/>
          <w:color w:val="000000"/>
        </w:rPr>
      </w:pPr>
      <w:bookmarkStart w:id="32" w:name="_Toc121342670"/>
      <w:r>
        <w:rPr>
          <w:rFonts w:ascii="Times New Roman" w:eastAsia="Times New Roman" w:hAnsi="Times New Roman" w:cs="Times New Roman"/>
          <w:color w:val="000000"/>
        </w:rPr>
        <w:lastRenderedPageBreak/>
        <w:t>Приложение Г. Показатели финансовой устойчивости</w:t>
      </w:r>
      <w:bookmarkEnd w:id="32"/>
    </w:p>
    <w:p w14:paraId="31901C4A" w14:textId="77777777" w:rsidR="006C48AE" w:rsidRDefault="006C48AE"/>
    <w:p w14:paraId="009A0965" w14:textId="77777777" w:rsidR="006C48AE" w:rsidRDefault="004E74FC">
      <w:r>
        <w:rPr>
          <w:noProof/>
        </w:rPr>
        <w:drawing>
          <wp:inline distT="0" distB="0" distL="0" distR="0" wp14:anchorId="3A4C18A6" wp14:editId="145A7033">
            <wp:extent cx="5179350" cy="7325454"/>
            <wp:effectExtent l="0" t="0" r="0" b="0"/>
            <wp:docPr id="15" name="image11.jpg" descr="C:\Users\Daria\AppData\Local\Temp\Rar$DIa0.859\Наименование показателя_page-0002.jpg"/>
            <wp:cNvGraphicFramePr/>
            <a:graphic xmlns:a="http://schemas.openxmlformats.org/drawingml/2006/main">
              <a:graphicData uri="http://schemas.openxmlformats.org/drawingml/2006/picture">
                <pic:pic xmlns:pic="http://schemas.openxmlformats.org/drawingml/2006/picture">
                  <pic:nvPicPr>
                    <pic:cNvPr id="0" name="image11.jpg" descr="C:\Users\Daria\AppData\Local\Temp\Rar$DIa0.859\Наименование показателя_page-0002.jpg"/>
                    <pic:cNvPicPr preferRelativeResize="0"/>
                  </pic:nvPicPr>
                  <pic:blipFill>
                    <a:blip r:embed="rId22"/>
                    <a:srcRect/>
                    <a:stretch>
                      <a:fillRect/>
                    </a:stretch>
                  </pic:blipFill>
                  <pic:spPr>
                    <a:xfrm>
                      <a:off x="0" y="0"/>
                      <a:ext cx="5179350" cy="7325454"/>
                    </a:xfrm>
                    <a:prstGeom prst="rect">
                      <a:avLst/>
                    </a:prstGeom>
                    <a:ln/>
                  </pic:spPr>
                </pic:pic>
              </a:graphicData>
            </a:graphic>
          </wp:inline>
        </w:drawing>
      </w:r>
    </w:p>
    <w:p w14:paraId="3067183F" w14:textId="77777777" w:rsidR="006C48AE" w:rsidRDefault="004E74FC">
      <w:pPr>
        <w:rPr>
          <w:rFonts w:ascii="Times New Roman" w:eastAsia="Times New Roman" w:hAnsi="Times New Roman" w:cs="Times New Roman"/>
          <w:b/>
          <w:sz w:val="28"/>
          <w:szCs w:val="28"/>
        </w:rPr>
      </w:pPr>
      <w:r>
        <w:br w:type="page"/>
      </w:r>
    </w:p>
    <w:p w14:paraId="7E19F756" w14:textId="77777777" w:rsidR="006C48AE" w:rsidRDefault="006C48AE">
      <w:pPr>
        <w:pStyle w:val="1"/>
        <w:spacing w:before="0" w:line="240" w:lineRule="auto"/>
        <w:jc w:val="right"/>
        <w:rPr>
          <w:rFonts w:ascii="Times New Roman" w:eastAsia="Times New Roman" w:hAnsi="Times New Roman" w:cs="Times New Roman"/>
          <w:color w:val="000000"/>
        </w:rPr>
      </w:pPr>
    </w:p>
    <w:p w14:paraId="45328A67" w14:textId="77777777" w:rsidR="006C48AE" w:rsidRDefault="004E74FC">
      <w:pPr>
        <w:pStyle w:val="1"/>
        <w:spacing w:before="0" w:line="240" w:lineRule="auto"/>
        <w:jc w:val="center"/>
        <w:rPr>
          <w:rFonts w:ascii="Times New Roman" w:eastAsia="Times New Roman" w:hAnsi="Times New Roman" w:cs="Times New Roman"/>
          <w:color w:val="000000"/>
        </w:rPr>
      </w:pPr>
      <w:bookmarkStart w:id="33" w:name="_Toc121342671"/>
      <w:r>
        <w:rPr>
          <w:rFonts w:ascii="Times New Roman" w:eastAsia="Times New Roman" w:hAnsi="Times New Roman" w:cs="Times New Roman"/>
          <w:color w:val="000000"/>
        </w:rPr>
        <w:t>Приложение Д. Анализ динамики активов и пассивов бухгалтерского баланса ПАО «Газпром»</w:t>
      </w:r>
      <w:bookmarkEnd w:id="33"/>
    </w:p>
    <w:p w14:paraId="3EF45FB8" w14:textId="77777777" w:rsidR="006C48AE" w:rsidRDefault="004E74FC">
      <w:r>
        <w:rPr>
          <w:noProof/>
        </w:rPr>
        <w:drawing>
          <wp:anchor distT="0" distB="0" distL="0" distR="0" simplePos="0" relativeHeight="251659264" behindDoc="0" locked="0" layoutInCell="1" hidden="0" allowOverlap="1" wp14:anchorId="6C8F0A79" wp14:editId="4691BBC4">
            <wp:simplePos x="0" y="0"/>
            <wp:positionH relativeFrom="column">
              <wp:posOffset>19050</wp:posOffset>
            </wp:positionH>
            <wp:positionV relativeFrom="paragraph">
              <wp:posOffset>19050</wp:posOffset>
            </wp:positionV>
            <wp:extent cx="5617137" cy="7944641"/>
            <wp:effectExtent l="0" t="0" r="0" b="0"/>
            <wp:wrapNone/>
            <wp:docPr id="21" name="image19.jpg" descr="C:\Users\Daria\AppData\Local\Temp\Rar$DIa0.798\Наименование показателя_page-0003.jpg"/>
            <wp:cNvGraphicFramePr/>
            <a:graphic xmlns:a="http://schemas.openxmlformats.org/drawingml/2006/main">
              <a:graphicData uri="http://schemas.openxmlformats.org/drawingml/2006/picture">
                <pic:pic xmlns:pic="http://schemas.openxmlformats.org/drawingml/2006/picture">
                  <pic:nvPicPr>
                    <pic:cNvPr id="0" name="image19.jpg" descr="C:\Users\Daria\AppData\Local\Temp\Rar$DIa0.798\Наименование показателя_page-0003.jpg"/>
                    <pic:cNvPicPr preferRelativeResize="0"/>
                  </pic:nvPicPr>
                  <pic:blipFill>
                    <a:blip r:embed="rId23"/>
                    <a:srcRect/>
                    <a:stretch>
                      <a:fillRect/>
                    </a:stretch>
                  </pic:blipFill>
                  <pic:spPr>
                    <a:xfrm>
                      <a:off x="0" y="0"/>
                      <a:ext cx="5617137" cy="7944641"/>
                    </a:xfrm>
                    <a:prstGeom prst="rect">
                      <a:avLst/>
                    </a:prstGeom>
                    <a:ln/>
                  </pic:spPr>
                </pic:pic>
              </a:graphicData>
            </a:graphic>
          </wp:anchor>
        </w:drawing>
      </w:r>
    </w:p>
    <w:p w14:paraId="4008E891" w14:textId="77777777" w:rsidR="006C48AE" w:rsidRDefault="004E74FC">
      <w:r>
        <w:rPr>
          <w:noProof/>
        </w:rPr>
        <w:lastRenderedPageBreak/>
        <w:drawing>
          <wp:inline distT="0" distB="0" distL="0" distR="0" wp14:anchorId="5FDD3920" wp14:editId="44E5622F">
            <wp:extent cx="5940425" cy="8401886"/>
            <wp:effectExtent l="0" t="0" r="0" b="0"/>
            <wp:docPr id="2" name="image4.jpg" descr="C:\Users\Daria\AppData\Local\Temp\Rar$DIa0.541\Наименование показателя_page-0004.jpg"/>
            <wp:cNvGraphicFramePr/>
            <a:graphic xmlns:a="http://schemas.openxmlformats.org/drawingml/2006/main">
              <a:graphicData uri="http://schemas.openxmlformats.org/drawingml/2006/picture">
                <pic:pic xmlns:pic="http://schemas.openxmlformats.org/drawingml/2006/picture">
                  <pic:nvPicPr>
                    <pic:cNvPr id="0" name="image4.jpg" descr="C:\Users\Daria\AppData\Local\Temp\Rar$DIa0.541\Наименование показателя_page-0004.jpg"/>
                    <pic:cNvPicPr preferRelativeResize="0"/>
                  </pic:nvPicPr>
                  <pic:blipFill>
                    <a:blip r:embed="rId24"/>
                    <a:srcRect/>
                    <a:stretch>
                      <a:fillRect/>
                    </a:stretch>
                  </pic:blipFill>
                  <pic:spPr>
                    <a:xfrm>
                      <a:off x="0" y="0"/>
                      <a:ext cx="5940425" cy="8401886"/>
                    </a:xfrm>
                    <a:prstGeom prst="rect">
                      <a:avLst/>
                    </a:prstGeom>
                    <a:ln/>
                  </pic:spPr>
                </pic:pic>
              </a:graphicData>
            </a:graphic>
          </wp:inline>
        </w:drawing>
      </w:r>
    </w:p>
    <w:p w14:paraId="30CECA89" w14:textId="77777777" w:rsidR="006C48AE" w:rsidRDefault="004E74FC">
      <w:r>
        <w:rPr>
          <w:noProof/>
        </w:rPr>
        <w:lastRenderedPageBreak/>
        <w:drawing>
          <wp:inline distT="0" distB="0" distL="0" distR="0" wp14:anchorId="2EF46B95" wp14:editId="71D00A0B">
            <wp:extent cx="5940425" cy="8401886"/>
            <wp:effectExtent l="0" t="0" r="0" b="0"/>
            <wp:docPr id="17" name="image21.jpg" descr="C:\Users\Daria\AppData\Local\Temp\Rar$DIa1.847\Наименование показателя_page-0005.jpg"/>
            <wp:cNvGraphicFramePr/>
            <a:graphic xmlns:a="http://schemas.openxmlformats.org/drawingml/2006/main">
              <a:graphicData uri="http://schemas.openxmlformats.org/drawingml/2006/picture">
                <pic:pic xmlns:pic="http://schemas.openxmlformats.org/drawingml/2006/picture">
                  <pic:nvPicPr>
                    <pic:cNvPr id="0" name="image21.jpg" descr="C:\Users\Daria\AppData\Local\Temp\Rar$DIa1.847\Наименование показателя_page-0005.jpg"/>
                    <pic:cNvPicPr preferRelativeResize="0"/>
                  </pic:nvPicPr>
                  <pic:blipFill>
                    <a:blip r:embed="rId25"/>
                    <a:srcRect/>
                    <a:stretch>
                      <a:fillRect/>
                    </a:stretch>
                  </pic:blipFill>
                  <pic:spPr>
                    <a:xfrm>
                      <a:off x="0" y="0"/>
                      <a:ext cx="5940425" cy="8401886"/>
                    </a:xfrm>
                    <a:prstGeom prst="rect">
                      <a:avLst/>
                    </a:prstGeom>
                    <a:ln/>
                  </pic:spPr>
                </pic:pic>
              </a:graphicData>
            </a:graphic>
          </wp:inline>
        </w:drawing>
      </w:r>
      <w:r>
        <w:br w:type="page"/>
      </w:r>
    </w:p>
    <w:p w14:paraId="083CA4AB" w14:textId="77777777" w:rsidR="006C48AE" w:rsidRDefault="004E74FC">
      <w:pPr>
        <w:pStyle w:val="1"/>
        <w:spacing w:before="0" w:line="240" w:lineRule="auto"/>
        <w:ind w:right="142"/>
        <w:jc w:val="center"/>
        <w:rPr>
          <w:rFonts w:ascii="Times New Roman" w:eastAsia="Times New Roman" w:hAnsi="Times New Roman" w:cs="Times New Roman"/>
          <w:color w:val="000000"/>
        </w:rPr>
      </w:pPr>
      <w:bookmarkStart w:id="34" w:name="_Toc121342672"/>
      <w:r>
        <w:rPr>
          <w:rFonts w:ascii="Times New Roman" w:eastAsia="Times New Roman" w:hAnsi="Times New Roman" w:cs="Times New Roman"/>
          <w:color w:val="000000"/>
        </w:rPr>
        <w:lastRenderedPageBreak/>
        <w:t>Приложение E. Динамика показателей отчета о финансовых результатах ПАО «Газпром»</w:t>
      </w:r>
      <w:r>
        <w:rPr>
          <w:noProof/>
        </w:rPr>
        <w:drawing>
          <wp:anchor distT="0" distB="0" distL="0" distR="0" simplePos="0" relativeHeight="251660288" behindDoc="0" locked="0" layoutInCell="1" hidden="0" allowOverlap="1" wp14:anchorId="551E3CCF" wp14:editId="040FB1F0">
            <wp:simplePos x="0" y="0"/>
            <wp:positionH relativeFrom="column">
              <wp:posOffset>453788</wp:posOffset>
            </wp:positionH>
            <wp:positionV relativeFrom="paragraph">
              <wp:posOffset>619125</wp:posOffset>
            </wp:positionV>
            <wp:extent cx="5297437" cy="7483963"/>
            <wp:effectExtent l="0" t="0" r="0" b="0"/>
            <wp:wrapSquare wrapText="bothSides" distT="0" distB="0" distL="0" distR="0"/>
            <wp:docPr id="5" name="image6.jpg" descr="C:\Users\Daria\AppData\Local\Temp\Rar$DIa1.859\Наименование показателя_page-0006.jpg"/>
            <wp:cNvGraphicFramePr/>
            <a:graphic xmlns:a="http://schemas.openxmlformats.org/drawingml/2006/main">
              <a:graphicData uri="http://schemas.openxmlformats.org/drawingml/2006/picture">
                <pic:pic xmlns:pic="http://schemas.openxmlformats.org/drawingml/2006/picture">
                  <pic:nvPicPr>
                    <pic:cNvPr id="0" name="image6.jpg" descr="C:\Users\Daria\AppData\Local\Temp\Rar$DIa1.859\Наименование показателя_page-0006.jpg"/>
                    <pic:cNvPicPr preferRelativeResize="0"/>
                  </pic:nvPicPr>
                  <pic:blipFill>
                    <a:blip r:embed="rId26"/>
                    <a:srcRect/>
                    <a:stretch>
                      <a:fillRect/>
                    </a:stretch>
                  </pic:blipFill>
                  <pic:spPr>
                    <a:xfrm>
                      <a:off x="0" y="0"/>
                      <a:ext cx="5297437" cy="7483963"/>
                    </a:xfrm>
                    <a:prstGeom prst="rect">
                      <a:avLst/>
                    </a:prstGeom>
                    <a:ln/>
                  </pic:spPr>
                </pic:pic>
              </a:graphicData>
            </a:graphic>
          </wp:anchor>
        </w:drawing>
      </w:r>
      <w:bookmarkEnd w:id="34"/>
    </w:p>
    <w:p w14:paraId="1985DEC2" w14:textId="77777777" w:rsidR="006C48AE" w:rsidRDefault="004E74FC">
      <w:r>
        <w:rPr>
          <w:noProof/>
        </w:rPr>
        <w:lastRenderedPageBreak/>
        <w:drawing>
          <wp:inline distT="0" distB="0" distL="0" distR="0" wp14:anchorId="6929E468" wp14:editId="072C47AC">
            <wp:extent cx="5940425" cy="8401886"/>
            <wp:effectExtent l="0" t="0" r="0" b="0"/>
            <wp:docPr id="18" name="image20.jpg" descr="C:\Users\Daria\AppData\Local\Temp\Rar$DIa0.720\Наименование показателя_page-0007.jpg"/>
            <wp:cNvGraphicFramePr/>
            <a:graphic xmlns:a="http://schemas.openxmlformats.org/drawingml/2006/main">
              <a:graphicData uri="http://schemas.openxmlformats.org/drawingml/2006/picture">
                <pic:pic xmlns:pic="http://schemas.openxmlformats.org/drawingml/2006/picture">
                  <pic:nvPicPr>
                    <pic:cNvPr id="0" name="image20.jpg" descr="C:\Users\Daria\AppData\Local\Temp\Rar$DIa0.720\Наименование показателя_page-0007.jpg"/>
                    <pic:cNvPicPr preferRelativeResize="0"/>
                  </pic:nvPicPr>
                  <pic:blipFill>
                    <a:blip r:embed="rId27"/>
                    <a:srcRect/>
                    <a:stretch>
                      <a:fillRect/>
                    </a:stretch>
                  </pic:blipFill>
                  <pic:spPr>
                    <a:xfrm>
                      <a:off x="0" y="0"/>
                      <a:ext cx="5940425" cy="8401886"/>
                    </a:xfrm>
                    <a:prstGeom prst="rect">
                      <a:avLst/>
                    </a:prstGeom>
                    <a:ln/>
                  </pic:spPr>
                </pic:pic>
              </a:graphicData>
            </a:graphic>
          </wp:inline>
        </w:drawing>
      </w:r>
    </w:p>
    <w:p w14:paraId="3FBF7984" w14:textId="77777777" w:rsidR="006C48AE" w:rsidRDefault="004E74FC">
      <w:pPr>
        <w:pStyle w:val="1"/>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bookmarkStart w:id="35" w:name="_Toc121342673"/>
      <w:r>
        <w:rPr>
          <w:rFonts w:ascii="Times New Roman" w:eastAsia="Times New Roman" w:hAnsi="Times New Roman" w:cs="Times New Roman"/>
          <w:color w:val="000000"/>
        </w:rPr>
        <w:t>Приложение Ж. Анализ состава и структуры активов и пассивов бухгалтерского баланса ПАО «Газпром»</w:t>
      </w:r>
      <w:bookmarkEnd w:id="35"/>
    </w:p>
    <w:p w14:paraId="2FA589E8" w14:textId="77777777" w:rsidR="006C48AE" w:rsidRDefault="004E74FC">
      <w:pPr>
        <w:spacing w:after="0" w:line="360" w:lineRule="auto"/>
        <w:jc w:val="both"/>
        <w:rPr>
          <w:rFonts w:ascii="Times New Roman" w:eastAsia="Times New Roman" w:hAnsi="Times New Roman" w:cs="Times New Roman"/>
          <w:sz w:val="28"/>
          <w:szCs w:val="28"/>
        </w:rPr>
      </w:pPr>
      <w:r>
        <w:rPr>
          <w:noProof/>
        </w:rPr>
        <w:drawing>
          <wp:anchor distT="0" distB="0" distL="0" distR="0" simplePos="0" relativeHeight="251661312" behindDoc="0" locked="0" layoutInCell="1" hidden="0" allowOverlap="1" wp14:anchorId="48C63573" wp14:editId="76FD5DCE">
            <wp:simplePos x="0" y="0"/>
            <wp:positionH relativeFrom="column">
              <wp:posOffset>19050</wp:posOffset>
            </wp:positionH>
            <wp:positionV relativeFrom="paragraph">
              <wp:posOffset>19050</wp:posOffset>
            </wp:positionV>
            <wp:extent cx="5940425" cy="8401886"/>
            <wp:effectExtent l="0" t="0" r="0" b="0"/>
            <wp:wrapNone/>
            <wp:docPr id="7" name="image9.jpg" descr="C:\Users\Daria\AppData\Local\Temp\Rar$DIa0.144\Наименование показателя_page-0008.jpg"/>
            <wp:cNvGraphicFramePr/>
            <a:graphic xmlns:a="http://schemas.openxmlformats.org/drawingml/2006/main">
              <a:graphicData uri="http://schemas.openxmlformats.org/drawingml/2006/picture">
                <pic:pic xmlns:pic="http://schemas.openxmlformats.org/drawingml/2006/picture">
                  <pic:nvPicPr>
                    <pic:cNvPr id="0" name="image9.jpg" descr="C:\Users\Daria\AppData\Local\Temp\Rar$DIa0.144\Наименование показателя_page-0008.jpg"/>
                    <pic:cNvPicPr preferRelativeResize="0"/>
                  </pic:nvPicPr>
                  <pic:blipFill>
                    <a:blip r:embed="rId28"/>
                    <a:srcRect/>
                    <a:stretch>
                      <a:fillRect/>
                    </a:stretch>
                  </pic:blipFill>
                  <pic:spPr>
                    <a:xfrm>
                      <a:off x="0" y="0"/>
                      <a:ext cx="5940425" cy="8401886"/>
                    </a:xfrm>
                    <a:prstGeom prst="rect">
                      <a:avLst/>
                    </a:prstGeom>
                    <a:ln/>
                  </pic:spPr>
                </pic:pic>
              </a:graphicData>
            </a:graphic>
          </wp:anchor>
        </w:drawing>
      </w:r>
    </w:p>
    <w:p w14:paraId="7CA851A9" w14:textId="489E752D" w:rsidR="006C48AE" w:rsidRDefault="004E74FC">
      <w:pPr>
        <w:rPr>
          <w:rFonts w:ascii="Times New Roman" w:eastAsia="Times New Roman" w:hAnsi="Times New Roman" w:cs="Times New Roman"/>
          <w:color w:val="000000"/>
        </w:rPr>
      </w:pPr>
      <w:r>
        <w:rPr>
          <w:noProof/>
        </w:rPr>
        <w:lastRenderedPageBreak/>
        <w:drawing>
          <wp:inline distT="0" distB="0" distL="0" distR="0" wp14:anchorId="7104B0A7" wp14:editId="24AFC212">
            <wp:extent cx="5940425" cy="8401886"/>
            <wp:effectExtent l="0" t="0" r="0" b="0"/>
            <wp:docPr id="20" name="image16.jpg" descr="C:\Users\Daria\AppData\Local\Temp\Rar$DIa0.261\Наименование показателя_page-0009.jpg"/>
            <wp:cNvGraphicFramePr/>
            <a:graphic xmlns:a="http://schemas.openxmlformats.org/drawingml/2006/main">
              <a:graphicData uri="http://schemas.openxmlformats.org/drawingml/2006/picture">
                <pic:pic xmlns:pic="http://schemas.openxmlformats.org/drawingml/2006/picture">
                  <pic:nvPicPr>
                    <pic:cNvPr id="0" name="image16.jpg" descr="C:\Users\Daria\AppData\Local\Temp\Rar$DIa0.261\Наименование показателя_page-0009.jpg"/>
                    <pic:cNvPicPr preferRelativeResize="0"/>
                  </pic:nvPicPr>
                  <pic:blipFill>
                    <a:blip r:embed="rId29"/>
                    <a:srcRect/>
                    <a:stretch>
                      <a:fillRect/>
                    </a:stretch>
                  </pic:blipFill>
                  <pic:spPr>
                    <a:xfrm>
                      <a:off x="0" y="0"/>
                      <a:ext cx="5940425" cy="8401886"/>
                    </a:xfrm>
                    <a:prstGeom prst="rect">
                      <a:avLst/>
                    </a:prstGeom>
                    <a:ln/>
                  </pic:spPr>
                </pic:pic>
              </a:graphicData>
            </a:graphic>
          </wp:inline>
        </w:drawing>
      </w:r>
    </w:p>
    <w:p w14:paraId="6051AC11" w14:textId="77777777" w:rsidR="006C48AE" w:rsidRDefault="004E74FC">
      <w:pPr>
        <w:pStyle w:val="1"/>
        <w:spacing w:before="0" w:line="240" w:lineRule="auto"/>
        <w:jc w:val="center"/>
        <w:rPr>
          <w:rFonts w:ascii="Times New Roman" w:eastAsia="Times New Roman" w:hAnsi="Times New Roman" w:cs="Times New Roman"/>
          <w:color w:val="000000"/>
        </w:rPr>
      </w:pPr>
      <w:bookmarkStart w:id="36" w:name="_Toc121342674"/>
      <w:r>
        <w:rPr>
          <w:rFonts w:ascii="Times New Roman" w:eastAsia="Times New Roman" w:hAnsi="Times New Roman" w:cs="Times New Roman"/>
          <w:color w:val="000000"/>
        </w:rPr>
        <w:lastRenderedPageBreak/>
        <w:t>Приложение З. Анализ структуры отчета о финансовых результатах ПАО «Газпром»</w:t>
      </w:r>
      <w:bookmarkEnd w:id="36"/>
    </w:p>
    <w:p w14:paraId="3842E2C4" w14:textId="5F887931" w:rsidR="006C48AE" w:rsidRDefault="00AC697C">
      <w:pPr>
        <w:shd w:val="clear" w:color="auto" w:fill="FFFFFF"/>
        <w:spacing w:after="0" w:line="360" w:lineRule="auto"/>
        <w:jc w:val="both"/>
        <w:rPr>
          <w:rFonts w:ascii="Times New Roman" w:eastAsia="Times New Roman" w:hAnsi="Times New Roman" w:cs="Times New Roman"/>
          <w:sz w:val="28"/>
          <w:szCs w:val="28"/>
        </w:rPr>
      </w:pPr>
      <w:r>
        <w:rPr>
          <w:noProof/>
        </w:rPr>
        <w:drawing>
          <wp:anchor distT="0" distB="0" distL="0" distR="0" simplePos="0" relativeHeight="251662336" behindDoc="0" locked="0" layoutInCell="1" hidden="0" allowOverlap="1" wp14:anchorId="1DA92FF8" wp14:editId="119E382D">
            <wp:simplePos x="0" y="0"/>
            <wp:positionH relativeFrom="page">
              <wp:align>center</wp:align>
            </wp:positionH>
            <wp:positionV relativeFrom="paragraph">
              <wp:posOffset>133350</wp:posOffset>
            </wp:positionV>
            <wp:extent cx="5939790" cy="7448550"/>
            <wp:effectExtent l="0" t="0" r="3810" b="0"/>
            <wp:wrapNone/>
            <wp:docPr id="3" name="image3.jpg" descr="C:\Users\Daria\AppData\Local\Temp\Rar$DIa0.547\Наименование показателя_page-0010.jpg"/>
            <wp:cNvGraphicFramePr/>
            <a:graphic xmlns:a="http://schemas.openxmlformats.org/drawingml/2006/main">
              <a:graphicData uri="http://schemas.openxmlformats.org/drawingml/2006/picture">
                <pic:pic xmlns:pic="http://schemas.openxmlformats.org/drawingml/2006/picture">
                  <pic:nvPicPr>
                    <pic:cNvPr id="0" name="image3.jpg" descr="C:\Users\Daria\AppData\Local\Temp\Rar$DIa0.547\Наименование показателя_page-0010.jpg"/>
                    <pic:cNvPicPr preferRelativeResize="0"/>
                  </pic:nvPicPr>
                  <pic:blipFill rotWithShape="1">
                    <a:blip r:embed="rId30"/>
                    <a:srcRect b="11344"/>
                    <a:stretch/>
                  </pic:blipFill>
                  <pic:spPr bwMode="auto">
                    <a:xfrm>
                      <a:off x="0" y="0"/>
                      <a:ext cx="5939790" cy="7448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0243D4" w14:textId="6D4A49DD" w:rsidR="006C48AE" w:rsidRDefault="004E74FC">
      <w:pPr>
        <w:pStyle w:val="1"/>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6F118EB" w14:textId="7119D503" w:rsidR="006C48AE" w:rsidRDefault="006C48AE"/>
    <w:p w14:paraId="77AFC0FF" w14:textId="2F254E76" w:rsidR="00AC697C" w:rsidRPr="00AC697C" w:rsidRDefault="00AC697C" w:rsidP="00AC697C"/>
    <w:p w14:paraId="0DACCD7F" w14:textId="58F27BAD" w:rsidR="00AC697C" w:rsidRPr="00AC697C" w:rsidRDefault="00AC697C" w:rsidP="00AC697C"/>
    <w:p w14:paraId="6FD7ACAB" w14:textId="79021264" w:rsidR="00AC697C" w:rsidRPr="00AC697C" w:rsidRDefault="00AC697C" w:rsidP="00AC697C"/>
    <w:p w14:paraId="104AC3E3" w14:textId="1F499F81" w:rsidR="00AC697C" w:rsidRPr="00AC697C" w:rsidRDefault="00AC697C" w:rsidP="00AC697C"/>
    <w:p w14:paraId="6678C8A4" w14:textId="343AE81F" w:rsidR="00AC697C" w:rsidRPr="00AC697C" w:rsidRDefault="00AC697C" w:rsidP="00AC697C"/>
    <w:p w14:paraId="5FCD8B1E" w14:textId="6B5EE4FF" w:rsidR="00AC697C" w:rsidRPr="00AC697C" w:rsidRDefault="00AC697C" w:rsidP="00AC697C"/>
    <w:p w14:paraId="32840871" w14:textId="0E44AFFE" w:rsidR="00AC697C" w:rsidRPr="00AC697C" w:rsidRDefault="00AC697C" w:rsidP="00AC697C"/>
    <w:p w14:paraId="7C206E0C" w14:textId="032ACD35" w:rsidR="00AC697C" w:rsidRPr="00AC697C" w:rsidRDefault="00AC697C" w:rsidP="00AC697C"/>
    <w:p w14:paraId="1C0F0DB3" w14:textId="088D3C4A" w:rsidR="00AC697C" w:rsidRPr="00AC697C" w:rsidRDefault="00AC697C" w:rsidP="00AC697C"/>
    <w:p w14:paraId="2D4E861A" w14:textId="387B5529" w:rsidR="00AC697C" w:rsidRPr="00AC697C" w:rsidRDefault="00AC697C" w:rsidP="00AC697C"/>
    <w:p w14:paraId="6E7EC4D5" w14:textId="10520F66" w:rsidR="00AC697C" w:rsidRPr="00AC697C" w:rsidRDefault="00AC697C" w:rsidP="00AC697C"/>
    <w:p w14:paraId="372584D0" w14:textId="6A24FD53" w:rsidR="00AC697C" w:rsidRPr="00AC697C" w:rsidRDefault="00AC697C" w:rsidP="00AC697C"/>
    <w:p w14:paraId="7A25FF9A" w14:textId="1ECBA2D8" w:rsidR="00AC697C" w:rsidRPr="00AC697C" w:rsidRDefault="00AC697C" w:rsidP="00AC697C"/>
    <w:p w14:paraId="05330187" w14:textId="10CE4F58" w:rsidR="00AC697C" w:rsidRPr="00AC697C" w:rsidRDefault="00AC697C" w:rsidP="00AC697C"/>
    <w:p w14:paraId="55C69864" w14:textId="61EF0FEC" w:rsidR="00AC697C" w:rsidRPr="00AC697C" w:rsidRDefault="00AC697C" w:rsidP="00AC697C"/>
    <w:p w14:paraId="78079789" w14:textId="4587A8F9" w:rsidR="00AC697C" w:rsidRPr="00AC697C" w:rsidRDefault="00AC697C" w:rsidP="00AC697C"/>
    <w:p w14:paraId="7192DF82" w14:textId="07D2CC6F" w:rsidR="00AC697C" w:rsidRPr="00AC697C" w:rsidRDefault="00AC697C" w:rsidP="00AC697C"/>
    <w:p w14:paraId="4456B153" w14:textId="0BA77306" w:rsidR="00AC697C" w:rsidRPr="00AC697C" w:rsidRDefault="00AC697C" w:rsidP="00AC697C"/>
    <w:p w14:paraId="6DBF6B61" w14:textId="638764EB" w:rsidR="00AC697C" w:rsidRPr="00AC697C" w:rsidRDefault="00AC697C" w:rsidP="00AC697C"/>
    <w:p w14:paraId="5C376ECD" w14:textId="55A289BC" w:rsidR="00AC697C" w:rsidRPr="00AC697C" w:rsidRDefault="00AC697C" w:rsidP="00AC697C"/>
    <w:p w14:paraId="578AD447" w14:textId="03FE7F9D" w:rsidR="00AC697C" w:rsidRPr="00AC697C" w:rsidRDefault="00AC697C" w:rsidP="00AC697C"/>
    <w:p w14:paraId="55725904" w14:textId="16B60F18" w:rsidR="00AC697C" w:rsidRDefault="00AC697C" w:rsidP="00AC697C"/>
    <w:p w14:paraId="616DD899" w14:textId="77777777" w:rsidR="00AC697C" w:rsidRDefault="00AC697C" w:rsidP="00AC697C"/>
    <w:p w14:paraId="4240C20E" w14:textId="391CE721" w:rsidR="00AC697C" w:rsidRDefault="00AC697C" w:rsidP="00AC697C">
      <w:pPr>
        <w:pStyle w:val="1"/>
        <w:spacing w:before="0" w:line="240" w:lineRule="auto"/>
        <w:jc w:val="center"/>
        <w:rPr>
          <w:rFonts w:ascii="Times New Roman" w:eastAsia="Times New Roman" w:hAnsi="Times New Roman" w:cs="Times New Roman"/>
          <w:color w:val="000000"/>
        </w:rPr>
      </w:pPr>
      <w:bookmarkStart w:id="37" w:name="_Toc121342675"/>
      <w:r>
        <w:rPr>
          <w:rFonts w:ascii="Times New Roman" w:eastAsia="Times New Roman" w:hAnsi="Times New Roman" w:cs="Times New Roman"/>
          <w:color w:val="000000"/>
        </w:rPr>
        <w:lastRenderedPageBreak/>
        <w:t>Приложение И. Показатели деловой активности организации</w:t>
      </w:r>
      <w:bookmarkEnd w:id="37"/>
    </w:p>
    <w:p w14:paraId="56E5DE4A" w14:textId="006A2005" w:rsidR="00AC697C" w:rsidRPr="00AC697C" w:rsidRDefault="00AC697C" w:rsidP="00AC697C">
      <w:pPr>
        <w:jc w:val="center"/>
      </w:pPr>
      <w:r>
        <w:rPr>
          <w:noProof/>
        </w:rPr>
        <w:drawing>
          <wp:anchor distT="0" distB="0" distL="0" distR="0" simplePos="0" relativeHeight="251663360" behindDoc="0" locked="0" layoutInCell="1" hidden="0" allowOverlap="1" wp14:anchorId="2A1D4E98" wp14:editId="025AFED7">
            <wp:simplePos x="0" y="0"/>
            <wp:positionH relativeFrom="page">
              <wp:align>center</wp:align>
            </wp:positionH>
            <wp:positionV relativeFrom="paragraph">
              <wp:posOffset>504825</wp:posOffset>
            </wp:positionV>
            <wp:extent cx="5939790" cy="5257800"/>
            <wp:effectExtent l="0" t="0" r="3810" b="0"/>
            <wp:wrapNone/>
            <wp:docPr id="19" name="image17.jpg" descr="C:\Users\Daria\AppData\Local\Temp\Rar$DIa0.154\Наименование показателя_page-0011.jpg"/>
            <wp:cNvGraphicFramePr/>
            <a:graphic xmlns:a="http://schemas.openxmlformats.org/drawingml/2006/main">
              <a:graphicData uri="http://schemas.openxmlformats.org/drawingml/2006/picture">
                <pic:pic xmlns:pic="http://schemas.openxmlformats.org/drawingml/2006/picture">
                  <pic:nvPicPr>
                    <pic:cNvPr id="0" name="image17.jpg" descr="C:\Users\Daria\AppData\Local\Temp\Rar$DIa0.154\Наименование показателя_page-0011.jpg"/>
                    <pic:cNvPicPr preferRelativeResize="0"/>
                  </pic:nvPicPr>
                  <pic:blipFill rotWithShape="1">
                    <a:blip r:embed="rId31"/>
                    <a:srcRect b="37420"/>
                    <a:stretch/>
                  </pic:blipFill>
                  <pic:spPr bwMode="auto">
                    <a:xfrm>
                      <a:off x="0" y="0"/>
                      <a:ext cx="5939790" cy="525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AC697C" w:rsidRPr="00AC697C">
      <w:headerReference w:type="default" r:id="rId32"/>
      <w:headerReference w:type="first" r:id="rId33"/>
      <w:pgSz w:w="11906" w:h="16838"/>
      <w:pgMar w:top="1133" w:right="850" w:bottom="1133" w:left="1700" w:header="1133" w:footer="1133"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03892" w14:textId="77777777" w:rsidR="00E02FDF" w:rsidRDefault="00E02FDF">
      <w:pPr>
        <w:spacing w:after="0" w:line="240" w:lineRule="auto"/>
      </w:pPr>
      <w:r>
        <w:separator/>
      </w:r>
    </w:p>
  </w:endnote>
  <w:endnote w:type="continuationSeparator" w:id="0">
    <w:p w14:paraId="2C264331" w14:textId="77777777" w:rsidR="00E02FDF" w:rsidRDefault="00E0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333F5" w14:textId="77777777" w:rsidR="00E02FDF" w:rsidRDefault="00E02FDF">
      <w:pPr>
        <w:spacing w:after="0" w:line="240" w:lineRule="auto"/>
      </w:pPr>
      <w:r>
        <w:separator/>
      </w:r>
    </w:p>
  </w:footnote>
  <w:footnote w:type="continuationSeparator" w:id="0">
    <w:p w14:paraId="7A890784" w14:textId="77777777" w:rsidR="00E02FDF" w:rsidRDefault="00E02FDF">
      <w:pPr>
        <w:spacing w:after="0" w:line="240" w:lineRule="auto"/>
      </w:pPr>
      <w:r>
        <w:continuationSeparator/>
      </w:r>
    </w:p>
  </w:footnote>
  <w:footnote w:id="1">
    <w:p w14:paraId="7F9AFB24" w14:textId="77777777" w:rsidR="00683FB1" w:rsidRPr="004D3500" w:rsidRDefault="00683FB1" w:rsidP="009B2B5F">
      <w:pPr>
        <w:spacing w:after="0" w:line="240" w:lineRule="auto"/>
        <w:ind w:firstLine="142"/>
        <w:jc w:val="both"/>
        <w:rPr>
          <w:rFonts w:ascii="Times New Roman" w:eastAsia="Times New Roman" w:hAnsi="Times New Roman" w:cs="Times New Roman"/>
          <w:sz w:val="20"/>
          <w:szCs w:val="20"/>
        </w:rPr>
      </w:pPr>
      <w:r>
        <w:rPr>
          <w:vertAlign w:val="superscript"/>
        </w:rPr>
        <w:footnoteRef/>
      </w:r>
      <w:r>
        <w:t xml:space="preserve"> </w:t>
      </w:r>
      <w:r w:rsidRPr="004D3500">
        <w:rPr>
          <w:rFonts w:ascii="Times New Roman" w:eastAsia="Times New Roman" w:hAnsi="Times New Roman" w:cs="Times New Roman"/>
          <w:sz w:val="20"/>
          <w:szCs w:val="20"/>
        </w:rPr>
        <w:t>Экономический анализ: учеб. для вузов / под ред. Л. Т. Гиляровской. 2-е изд., доп. М.: ЮНИТИ-ДАНА, 2021. –  с.86</w:t>
      </w:r>
    </w:p>
  </w:footnote>
  <w:footnote w:id="2">
    <w:p w14:paraId="77A1A284" w14:textId="77777777" w:rsidR="00683FB1" w:rsidRPr="00CE74B7" w:rsidRDefault="00683FB1" w:rsidP="00855BE4">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 xml:space="preserve">Савицкая Г. В. Теория анализа </w:t>
      </w:r>
      <w:r w:rsidRPr="00CE74B7">
        <w:rPr>
          <w:rFonts w:ascii="Times New Roman" w:eastAsia="Times New Roman" w:hAnsi="Times New Roman" w:cs="Times New Roman"/>
          <w:sz w:val="20"/>
          <w:szCs w:val="20"/>
        </w:rPr>
        <w:t>хозяйственной деятельности: учебное пособие. М.: Инфра-М, 2021. –с. 63</w:t>
      </w:r>
    </w:p>
  </w:footnote>
  <w:footnote w:id="3">
    <w:p w14:paraId="0EE48756" w14:textId="77777777" w:rsidR="00683FB1" w:rsidRDefault="00683FB1" w:rsidP="00855BE4">
      <w:pPr>
        <w:spacing w:after="0" w:line="240" w:lineRule="auto"/>
        <w:jc w:val="both"/>
        <w:rPr>
          <w:rFonts w:ascii="Times New Roman" w:eastAsia="Times New Roman" w:hAnsi="Times New Roman" w:cs="Times New Roman"/>
          <w:sz w:val="20"/>
          <w:szCs w:val="20"/>
        </w:rPr>
      </w:pPr>
      <w:r w:rsidRPr="00CE74B7">
        <w:rPr>
          <w:sz w:val="20"/>
          <w:szCs w:val="20"/>
          <w:vertAlign w:val="superscript"/>
        </w:rPr>
        <w:footnoteRef/>
      </w:r>
      <w:r w:rsidRPr="00CE74B7">
        <w:rPr>
          <w:sz w:val="20"/>
          <w:szCs w:val="20"/>
        </w:rPr>
        <w:t xml:space="preserve"> </w:t>
      </w:r>
      <w:proofErr w:type="spellStart"/>
      <w:r w:rsidRPr="00CE74B7">
        <w:rPr>
          <w:rFonts w:ascii="Times New Roman" w:eastAsia="Times New Roman" w:hAnsi="Times New Roman" w:cs="Times New Roman"/>
          <w:sz w:val="20"/>
          <w:szCs w:val="20"/>
        </w:rPr>
        <w:t>Пласкова</w:t>
      </w:r>
      <w:proofErr w:type="spellEnd"/>
      <w:r w:rsidRPr="00CE74B7">
        <w:rPr>
          <w:rFonts w:ascii="Times New Roman" w:eastAsia="Times New Roman" w:hAnsi="Times New Roman" w:cs="Times New Roman"/>
          <w:sz w:val="20"/>
          <w:szCs w:val="20"/>
        </w:rPr>
        <w:t xml:space="preserve"> Н. С. Экономический анализ: учебник. М.: Эксмо, 2019. – с.</w:t>
      </w:r>
      <w:r>
        <w:rPr>
          <w:rFonts w:ascii="Times New Roman" w:eastAsia="Times New Roman" w:hAnsi="Times New Roman" w:cs="Times New Roman"/>
          <w:sz w:val="20"/>
          <w:szCs w:val="20"/>
        </w:rPr>
        <w:t xml:space="preserve"> 534</w:t>
      </w:r>
    </w:p>
  </w:footnote>
  <w:footnote w:id="4">
    <w:p w14:paraId="70289893" w14:textId="77777777" w:rsidR="00683FB1" w:rsidRPr="00CE74B7" w:rsidRDefault="00683FB1" w:rsidP="00855BE4">
      <w:pPr>
        <w:spacing w:after="0" w:line="240" w:lineRule="auto"/>
        <w:rPr>
          <w:sz w:val="20"/>
          <w:szCs w:val="20"/>
        </w:rPr>
      </w:pPr>
      <w:r>
        <w:rPr>
          <w:vertAlign w:val="superscript"/>
        </w:rPr>
        <w:footnoteRef/>
      </w:r>
      <w:r>
        <w:t xml:space="preserve"> </w:t>
      </w:r>
      <w:proofErr w:type="spellStart"/>
      <w:r w:rsidRPr="00CE74B7">
        <w:rPr>
          <w:rFonts w:ascii="Times New Roman" w:eastAsia="Times New Roman" w:hAnsi="Times New Roman" w:cs="Times New Roman"/>
          <w:sz w:val="20"/>
          <w:szCs w:val="20"/>
        </w:rPr>
        <w:t>Когденко</w:t>
      </w:r>
      <w:proofErr w:type="spellEnd"/>
      <w:r w:rsidRPr="00CE74B7">
        <w:rPr>
          <w:rFonts w:ascii="Times New Roman" w:eastAsia="Times New Roman" w:hAnsi="Times New Roman" w:cs="Times New Roman"/>
          <w:sz w:val="20"/>
          <w:szCs w:val="20"/>
        </w:rPr>
        <w:t xml:space="preserve"> В. Г. Экономический анализ: учебное пособие. М.: ЮНИТИ-ДАНА, 2019. – с. 89</w:t>
      </w:r>
    </w:p>
  </w:footnote>
  <w:footnote w:id="5">
    <w:p w14:paraId="6072314B" w14:textId="77777777" w:rsidR="00683FB1" w:rsidRDefault="00683FB1">
      <w:pPr>
        <w:spacing w:after="0" w:line="240" w:lineRule="auto"/>
        <w:rPr>
          <w:rFonts w:ascii="Times New Roman" w:eastAsia="Times New Roman" w:hAnsi="Times New Roman" w:cs="Times New Roman"/>
          <w:sz w:val="20"/>
          <w:szCs w:val="20"/>
        </w:rPr>
      </w:pPr>
      <w:r w:rsidRPr="00CE74B7">
        <w:rPr>
          <w:sz w:val="20"/>
          <w:szCs w:val="20"/>
          <w:vertAlign w:val="superscript"/>
        </w:rPr>
        <w:footnoteRef/>
      </w:r>
      <w:r w:rsidRPr="00CE74B7">
        <w:rPr>
          <w:sz w:val="20"/>
          <w:szCs w:val="20"/>
        </w:rPr>
        <w:t xml:space="preserve"> </w:t>
      </w:r>
      <w:proofErr w:type="spellStart"/>
      <w:r w:rsidRPr="00CE74B7">
        <w:rPr>
          <w:rFonts w:ascii="Times New Roman" w:eastAsia="Times New Roman" w:hAnsi="Times New Roman" w:cs="Times New Roman"/>
          <w:sz w:val="20"/>
          <w:szCs w:val="20"/>
        </w:rPr>
        <w:t>Качковский</w:t>
      </w:r>
      <w:proofErr w:type="spellEnd"/>
      <w:r w:rsidRPr="00CE74B7">
        <w:rPr>
          <w:rFonts w:ascii="Times New Roman" w:eastAsia="Times New Roman" w:hAnsi="Times New Roman" w:cs="Times New Roman"/>
          <w:sz w:val="20"/>
          <w:szCs w:val="20"/>
        </w:rPr>
        <w:t xml:space="preserve"> С. В. Содержание и задачи экономического планирования и анализа деятельности предприятия // Экономист. - 2021. - № 4. - С. 30.</w:t>
      </w:r>
    </w:p>
  </w:footnote>
  <w:footnote w:id="6">
    <w:p w14:paraId="17D9E7AF" w14:textId="77777777" w:rsidR="00683FB1" w:rsidRDefault="00683FB1" w:rsidP="00EA7CEA">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 xml:space="preserve">Любушин Н. П., Лещева В. Б., Сучков Е.А. Теория экономического анализа: учеб. пособие. М.: </w:t>
      </w:r>
      <w:proofErr w:type="spellStart"/>
      <w:r>
        <w:rPr>
          <w:rFonts w:ascii="Times New Roman" w:eastAsia="Times New Roman" w:hAnsi="Times New Roman" w:cs="Times New Roman"/>
          <w:sz w:val="20"/>
          <w:szCs w:val="20"/>
        </w:rPr>
        <w:t>Экономистъ</w:t>
      </w:r>
      <w:proofErr w:type="spellEnd"/>
      <w:r>
        <w:rPr>
          <w:rFonts w:ascii="Times New Roman" w:eastAsia="Times New Roman" w:hAnsi="Times New Roman" w:cs="Times New Roman"/>
          <w:sz w:val="20"/>
          <w:szCs w:val="20"/>
        </w:rPr>
        <w:t>, 2020. –  с.95</w:t>
      </w:r>
    </w:p>
  </w:footnote>
  <w:footnote w:id="7">
    <w:p w14:paraId="1D99EB75" w14:textId="77777777" w:rsidR="00683FB1" w:rsidRDefault="00683FB1" w:rsidP="00B460A5">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 xml:space="preserve">Экономический анализ: ситуации, тесты, примеры, задачи, выбор оптимальных решений, финансовое прогнозирование: учеб. пособие / под ред. М. И. </w:t>
      </w:r>
      <w:proofErr w:type="spellStart"/>
      <w:r>
        <w:rPr>
          <w:rFonts w:ascii="Times New Roman" w:eastAsia="Times New Roman" w:hAnsi="Times New Roman" w:cs="Times New Roman"/>
          <w:sz w:val="20"/>
          <w:szCs w:val="20"/>
        </w:rPr>
        <w:t>Баканова</w:t>
      </w:r>
      <w:proofErr w:type="spellEnd"/>
      <w:r>
        <w:rPr>
          <w:rFonts w:ascii="Times New Roman" w:eastAsia="Times New Roman" w:hAnsi="Times New Roman" w:cs="Times New Roman"/>
          <w:sz w:val="20"/>
          <w:szCs w:val="20"/>
        </w:rPr>
        <w:t>, А. Д. Шеремета. М.: Финансы и статистика, 2021. – с. 420</w:t>
      </w:r>
    </w:p>
  </w:footnote>
  <w:footnote w:id="8">
    <w:p w14:paraId="34EABAE6" w14:textId="77777777" w:rsidR="00683FB1" w:rsidRDefault="00683FB1" w:rsidP="00AD3ADD">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proofErr w:type="spellStart"/>
      <w:r>
        <w:rPr>
          <w:rFonts w:ascii="Times New Roman" w:eastAsia="Times New Roman" w:hAnsi="Times New Roman" w:cs="Times New Roman"/>
          <w:sz w:val="20"/>
          <w:szCs w:val="20"/>
        </w:rPr>
        <w:t>Маркарьян</w:t>
      </w:r>
      <w:proofErr w:type="spellEnd"/>
      <w:r>
        <w:rPr>
          <w:rFonts w:ascii="Times New Roman" w:eastAsia="Times New Roman" w:hAnsi="Times New Roman" w:cs="Times New Roman"/>
          <w:sz w:val="20"/>
          <w:szCs w:val="20"/>
        </w:rPr>
        <w:t xml:space="preserve"> Э. А., Герасименко Г. П., </w:t>
      </w:r>
      <w:proofErr w:type="spellStart"/>
      <w:r>
        <w:rPr>
          <w:rFonts w:ascii="Times New Roman" w:eastAsia="Times New Roman" w:hAnsi="Times New Roman" w:cs="Times New Roman"/>
          <w:sz w:val="20"/>
          <w:szCs w:val="20"/>
        </w:rPr>
        <w:t>Маркарьян</w:t>
      </w:r>
      <w:proofErr w:type="spellEnd"/>
      <w:r>
        <w:rPr>
          <w:rFonts w:ascii="Times New Roman" w:eastAsia="Times New Roman" w:hAnsi="Times New Roman" w:cs="Times New Roman"/>
          <w:sz w:val="20"/>
          <w:szCs w:val="20"/>
        </w:rPr>
        <w:t xml:space="preserve"> С. Э. Экономический анализ хозяйственной деятельности. М.: Феникс, 2021. –  с. 105</w:t>
      </w:r>
    </w:p>
  </w:footnote>
  <w:footnote w:id="9">
    <w:p w14:paraId="2C10E9C4" w14:textId="77777777" w:rsidR="00683FB1" w:rsidRDefault="00683FB1" w:rsidP="00480941">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 xml:space="preserve">Ковалев В. В., Волкова О. Н. Анализ хозяйственной деятельности предприятия. М.: </w:t>
      </w:r>
      <w:proofErr w:type="spellStart"/>
      <w:r>
        <w:rPr>
          <w:rFonts w:ascii="Times New Roman" w:eastAsia="Times New Roman" w:hAnsi="Times New Roman" w:cs="Times New Roman"/>
          <w:sz w:val="20"/>
          <w:szCs w:val="20"/>
        </w:rPr>
        <w:t>Велби</w:t>
      </w:r>
      <w:proofErr w:type="spellEnd"/>
      <w:r>
        <w:rPr>
          <w:rFonts w:ascii="Times New Roman" w:eastAsia="Times New Roman" w:hAnsi="Times New Roman" w:cs="Times New Roman"/>
          <w:sz w:val="20"/>
          <w:szCs w:val="20"/>
        </w:rPr>
        <w:t>; Проспект, 2021. –  с. 109</w:t>
      </w:r>
    </w:p>
  </w:footnote>
  <w:footnote w:id="10">
    <w:p w14:paraId="1FE4C05F" w14:textId="5AD44276" w:rsidR="00683FB1" w:rsidRDefault="00683FB1" w:rsidP="00B81A25">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proofErr w:type="spellStart"/>
      <w:r w:rsidRPr="00364DA2">
        <w:rPr>
          <w:rFonts w:ascii="Times New Roman" w:eastAsia="Times New Roman" w:hAnsi="Times New Roman" w:cs="Times New Roman"/>
          <w:sz w:val="20"/>
          <w:szCs w:val="20"/>
        </w:rPr>
        <w:t>Турманидзе</w:t>
      </w:r>
      <w:proofErr w:type="spellEnd"/>
      <w:r w:rsidRPr="00364DA2">
        <w:rPr>
          <w:rFonts w:ascii="Times New Roman" w:eastAsia="Times New Roman" w:hAnsi="Times New Roman" w:cs="Times New Roman"/>
          <w:sz w:val="20"/>
          <w:szCs w:val="20"/>
        </w:rPr>
        <w:t xml:space="preserve"> </w:t>
      </w:r>
      <w:proofErr w:type="spellStart"/>
      <w:r w:rsidRPr="00364DA2">
        <w:rPr>
          <w:rFonts w:ascii="Times New Roman" w:eastAsia="Times New Roman" w:hAnsi="Times New Roman" w:cs="Times New Roman"/>
          <w:sz w:val="20"/>
          <w:szCs w:val="20"/>
        </w:rPr>
        <w:t>Т.У</w:t>
      </w:r>
      <w:proofErr w:type="spellEnd"/>
      <w:r w:rsidRPr="00364DA2">
        <w:rPr>
          <w:rFonts w:ascii="Times New Roman" w:eastAsia="Times New Roman" w:hAnsi="Times New Roman" w:cs="Times New Roman"/>
          <w:sz w:val="20"/>
          <w:szCs w:val="20"/>
        </w:rPr>
        <w:t xml:space="preserve">. Финансовый анализ: учебник. – М.: </w:t>
      </w:r>
      <w:proofErr w:type="spellStart"/>
      <w:r w:rsidRPr="00364DA2">
        <w:rPr>
          <w:rFonts w:ascii="Times New Roman" w:eastAsia="Times New Roman" w:hAnsi="Times New Roman" w:cs="Times New Roman"/>
          <w:sz w:val="20"/>
          <w:szCs w:val="20"/>
        </w:rPr>
        <w:t>ЮНИТИ</w:t>
      </w:r>
      <w:proofErr w:type="spellEnd"/>
      <w:r w:rsidRPr="00364DA2">
        <w:rPr>
          <w:rFonts w:ascii="Times New Roman" w:eastAsia="Times New Roman" w:hAnsi="Times New Roman" w:cs="Times New Roman"/>
          <w:sz w:val="20"/>
          <w:szCs w:val="20"/>
        </w:rPr>
        <w:t>-ДАНА, 20</w:t>
      </w:r>
      <w:r w:rsidR="00165FE7">
        <w:rPr>
          <w:rFonts w:ascii="Times New Roman" w:eastAsia="Times New Roman" w:hAnsi="Times New Roman" w:cs="Times New Roman"/>
          <w:sz w:val="20"/>
          <w:szCs w:val="20"/>
        </w:rPr>
        <w:t>20</w:t>
      </w:r>
      <w:r w:rsidRPr="00364DA2">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с. 168</w:t>
      </w:r>
    </w:p>
  </w:footnote>
  <w:footnote w:id="11">
    <w:p w14:paraId="25B4D0E2" w14:textId="77777777" w:rsidR="00683FB1" w:rsidRDefault="00683FB1" w:rsidP="00B81A25">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 xml:space="preserve">Ковалев В. В., Волкова О. Н. Анализ хозяйственной деятельности предприятия. М.: </w:t>
      </w:r>
      <w:proofErr w:type="spellStart"/>
      <w:r>
        <w:rPr>
          <w:rFonts w:ascii="Times New Roman" w:eastAsia="Times New Roman" w:hAnsi="Times New Roman" w:cs="Times New Roman"/>
          <w:sz w:val="20"/>
          <w:szCs w:val="20"/>
        </w:rPr>
        <w:t>Велби</w:t>
      </w:r>
      <w:proofErr w:type="spellEnd"/>
      <w:r>
        <w:rPr>
          <w:rFonts w:ascii="Times New Roman" w:eastAsia="Times New Roman" w:hAnsi="Times New Roman" w:cs="Times New Roman"/>
          <w:sz w:val="20"/>
          <w:szCs w:val="20"/>
        </w:rPr>
        <w:t>; Проспект, 2021. –  с. 109</w:t>
      </w:r>
    </w:p>
  </w:footnote>
  <w:footnote w:id="12">
    <w:p w14:paraId="24BE35CF" w14:textId="77777777" w:rsidR="00683FB1" w:rsidRPr="00CE74B7" w:rsidRDefault="00683FB1" w:rsidP="00AC550A">
      <w:pPr>
        <w:spacing w:after="0" w:line="240" w:lineRule="auto"/>
        <w:jc w:val="both"/>
        <w:rPr>
          <w:rFonts w:ascii="Times New Roman" w:eastAsia="Times New Roman" w:hAnsi="Times New Roman" w:cs="Times New Roman"/>
          <w:sz w:val="20"/>
          <w:szCs w:val="20"/>
        </w:rPr>
      </w:pPr>
      <w:r w:rsidRPr="00CE74B7">
        <w:rPr>
          <w:sz w:val="20"/>
          <w:szCs w:val="20"/>
          <w:vertAlign w:val="superscript"/>
        </w:rPr>
        <w:footnoteRef/>
      </w:r>
      <w:r w:rsidRPr="00CE74B7">
        <w:rPr>
          <w:sz w:val="20"/>
          <w:szCs w:val="20"/>
        </w:rPr>
        <w:t xml:space="preserve"> </w:t>
      </w:r>
      <w:r w:rsidRPr="00CE74B7">
        <w:rPr>
          <w:rFonts w:ascii="Times New Roman" w:eastAsia="Times New Roman" w:hAnsi="Times New Roman" w:cs="Times New Roman"/>
          <w:sz w:val="20"/>
          <w:szCs w:val="20"/>
        </w:rPr>
        <w:t xml:space="preserve">Ковалев В. В., Волкова О. Н. Анализ хозяйственной деятельности предприятия. М.: </w:t>
      </w:r>
      <w:proofErr w:type="spellStart"/>
      <w:r w:rsidRPr="00CE74B7">
        <w:rPr>
          <w:rFonts w:ascii="Times New Roman" w:eastAsia="Times New Roman" w:hAnsi="Times New Roman" w:cs="Times New Roman"/>
          <w:sz w:val="20"/>
          <w:szCs w:val="20"/>
        </w:rPr>
        <w:t>Велби</w:t>
      </w:r>
      <w:proofErr w:type="spellEnd"/>
      <w:r w:rsidRPr="00CE74B7">
        <w:rPr>
          <w:rFonts w:ascii="Times New Roman" w:eastAsia="Times New Roman" w:hAnsi="Times New Roman" w:cs="Times New Roman"/>
          <w:sz w:val="20"/>
          <w:szCs w:val="20"/>
        </w:rPr>
        <w:t>; Проспект, 2021. –  с. 109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FDDC9" w14:textId="77777777" w:rsidR="00683FB1" w:rsidRDefault="00683FB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1D40D0">
      <w:rPr>
        <w:rFonts w:ascii="Times New Roman" w:eastAsia="Times New Roman" w:hAnsi="Times New Roman" w:cs="Times New Roman"/>
        <w:noProof/>
        <w:sz w:val="28"/>
        <w:szCs w:val="28"/>
      </w:rPr>
      <w:t>39</w:t>
    </w:r>
    <w:r>
      <w:rPr>
        <w:rFonts w:ascii="Times New Roman" w:eastAsia="Times New Roman" w:hAnsi="Times New Roman" w:cs="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C7ABB" w14:textId="77777777" w:rsidR="00683FB1" w:rsidRDefault="00683FB1">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FA534D"/>
    <w:multiLevelType w:val="multilevel"/>
    <w:tmpl w:val="138C3A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8AE"/>
    <w:rsid w:val="00010ECA"/>
    <w:rsid w:val="000120CD"/>
    <w:rsid w:val="0002434C"/>
    <w:rsid w:val="00072683"/>
    <w:rsid w:val="00084341"/>
    <w:rsid w:val="000F137B"/>
    <w:rsid w:val="00102D1D"/>
    <w:rsid w:val="001176DA"/>
    <w:rsid w:val="00122A25"/>
    <w:rsid w:val="00165FE7"/>
    <w:rsid w:val="00176FD0"/>
    <w:rsid w:val="001D39DA"/>
    <w:rsid w:val="001D40D0"/>
    <w:rsid w:val="001D6DCA"/>
    <w:rsid w:val="001E4433"/>
    <w:rsid w:val="001E4C3E"/>
    <w:rsid w:val="002073FD"/>
    <w:rsid w:val="00207519"/>
    <w:rsid w:val="00231D50"/>
    <w:rsid w:val="002456F2"/>
    <w:rsid w:val="00247656"/>
    <w:rsid w:val="002543F7"/>
    <w:rsid w:val="00257364"/>
    <w:rsid w:val="002B6196"/>
    <w:rsid w:val="002C570B"/>
    <w:rsid w:val="002C58E6"/>
    <w:rsid w:val="002D059D"/>
    <w:rsid w:val="002D2040"/>
    <w:rsid w:val="002E0143"/>
    <w:rsid w:val="002F4867"/>
    <w:rsid w:val="0030001F"/>
    <w:rsid w:val="00335072"/>
    <w:rsid w:val="00364DA2"/>
    <w:rsid w:val="00386C20"/>
    <w:rsid w:val="0039521B"/>
    <w:rsid w:val="003A3E2A"/>
    <w:rsid w:val="003B1029"/>
    <w:rsid w:val="003B215A"/>
    <w:rsid w:val="003B2A37"/>
    <w:rsid w:val="003E05CD"/>
    <w:rsid w:val="00402F9E"/>
    <w:rsid w:val="004314DC"/>
    <w:rsid w:val="0044021D"/>
    <w:rsid w:val="004425DE"/>
    <w:rsid w:val="00444A7B"/>
    <w:rsid w:val="00480941"/>
    <w:rsid w:val="004828A7"/>
    <w:rsid w:val="004D3500"/>
    <w:rsid w:val="004E74FC"/>
    <w:rsid w:val="004F0655"/>
    <w:rsid w:val="004F64A6"/>
    <w:rsid w:val="00506D75"/>
    <w:rsid w:val="0051238E"/>
    <w:rsid w:val="00564ED8"/>
    <w:rsid w:val="00593800"/>
    <w:rsid w:val="0059764B"/>
    <w:rsid w:val="005D33CC"/>
    <w:rsid w:val="005D7B54"/>
    <w:rsid w:val="005E57BC"/>
    <w:rsid w:val="00601595"/>
    <w:rsid w:val="00643CAC"/>
    <w:rsid w:val="00650243"/>
    <w:rsid w:val="00665C6F"/>
    <w:rsid w:val="00681B3A"/>
    <w:rsid w:val="00683FB1"/>
    <w:rsid w:val="00691436"/>
    <w:rsid w:val="006A386A"/>
    <w:rsid w:val="006B08DF"/>
    <w:rsid w:val="006B6C72"/>
    <w:rsid w:val="006C1B00"/>
    <w:rsid w:val="006C48AE"/>
    <w:rsid w:val="006E7848"/>
    <w:rsid w:val="00705588"/>
    <w:rsid w:val="007151F0"/>
    <w:rsid w:val="00715EB9"/>
    <w:rsid w:val="007259A4"/>
    <w:rsid w:val="0073766A"/>
    <w:rsid w:val="00753D2E"/>
    <w:rsid w:val="00761E34"/>
    <w:rsid w:val="007625C3"/>
    <w:rsid w:val="007B1D8C"/>
    <w:rsid w:val="007C3F16"/>
    <w:rsid w:val="007D64AD"/>
    <w:rsid w:val="007E62B8"/>
    <w:rsid w:val="008019A8"/>
    <w:rsid w:val="0081458B"/>
    <w:rsid w:val="00814F63"/>
    <w:rsid w:val="00833C33"/>
    <w:rsid w:val="00855BE4"/>
    <w:rsid w:val="008B1DA1"/>
    <w:rsid w:val="008C722F"/>
    <w:rsid w:val="008F0493"/>
    <w:rsid w:val="008F79DC"/>
    <w:rsid w:val="00904BC9"/>
    <w:rsid w:val="0090715E"/>
    <w:rsid w:val="0091645C"/>
    <w:rsid w:val="0092017A"/>
    <w:rsid w:val="00931E03"/>
    <w:rsid w:val="00932A88"/>
    <w:rsid w:val="009370EB"/>
    <w:rsid w:val="00981DAC"/>
    <w:rsid w:val="009B2B5F"/>
    <w:rsid w:val="009D29B5"/>
    <w:rsid w:val="009D418E"/>
    <w:rsid w:val="009D73BA"/>
    <w:rsid w:val="00A01DD7"/>
    <w:rsid w:val="00A058FB"/>
    <w:rsid w:val="00A13FE2"/>
    <w:rsid w:val="00A2494F"/>
    <w:rsid w:val="00A36DD4"/>
    <w:rsid w:val="00A466B4"/>
    <w:rsid w:val="00A548EF"/>
    <w:rsid w:val="00A6071A"/>
    <w:rsid w:val="00A713B0"/>
    <w:rsid w:val="00A7392A"/>
    <w:rsid w:val="00A85E49"/>
    <w:rsid w:val="00AA20D3"/>
    <w:rsid w:val="00AC550A"/>
    <w:rsid w:val="00AC697C"/>
    <w:rsid w:val="00AD3ADD"/>
    <w:rsid w:val="00B06143"/>
    <w:rsid w:val="00B10BA8"/>
    <w:rsid w:val="00B16685"/>
    <w:rsid w:val="00B243B7"/>
    <w:rsid w:val="00B26CD2"/>
    <w:rsid w:val="00B4032C"/>
    <w:rsid w:val="00B42A20"/>
    <w:rsid w:val="00B452E1"/>
    <w:rsid w:val="00B460A5"/>
    <w:rsid w:val="00B56D4B"/>
    <w:rsid w:val="00B81A25"/>
    <w:rsid w:val="00BA6331"/>
    <w:rsid w:val="00BC4890"/>
    <w:rsid w:val="00BC4B6C"/>
    <w:rsid w:val="00BD4CC0"/>
    <w:rsid w:val="00BE18CD"/>
    <w:rsid w:val="00BE5E19"/>
    <w:rsid w:val="00BE5EAB"/>
    <w:rsid w:val="00BE6CFD"/>
    <w:rsid w:val="00BF17EE"/>
    <w:rsid w:val="00BF2C5E"/>
    <w:rsid w:val="00BF73BF"/>
    <w:rsid w:val="00C0250B"/>
    <w:rsid w:val="00C1372A"/>
    <w:rsid w:val="00C30424"/>
    <w:rsid w:val="00C63C55"/>
    <w:rsid w:val="00C918AA"/>
    <w:rsid w:val="00C95296"/>
    <w:rsid w:val="00C95709"/>
    <w:rsid w:val="00CC219C"/>
    <w:rsid w:val="00CC643C"/>
    <w:rsid w:val="00CE74B7"/>
    <w:rsid w:val="00CF4AA3"/>
    <w:rsid w:val="00D01F70"/>
    <w:rsid w:val="00D22A99"/>
    <w:rsid w:val="00D43823"/>
    <w:rsid w:val="00D71C54"/>
    <w:rsid w:val="00D820FF"/>
    <w:rsid w:val="00D8636B"/>
    <w:rsid w:val="00DA6B22"/>
    <w:rsid w:val="00DB5F78"/>
    <w:rsid w:val="00E02FDF"/>
    <w:rsid w:val="00E04C86"/>
    <w:rsid w:val="00E05D35"/>
    <w:rsid w:val="00E22923"/>
    <w:rsid w:val="00E416E5"/>
    <w:rsid w:val="00E57FF5"/>
    <w:rsid w:val="00E63909"/>
    <w:rsid w:val="00E7073F"/>
    <w:rsid w:val="00E7449A"/>
    <w:rsid w:val="00E8645F"/>
    <w:rsid w:val="00E97915"/>
    <w:rsid w:val="00EA7CEA"/>
    <w:rsid w:val="00EC4097"/>
    <w:rsid w:val="00EE0BD1"/>
    <w:rsid w:val="00EF5C25"/>
    <w:rsid w:val="00F01602"/>
    <w:rsid w:val="00F04183"/>
    <w:rsid w:val="00F139FC"/>
    <w:rsid w:val="00F52F03"/>
    <w:rsid w:val="00F92870"/>
    <w:rsid w:val="00F93998"/>
    <w:rsid w:val="00F96681"/>
    <w:rsid w:val="00FF5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81A3D"/>
  <w15:docId w15:val="{D056E85B-3E32-42DA-A0FE-2801078A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styleId="af">
    <w:name w:val="Table Grid"/>
    <w:basedOn w:val="a1"/>
    <w:uiPriority w:val="39"/>
    <w:rsid w:val="001E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2456F2"/>
    <w:pPr>
      <w:spacing w:after="0" w:line="240" w:lineRule="auto"/>
    </w:pPr>
    <w:rPr>
      <w:sz w:val="20"/>
      <w:szCs w:val="20"/>
    </w:rPr>
  </w:style>
  <w:style w:type="character" w:customStyle="1" w:styleId="af1">
    <w:name w:val="Текст сноски Знак"/>
    <w:basedOn w:val="a0"/>
    <w:link w:val="af0"/>
    <w:uiPriority w:val="99"/>
    <w:semiHidden/>
    <w:rsid w:val="002456F2"/>
    <w:rPr>
      <w:sz w:val="20"/>
      <w:szCs w:val="20"/>
    </w:rPr>
  </w:style>
  <w:style w:type="character" w:styleId="af2">
    <w:name w:val="footnote reference"/>
    <w:basedOn w:val="a0"/>
    <w:semiHidden/>
    <w:unhideWhenUsed/>
    <w:rsid w:val="002456F2"/>
    <w:rPr>
      <w:vertAlign w:val="superscript"/>
    </w:rPr>
  </w:style>
  <w:style w:type="paragraph" w:styleId="af3">
    <w:name w:val="List Paragraph"/>
    <w:basedOn w:val="a"/>
    <w:uiPriority w:val="34"/>
    <w:qFormat/>
    <w:rsid w:val="002543F7"/>
    <w:pPr>
      <w:ind w:left="720"/>
      <w:contextualSpacing/>
    </w:pPr>
  </w:style>
  <w:style w:type="character" w:styleId="af4">
    <w:name w:val="Hyperlink"/>
    <w:uiPriority w:val="99"/>
    <w:unhideWhenUsed/>
    <w:rsid w:val="009370EB"/>
    <w:rPr>
      <w:color w:val="0000FF"/>
      <w:u w:val="single"/>
    </w:rPr>
  </w:style>
  <w:style w:type="paragraph" w:styleId="11">
    <w:name w:val="toc 1"/>
    <w:basedOn w:val="a"/>
    <w:next w:val="a"/>
    <w:autoRedefine/>
    <w:uiPriority w:val="39"/>
    <w:unhideWhenUsed/>
    <w:rsid w:val="003B2A37"/>
    <w:pPr>
      <w:spacing w:after="100"/>
    </w:pPr>
  </w:style>
  <w:style w:type="paragraph" w:styleId="af5">
    <w:name w:val="header"/>
    <w:basedOn w:val="a"/>
    <w:link w:val="af6"/>
    <w:uiPriority w:val="99"/>
    <w:unhideWhenUsed/>
    <w:rsid w:val="00AC697C"/>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AC697C"/>
  </w:style>
  <w:style w:type="paragraph" w:styleId="af7">
    <w:name w:val="footer"/>
    <w:basedOn w:val="a"/>
    <w:link w:val="af8"/>
    <w:uiPriority w:val="99"/>
    <w:unhideWhenUsed/>
    <w:rsid w:val="00AC697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AC697C"/>
  </w:style>
  <w:style w:type="character" w:customStyle="1" w:styleId="10">
    <w:name w:val="Заголовок 1 Знак"/>
    <w:basedOn w:val="a0"/>
    <w:link w:val="1"/>
    <w:rsid w:val="00AC697C"/>
    <w:rPr>
      <w:rFonts w:ascii="Cambria" w:eastAsia="Cambria" w:hAnsi="Cambria" w:cs="Cambria"/>
      <w:b/>
      <w:color w:val="3660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4597">
      <w:bodyDiv w:val="1"/>
      <w:marLeft w:val="0"/>
      <w:marRight w:val="0"/>
      <w:marTop w:val="0"/>
      <w:marBottom w:val="0"/>
      <w:divBdr>
        <w:top w:val="none" w:sz="0" w:space="0" w:color="auto"/>
        <w:left w:val="none" w:sz="0" w:space="0" w:color="auto"/>
        <w:bottom w:val="none" w:sz="0" w:space="0" w:color="auto"/>
        <w:right w:val="none" w:sz="0" w:space="0" w:color="auto"/>
      </w:divBdr>
    </w:div>
    <w:div w:id="852844175">
      <w:bodyDiv w:val="1"/>
      <w:marLeft w:val="0"/>
      <w:marRight w:val="0"/>
      <w:marTop w:val="0"/>
      <w:marBottom w:val="0"/>
      <w:divBdr>
        <w:top w:val="none" w:sz="0" w:space="0" w:color="auto"/>
        <w:left w:val="none" w:sz="0" w:space="0" w:color="auto"/>
        <w:bottom w:val="none" w:sz="0" w:space="0" w:color="auto"/>
        <w:right w:val="none" w:sz="0" w:space="0" w:color="auto"/>
      </w:divBdr>
    </w:div>
    <w:div w:id="1288468738">
      <w:bodyDiv w:val="1"/>
      <w:marLeft w:val="0"/>
      <w:marRight w:val="0"/>
      <w:marTop w:val="0"/>
      <w:marBottom w:val="0"/>
      <w:divBdr>
        <w:top w:val="none" w:sz="0" w:space="0" w:color="auto"/>
        <w:left w:val="none" w:sz="0" w:space="0" w:color="auto"/>
        <w:bottom w:val="none" w:sz="0" w:space="0" w:color="auto"/>
        <w:right w:val="none" w:sz="0" w:space="0" w:color="auto"/>
      </w:divBdr>
    </w:div>
    <w:div w:id="1579053481">
      <w:bodyDiv w:val="1"/>
      <w:marLeft w:val="0"/>
      <w:marRight w:val="0"/>
      <w:marTop w:val="0"/>
      <w:marBottom w:val="0"/>
      <w:divBdr>
        <w:top w:val="none" w:sz="0" w:space="0" w:color="auto"/>
        <w:left w:val="none" w:sz="0" w:space="0" w:color="auto"/>
        <w:bottom w:val="none" w:sz="0" w:space="0" w:color="auto"/>
        <w:right w:val="none" w:sz="0" w:space="0" w:color="auto"/>
      </w:divBdr>
    </w:div>
    <w:div w:id="1898011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jXoGGPxCJ5rVyTsCwOLmjvhrFY0NIbaDn745wPcbg1M/edit"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document/d/1jXoGGPxCJ5rVyTsCwOLmjvhrFY0NIbaDn745wPcbg1M/edit"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jXoGGPxCJ5rVyTsCwOLmjvhrFY0NIbaDn745wPcbg1M/edit" TargetMode="External"/><Relationship Id="rId24" Type="http://schemas.openxmlformats.org/officeDocument/2006/relationships/image" Target="media/image12.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s://docs.google.com/document/d/1jXoGGPxCJ5rVyTsCwOLmjvhrFY0NIbaDn745wPcbg1M/edit"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jXoGGPxCJ5rVyTsCwOLmjvhrFY0NIbaDn745wPcbg1M/edit"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9F4FD-6E2D-4860-9BD0-281CB85E4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56</Pages>
  <Words>8303</Words>
  <Characters>47328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Пользователь Windows</cp:lastModifiedBy>
  <cp:revision>32</cp:revision>
  <cp:lastPrinted>2022-12-08T07:55:00Z</cp:lastPrinted>
  <dcterms:created xsi:type="dcterms:W3CDTF">2022-12-09T17:35:00Z</dcterms:created>
  <dcterms:modified xsi:type="dcterms:W3CDTF">2022-12-09T18:00:00Z</dcterms:modified>
</cp:coreProperties>
</file>