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EB" w:rsidRPr="00CC65A6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CC65A6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Ministry of Science and Higher Education of the Russian Federation Volga Polytechnic Institute (branch) </w:t>
      </w: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</w:pPr>
      <w:proofErr w:type="gramStart"/>
      <w:r w:rsidRPr="00CC65A6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of</w:t>
      </w:r>
      <w:proofErr w:type="gramEnd"/>
      <w:r w:rsidRPr="00CC65A6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 the Federal State Educational Institution of Higher Education "Volgograd State Technical University" </w:t>
      </w: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D2E3FC"/>
        </w:rPr>
      </w:pPr>
      <w:r w:rsidRPr="00CC65A6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(VPI (branch) </w:t>
      </w:r>
      <w:proofErr w:type="spellStart"/>
      <w:r w:rsidRPr="00CC65A6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VolgGTU</w:t>
      </w:r>
      <w:proofErr w:type="spellEnd"/>
      <w:r w:rsidRPr="00CC65A6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)</w:t>
      </w:r>
      <w:r w:rsidRPr="00CC65A6">
        <w:rPr>
          <w:rFonts w:ascii="Arial" w:hAnsi="Arial" w:cs="Arial"/>
          <w:b/>
          <w:color w:val="000000"/>
          <w:sz w:val="28"/>
          <w:szCs w:val="28"/>
          <w:shd w:val="clear" w:color="auto" w:fill="D2E3FC"/>
        </w:rPr>
        <w:t xml:space="preserve"> </w:t>
      </w: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Faculty of Engineering and Economics</w:t>
      </w:r>
      <w:r w:rsidRPr="00CC65A6">
        <w:rPr>
          <w:rFonts w:ascii="Arial" w:hAnsi="Arial" w:cs="Arial"/>
          <w:color w:val="000000"/>
          <w:sz w:val="28"/>
          <w:szCs w:val="28"/>
          <w:shd w:val="clear" w:color="auto" w:fill="D2E3FC"/>
        </w:rPr>
        <w:t xml:space="preserve"> </w:t>
      </w: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Department of Economics and Management</w:t>
      </w:r>
      <w:r w:rsidRPr="00CC65A6">
        <w:rPr>
          <w:rFonts w:ascii="Arial" w:hAnsi="Arial" w:cs="Arial"/>
          <w:color w:val="000000"/>
          <w:sz w:val="28"/>
          <w:szCs w:val="28"/>
          <w:shd w:val="clear" w:color="auto" w:fill="D2E3FC"/>
        </w:rPr>
        <w:t xml:space="preserve"> </w:t>
      </w:r>
    </w:p>
    <w:p w:rsidR="00667CEB" w:rsidRPr="00CC65A6" w:rsidRDefault="00CC65A6" w:rsidP="00667CEB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VMZ</w:t>
      </w:r>
      <w:r w:rsidR="00667CEB"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-</w:t>
      </w: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483</w:t>
      </w:r>
      <w:r w:rsidR="00667CEB"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group </w:t>
      </w:r>
    </w:p>
    <w:p w:rsidR="00667CEB" w:rsidRPr="00CC65A6" w:rsidRDefault="00667CEB" w:rsidP="00667CEB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</w:p>
    <w:p w:rsidR="00667CEB" w:rsidRPr="00CC65A6" w:rsidRDefault="00667CEB" w:rsidP="00667CEB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</w:p>
    <w:p w:rsidR="00667CEB" w:rsidRPr="00CC65A6" w:rsidRDefault="00667CEB" w:rsidP="00667CEB">
      <w:pPr>
        <w:spacing w:after="0" w:line="36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shd w:val="clear" w:color="auto" w:fill="D2E3FC"/>
        </w:rPr>
      </w:pPr>
      <w:r w:rsidRPr="00CC65A6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 xml:space="preserve"> BUSINESS SOCIAL RESPONSIBILITY</w:t>
      </w:r>
      <w:r w:rsidRPr="00CC65A6">
        <w:rPr>
          <w:rFonts w:ascii="Arial" w:hAnsi="Arial" w:cs="Arial"/>
          <w:b/>
          <w:color w:val="244061" w:themeColor="accent1" w:themeShade="80"/>
          <w:sz w:val="32"/>
          <w:szCs w:val="32"/>
          <w:shd w:val="clear" w:color="auto" w:fill="FFFFFF" w:themeFill="background1"/>
        </w:rPr>
        <w:t xml:space="preserve"> </w:t>
      </w: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Topic: "Policy of the Corporation "</w:t>
      </w:r>
      <w:proofErr w:type="spellStart"/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Tatneft</w:t>
      </w:r>
      <w:proofErr w:type="spellEnd"/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" in the field of corporate social </w:t>
      </w: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proofErr w:type="gramStart"/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responsibility</w:t>
      </w:r>
      <w:proofErr w:type="gramEnd"/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"</w:t>
      </w:r>
    </w:p>
    <w:p w:rsidR="00CC65A6" w:rsidRPr="00CC65A6" w:rsidRDefault="00CC65A6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667CEB" w:rsidRPr="00CC65A6" w:rsidRDefault="00CC65A6" w:rsidP="00CC65A6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CC65A6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="00667CEB" w:rsidRPr="00CC65A6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Authors</w:t>
      </w:r>
      <w:r w:rsidR="00667CEB"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="00667CEB"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Redkina</w:t>
      </w:r>
      <w:proofErr w:type="spellEnd"/>
      <w:r w:rsidR="00667CEB"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667CEB"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Albina</w:t>
      </w:r>
      <w:proofErr w:type="spellEnd"/>
      <w:r w:rsidR="00667CEB"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667CEB"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Myhtarovna</w:t>
      </w:r>
      <w:proofErr w:type="spellEnd"/>
      <w:r w:rsidR="00667CEB"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 w:rsidRPr="00CC65A6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Supervisor</w:t>
      </w:r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Medvedeva</w:t>
      </w:r>
      <w:proofErr w:type="spellEnd"/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Lyudmila </w:t>
      </w:r>
      <w:proofErr w:type="spellStart"/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Nikolaevna</w:t>
      </w:r>
      <w:proofErr w:type="spellEnd"/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, Doctor of Economics, Professor</w:t>
      </w:r>
      <w:r w:rsidRPr="00CC65A6">
        <w:rPr>
          <w:rFonts w:ascii="Arial" w:hAnsi="Arial" w:cs="Arial"/>
          <w:color w:val="000000"/>
          <w:sz w:val="28"/>
          <w:szCs w:val="28"/>
          <w:shd w:val="clear" w:color="auto" w:fill="D2E3FC"/>
        </w:rPr>
        <w:t xml:space="preserve"> </w:t>
      </w:r>
    </w:p>
    <w:p w:rsidR="00667CEB" w:rsidRPr="00CC65A6" w:rsidRDefault="00CC65A6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 w:rsidRPr="00CC65A6">
        <w:rPr>
          <w:rFonts w:ascii="Arial" w:hAnsi="Arial" w:cs="Arial"/>
          <w:noProof/>
          <w:color w:val="000000"/>
          <w:sz w:val="28"/>
          <w:szCs w:val="28"/>
          <w:shd w:val="clear" w:color="auto" w:fill="D2E3FC"/>
          <w:lang w:eastAsia="ru-RU"/>
        </w:rPr>
        <w:drawing>
          <wp:inline distT="0" distB="0" distL="0" distR="0">
            <wp:extent cx="4109421" cy="2196487"/>
            <wp:effectExtent l="0" t="0" r="5715" b="0"/>
            <wp:docPr id="1" name="Рисунок 2" descr="C:\Users\Milena\Desktop\feeadba7b91af4ee488220b6328f0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feeadba7b91af4ee488220b6328f07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80" cy="22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A6" w:rsidRPr="00CC65A6" w:rsidRDefault="00CC65A6" w:rsidP="00CC65A6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667CEB" w:rsidRPr="00CC65A6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Volzhsky</w:t>
      </w:r>
      <w:proofErr w:type="spellEnd"/>
    </w:p>
    <w:p w:rsidR="00667CEB" w:rsidRPr="00C73A6D" w:rsidRDefault="00667CEB" w:rsidP="00667CE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C65A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2023</w:t>
      </w:r>
    </w:p>
    <w:p w:rsidR="00146215" w:rsidRDefault="00054A1C" w:rsidP="00054A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6D6AFB">
        <w:rPr>
          <w:rFonts w:ascii="Times New Roman" w:hAnsi="Times New Roman"/>
          <w:b/>
          <w:sz w:val="28"/>
          <w:szCs w:val="28"/>
          <w:lang w:val="ru-RU"/>
        </w:rPr>
        <w:lastRenderedPageBreak/>
        <w:t>ВВЕДЕНИЕ</w:t>
      </w: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Актуальность социальной ответственности бизнеса состоит в том, что еще несколько лет назад на фоне глобальных реформ, жесточайшего экономического кризиса и периода первичного накопления капитала, взаимоотношение бизнеса и государства носили сложный, бессистемный характер, а под социальной ответственностью понималась благотворительная деятельность отдельных представителей делового сообщества.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Компании, стремящиеся занять твердое положение в российском обществе, постепенно приходят к пониманию того, что декларируемые ранее намерения о социальной ответственности действительно становятся важной управленческой категорией, обеспечивающей высокую деловую репутацию, рыночную привлекательность, а так же расширенные возможности доступа к капиталу. 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Социальная ответственность – это еще и ответственность за формирующуюся социальную среду, моральный климат, нравственность общества. Это ответственность перед настоящим и будущим. Поэтому, осознавая свою общественную роль, компании, как социально ответственные субъекты, должны сегодня действовать таким образом, чтобы не повлечь социальный взрыв в будущем.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471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Цель исследования</w:t>
      </w:r>
      <w:r>
        <w:rPr>
          <w:rFonts w:ascii="Times New Roman" w:hAnsi="Times New Roman"/>
          <w:sz w:val="28"/>
          <w:szCs w:val="28"/>
          <w:lang w:val="ru-RU"/>
        </w:rPr>
        <w:t>– изучить политику «</w:t>
      </w:r>
      <w:r w:rsidR="001F6A9A">
        <w:rPr>
          <w:rFonts w:ascii="Times New Roman" w:hAnsi="Times New Roman"/>
          <w:sz w:val="28"/>
          <w:szCs w:val="28"/>
          <w:lang w:val="ru-RU"/>
        </w:rPr>
        <w:t>Татнефть</w:t>
      </w:r>
      <w:r>
        <w:rPr>
          <w:rFonts w:ascii="Times New Roman" w:hAnsi="Times New Roman"/>
          <w:sz w:val="28"/>
          <w:szCs w:val="28"/>
          <w:lang w:val="ru-RU"/>
        </w:rPr>
        <w:t>» в области корпоративной социальной ответственности.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работы: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-</w:t>
      </w:r>
      <w:r w:rsidR="00054A1C">
        <w:rPr>
          <w:rFonts w:ascii="Times New Roman" w:hAnsi="Times New Roman"/>
          <w:iCs/>
          <w:sz w:val="28"/>
          <w:szCs w:val="28"/>
          <w:lang w:val="ru-RU"/>
        </w:rPr>
        <w:t>п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остроить корпоративную и организационную структуры организации 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054A1C">
        <w:rPr>
          <w:rFonts w:ascii="Times New Roman" w:hAnsi="Times New Roman"/>
          <w:iCs/>
          <w:sz w:val="28"/>
          <w:szCs w:val="28"/>
          <w:lang w:val="ru-RU"/>
        </w:rPr>
        <w:t>п</w:t>
      </w:r>
      <w:r>
        <w:rPr>
          <w:rFonts w:ascii="Times New Roman" w:hAnsi="Times New Roman"/>
          <w:iCs/>
          <w:sz w:val="28"/>
          <w:szCs w:val="28"/>
          <w:lang w:val="ru-RU"/>
        </w:rPr>
        <w:t>редставить основные документы, отражающие политику комплекса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описать социальную ответственность компании.</w:t>
      </w:r>
    </w:p>
    <w:p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РАЗДЕЛ СОБСТВЕННОСТЬ, ОРГАНИЗАЦИОННОЕ УПРАВЛЕНИЕ, КОМПЛАЕНС</w:t>
      </w:r>
    </w:p>
    <w:p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0F12" w:rsidRPr="00730F12" w:rsidRDefault="00730F12" w:rsidP="00730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F12">
        <w:rPr>
          <w:rFonts w:ascii="Times New Roman" w:hAnsi="Times New Roman"/>
          <w:sz w:val="28"/>
          <w:szCs w:val="28"/>
          <w:lang w:val="ru-RU"/>
        </w:rPr>
        <w:t>«Татнефть» - одна из крупнейших российских вертикально-интегрированных компаний, в составе которой динамично развиваются нефтегазодобыча, нефтепереработка, нефтегазохимия, сеть АЗС, композитный кластер, электроэнергетика, разработка и производство оборудования для нефтегазовой отрасли и блок сервисных структур.</w:t>
      </w:r>
      <w:r w:rsidR="009A47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0F12">
        <w:rPr>
          <w:rFonts w:ascii="Times New Roman" w:hAnsi="Times New Roman"/>
          <w:sz w:val="28"/>
          <w:szCs w:val="28"/>
          <w:lang w:val="ru-RU"/>
        </w:rPr>
        <w:t>Основные активы компании расположены на территории Республики Татарстан, бизнес-проекты ведутся на внутреннем и зарубежном рынках.</w:t>
      </w:r>
    </w:p>
    <w:p w:rsidR="001F6A9A" w:rsidRDefault="00730F12" w:rsidP="00730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0F12">
        <w:rPr>
          <w:rFonts w:ascii="Times New Roman" w:hAnsi="Times New Roman"/>
          <w:sz w:val="28"/>
          <w:szCs w:val="28"/>
          <w:lang w:val="ru-RU"/>
        </w:rPr>
        <w:t>«Татнефть» является одной из крупнейших российских публичных компаний с рыночной капитализацией более 1,1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трлн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начало 2022 года</w:t>
      </w:r>
      <w:r w:rsidRPr="00730F12">
        <w:rPr>
          <w:rFonts w:ascii="Times New Roman" w:hAnsi="Times New Roman"/>
          <w:sz w:val="28"/>
          <w:szCs w:val="28"/>
          <w:lang w:val="ru-RU"/>
        </w:rPr>
        <w:t>. По данным Forbes Global 2000, в 2020 году Татнефть занял 539-е место среди крупнейших ком</w:t>
      </w:r>
      <w:r>
        <w:rPr>
          <w:rFonts w:ascii="Times New Roman" w:hAnsi="Times New Roman"/>
          <w:sz w:val="28"/>
          <w:szCs w:val="28"/>
          <w:lang w:val="ru-RU"/>
        </w:rPr>
        <w:t>паний мира по объёму листинга</w:t>
      </w:r>
      <w:r w:rsidRPr="00730F12">
        <w:rPr>
          <w:rFonts w:ascii="Times New Roman" w:hAnsi="Times New Roman"/>
          <w:sz w:val="28"/>
          <w:szCs w:val="28"/>
          <w:lang w:val="ru-RU"/>
        </w:rPr>
        <w:t>.</w:t>
      </w:r>
    </w:p>
    <w:p w:rsidR="00DD1B55" w:rsidRDefault="00DD1B55" w:rsidP="00DD1B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79800" cy="2324100"/>
            <wp:effectExtent l="19050" t="0" r="6350" b="0"/>
            <wp:docPr id="7" name="Рисунок 6" descr="Tatneft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neft_H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Год создания:</w:t>
      </w:r>
      <w:r w:rsidR="001068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5"/>
          <w:sz w:val="28"/>
          <w:szCs w:val="28"/>
          <w:shd w:val="clear" w:color="auto" w:fill="FFFFFF"/>
          <w:lang w:val="ru-RU"/>
        </w:rPr>
        <w:t>19</w:t>
      </w:r>
      <w:r w:rsidR="00106804">
        <w:rPr>
          <w:rFonts w:ascii="Times New Roman" w:hAnsi="Times New Roman"/>
          <w:spacing w:val="5"/>
          <w:sz w:val="28"/>
          <w:szCs w:val="28"/>
          <w:shd w:val="clear" w:color="auto" w:fill="FFFFFF"/>
          <w:lang w:val="ru-RU"/>
        </w:rPr>
        <w:t>50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г.;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Отраслевая специализация: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804">
        <w:rPr>
          <w:rFonts w:ascii="Times New Roman" w:hAnsi="Times New Roman"/>
          <w:sz w:val="28"/>
          <w:szCs w:val="28"/>
          <w:lang w:val="ru-RU"/>
        </w:rPr>
        <w:t>нефть и природный газ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Количество работников: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1068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60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000</w:t>
      </w:r>
      <w:r w:rsidR="001068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работников;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совета директоров: 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106804" w:rsidRPr="001068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Рустам Минниханов</w:t>
      </w:r>
    </w:p>
    <w:p w:rsidR="00106804" w:rsidRPr="00106804" w:rsidRDefault="006D6AFB" w:rsidP="00106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Генеральный директор:</w:t>
      </w:r>
      <w:r w:rsidR="00106804" w:rsidRPr="00106804">
        <w:rPr>
          <w:lang w:val="ru-RU"/>
        </w:rPr>
        <w:t xml:space="preserve"> </w:t>
      </w:r>
      <w:proofErr w:type="spellStart"/>
      <w:r w:rsidR="00106804" w:rsidRPr="00106804">
        <w:rPr>
          <w:rFonts w:ascii="Times New Roman" w:hAnsi="Times New Roman"/>
          <w:sz w:val="28"/>
          <w:szCs w:val="28"/>
          <w:lang w:val="ru-RU"/>
        </w:rPr>
        <w:t>Маганов</w:t>
      </w:r>
      <w:proofErr w:type="spellEnd"/>
      <w:r w:rsidR="00106804" w:rsidRPr="001068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804" w:rsidRPr="00106804">
        <w:rPr>
          <w:rFonts w:ascii="Times New Roman" w:hAnsi="Times New Roman"/>
          <w:sz w:val="28"/>
          <w:szCs w:val="28"/>
          <w:lang w:val="ru-RU"/>
        </w:rPr>
        <w:t>Наиль</w:t>
      </w:r>
      <w:proofErr w:type="spellEnd"/>
      <w:r w:rsidR="00106804" w:rsidRPr="001068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6804" w:rsidRPr="00106804">
        <w:rPr>
          <w:rFonts w:ascii="Times New Roman" w:hAnsi="Times New Roman"/>
          <w:sz w:val="28"/>
          <w:szCs w:val="28"/>
          <w:lang w:val="ru-RU"/>
        </w:rPr>
        <w:t>Ульфатович</w:t>
      </w:r>
      <w:proofErr w:type="spellEnd"/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Средняя заработная плата: </w:t>
      </w:r>
      <w:r>
        <w:rPr>
          <w:rFonts w:ascii="Times New Roman" w:hAnsi="Times New Roman"/>
          <w:sz w:val="28"/>
          <w:szCs w:val="28"/>
          <w:lang w:val="ru-RU"/>
        </w:rPr>
        <w:t>45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000 руб.;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Уставный капитал: </w:t>
      </w:r>
      <w:r w:rsidR="00106804">
        <w:rPr>
          <w:rFonts w:ascii="Times New Roman" w:hAnsi="Times New Roman"/>
          <w:sz w:val="28"/>
          <w:szCs w:val="28"/>
          <w:lang w:val="ru-RU"/>
        </w:rPr>
        <w:t>943</w:t>
      </w:r>
      <w:r>
        <w:rPr>
          <w:rFonts w:ascii="Times New Roman" w:hAnsi="Times New Roman"/>
          <w:sz w:val="28"/>
          <w:szCs w:val="28"/>
          <w:lang w:val="ru-RU"/>
        </w:rPr>
        <w:t xml:space="preserve"> 684 801 000 руб.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Выручка: </w:t>
      </w:r>
      <w:r>
        <w:rPr>
          <w:rFonts w:ascii="Times New Roman" w:hAnsi="Times New Roman"/>
          <w:sz w:val="28"/>
          <w:szCs w:val="28"/>
          <w:lang w:val="ru-RU"/>
        </w:rPr>
        <w:t>4, 556 млрд. руб. (20</w:t>
      </w:r>
      <w:r w:rsidR="00106804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год);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Операционная прибыль: </w:t>
      </w:r>
      <w:r>
        <w:rPr>
          <w:rFonts w:ascii="Times New Roman" w:hAnsi="Times New Roman"/>
          <w:sz w:val="28"/>
          <w:szCs w:val="28"/>
          <w:lang w:val="ru-RU"/>
        </w:rPr>
        <w:t>9 932 581 000 руб. (20</w:t>
      </w:r>
      <w:r w:rsidR="00106804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>год);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Валовая прибыль: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483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млрд.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(2019 год);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Чистая прибыль: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6 255 693 000 руб. </w:t>
      </w:r>
      <w:r>
        <w:rPr>
          <w:rFonts w:ascii="Times New Roman" w:hAnsi="Times New Roman"/>
          <w:sz w:val="28"/>
          <w:szCs w:val="28"/>
          <w:lang w:val="ru-RU"/>
        </w:rPr>
        <w:t>(2019 год);</w:t>
      </w: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Количество размещенных обыкновенных акций: 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998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381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575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шт.;</w:t>
      </w: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Номинальная стоимость 1 шт.:</w:t>
      </w:r>
      <w:r w:rsidR="001068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06804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>руб.</w:t>
      </w:r>
    </w:p>
    <w:p w:rsidR="00106804" w:rsidRPr="00106804" w:rsidRDefault="00106804" w:rsidP="00106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804">
        <w:rPr>
          <w:rFonts w:ascii="Times New Roman" w:hAnsi="Times New Roman"/>
          <w:sz w:val="28"/>
          <w:szCs w:val="28"/>
          <w:lang w:val="ru-RU"/>
        </w:rPr>
        <w:t>Производственное объединение «Татнефть» создано Постановлением Совета Министров СССР в 1950 году в городе Бугульма Татарской АССР</w:t>
      </w:r>
      <w:r w:rsidR="002C11BA">
        <w:rPr>
          <w:rFonts w:ascii="Times New Roman" w:hAnsi="Times New Roman"/>
          <w:sz w:val="28"/>
          <w:szCs w:val="28"/>
          <w:lang w:val="ru-RU"/>
        </w:rPr>
        <w:t xml:space="preserve"> в составе нескольких трестов</w:t>
      </w:r>
      <w:r w:rsidRPr="00106804">
        <w:rPr>
          <w:rFonts w:ascii="Times New Roman" w:hAnsi="Times New Roman"/>
          <w:sz w:val="28"/>
          <w:szCs w:val="28"/>
          <w:lang w:val="ru-RU"/>
        </w:rPr>
        <w:t>. В 1994 году «Татнефть» преобразована в открытое акционерное общество.</w:t>
      </w:r>
    </w:p>
    <w:p w:rsidR="001F6A9A" w:rsidRDefault="00106804" w:rsidP="00106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804">
        <w:rPr>
          <w:rFonts w:ascii="Times New Roman" w:hAnsi="Times New Roman"/>
          <w:sz w:val="28"/>
          <w:szCs w:val="28"/>
          <w:lang w:val="ru-RU"/>
        </w:rPr>
        <w:t>5 июля 2019 года было подписано соглашение с компанией Neste о покупке розничного топливного бизнеса в России, состоящего из 75 АЗС и терминала в Санкт-Петербурге. В соответствии с отдельным соглашением после купли-продажи сеть АЗС могла продолжать функционировать п</w:t>
      </w:r>
      <w:r>
        <w:rPr>
          <w:rFonts w:ascii="Times New Roman" w:hAnsi="Times New Roman"/>
          <w:sz w:val="28"/>
          <w:szCs w:val="28"/>
          <w:lang w:val="ru-RU"/>
        </w:rPr>
        <w:t>од брендом Neste до 5 лет</w:t>
      </w:r>
      <w:r w:rsidRPr="00106804">
        <w:rPr>
          <w:rFonts w:ascii="Times New Roman" w:hAnsi="Times New Roman"/>
          <w:sz w:val="28"/>
          <w:szCs w:val="28"/>
          <w:lang w:val="ru-RU"/>
        </w:rPr>
        <w:t>. В 2021 году начался перевод приобретё</w:t>
      </w:r>
      <w:r>
        <w:rPr>
          <w:rFonts w:ascii="Times New Roman" w:hAnsi="Times New Roman"/>
          <w:sz w:val="28"/>
          <w:szCs w:val="28"/>
          <w:lang w:val="ru-RU"/>
        </w:rPr>
        <w:t>нных АЗС под бренд «Татнефти»</w:t>
      </w:r>
      <w:r w:rsidRPr="00106804">
        <w:rPr>
          <w:rFonts w:ascii="Times New Roman" w:hAnsi="Times New Roman"/>
          <w:sz w:val="28"/>
          <w:szCs w:val="28"/>
          <w:lang w:val="ru-RU"/>
        </w:rPr>
        <w:t>.</w:t>
      </w:r>
    </w:p>
    <w:p w:rsidR="00052410" w:rsidRDefault="00052410" w:rsidP="00052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410">
        <w:rPr>
          <w:rFonts w:ascii="Times New Roman" w:hAnsi="Times New Roman"/>
          <w:sz w:val="28"/>
          <w:szCs w:val="28"/>
          <w:lang w:val="ru-RU"/>
        </w:rPr>
        <w:t xml:space="preserve">Чистая прибыль «Татнефти» по международным стандартам финансовой отчётности в 2020 году снизилась на 46,2% по сравнению с 2019 годом, до 103,49 млрд руб. В 2019 году «Татнефть» получила 192,2 млрд руб. чистой прибыли. </w:t>
      </w:r>
    </w:p>
    <w:p w:rsidR="001F6A9A" w:rsidRDefault="00052410" w:rsidP="00052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410">
        <w:rPr>
          <w:rFonts w:ascii="Times New Roman" w:hAnsi="Times New Roman"/>
          <w:sz w:val="28"/>
          <w:szCs w:val="28"/>
          <w:lang w:val="ru-RU"/>
        </w:rPr>
        <w:t>За 2020 год выручка достигла 720,7 млрд руб., что на 22,7% меньше, чем годом ранее. Скорректированная EBITDA за 2020 год снизилась на 43%, до 187,3 млрд руб. Среднесуточная добыча нефти в «Татнефти» за 2020 год уменьшилась на 12,9%, до 506 тыс. баррелей в сутки. Выпуск нефтепродуктов увеличи</w:t>
      </w:r>
      <w:r>
        <w:rPr>
          <w:rFonts w:ascii="Times New Roman" w:hAnsi="Times New Roman"/>
          <w:sz w:val="28"/>
          <w:szCs w:val="28"/>
          <w:lang w:val="ru-RU"/>
        </w:rPr>
        <w:t>лся на 12,2%, до 11,5 млн т.</w:t>
      </w:r>
    </w:p>
    <w:p w:rsidR="006324D4" w:rsidRPr="006324D4" w:rsidRDefault="006324D4" w:rsidP="0063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24D4">
        <w:rPr>
          <w:rFonts w:ascii="Times New Roman" w:hAnsi="Times New Roman"/>
          <w:sz w:val="28"/>
          <w:szCs w:val="28"/>
          <w:lang w:val="ru-RU"/>
        </w:rPr>
        <w:t xml:space="preserve">«Татнефти» по состоянию на 1 августа 2022 года принадлежит сеть из 790 АЗС, в том числе 770 – в Российской Федерации, 18 – в </w:t>
      </w:r>
      <w:r>
        <w:rPr>
          <w:rFonts w:ascii="Times New Roman" w:hAnsi="Times New Roman"/>
          <w:sz w:val="28"/>
          <w:szCs w:val="28"/>
          <w:lang w:val="ru-RU"/>
        </w:rPr>
        <w:t>Беларуси и 2 – в Узбекистане</w:t>
      </w:r>
      <w:r w:rsidRPr="006324D4">
        <w:rPr>
          <w:rFonts w:ascii="Times New Roman" w:hAnsi="Times New Roman"/>
          <w:sz w:val="28"/>
          <w:szCs w:val="28"/>
          <w:lang w:val="ru-RU"/>
        </w:rPr>
        <w:t>.</w:t>
      </w:r>
    </w:p>
    <w:p w:rsidR="00052410" w:rsidRDefault="006324D4" w:rsidP="0063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24D4">
        <w:rPr>
          <w:rFonts w:ascii="Times New Roman" w:hAnsi="Times New Roman"/>
          <w:sz w:val="28"/>
          <w:szCs w:val="28"/>
          <w:lang w:val="ru-RU"/>
        </w:rPr>
        <w:t>Помимо прочего, «Татнефть» является учредителем и через аффилированные структуры крупней</w:t>
      </w:r>
      <w:r>
        <w:rPr>
          <w:rFonts w:ascii="Times New Roman" w:hAnsi="Times New Roman"/>
          <w:sz w:val="28"/>
          <w:szCs w:val="28"/>
          <w:lang w:val="ru-RU"/>
        </w:rPr>
        <w:t>шим акционером банка «Зенит»</w:t>
      </w:r>
      <w:r w:rsidRPr="006324D4">
        <w:rPr>
          <w:rFonts w:ascii="Times New Roman" w:hAnsi="Times New Roman"/>
          <w:sz w:val="28"/>
          <w:szCs w:val="28"/>
          <w:lang w:val="ru-RU"/>
        </w:rPr>
        <w:t>.</w:t>
      </w:r>
    </w:p>
    <w:p w:rsidR="006324D4" w:rsidRDefault="006324D4" w:rsidP="0063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уставного</w:t>
      </w:r>
      <w:r w:rsidR="001068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капитала</w:t>
      </w:r>
      <w:r w:rsidR="006324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на 30.12.20</w:t>
      </w:r>
      <w:r>
        <w:rPr>
          <w:rFonts w:ascii="Times New Roman" w:hAnsi="Times New Roman"/>
          <w:b/>
          <w:sz w:val="28"/>
          <w:szCs w:val="28"/>
        </w:rPr>
        <w:t>22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2075"/>
        <w:gridCol w:w="2023"/>
        <w:gridCol w:w="1984"/>
        <w:gridCol w:w="1755"/>
      </w:tblGrid>
      <w:tr w:rsidR="00146215" w:rsidTr="009A471D">
        <w:trPr>
          <w:jc w:val="center"/>
        </w:trPr>
        <w:tc>
          <w:tcPr>
            <w:tcW w:w="2194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АОИ, шт.</w:t>
            </w:r>
          </w:p>
        </w:tc>
        <w:tc>
          <w:tcPr>
            <w:tcW w:w="2075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Номинал АОИ, руб.</w:t>
            </w:r>
          </w:p>
        </w:tc>
        <w:tc>
          <w:tcPr>
            <w:tcW w:w="2023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АПИ, шт.</w:t>
            </w:r>
          </w:p>
        </w:tc>
        <w:tc>
          <w:tcPr>
            <w:tcW w:w="1984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Номинал АПИ, руб.</w:t>
            </w:r>
          </w:p>
        </w:tc>
        <w:tc>
          <w:tcPr>
            <w:tcW w:w="1755" w:type="dxa"/>
          </w:tcPr>
          <w:p w:rsidR="00146215" w:rsidRDefault="006D6A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Уставный капитал, руб.</w:t>
            </w:r>
          </w:p>
        </w:tc>
      </w:tr>
      <w:tr w:rsidR="00146215" w:rsidTr="009A471D">
        <w:trPr>
          <w:jc w:val="center"/>
        </w:trPr>
        <w:tc>
          <w:tcPr>
            <w:tcW w:w="2194" w:type="dxa"/>
          </w:tcPr>
          <w:p w:rsidR="00146215" w:rsidRDefault="001F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6D6A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725 994 705</w:t>
            </w:r>
          </w:p>
        </w:tc>
        <w:tc>
          <w:tcPr>
            <w:tcW w:w="2075" w:type="dxa"/>
          </w:tcPr>
          <w:p w:rsidR="00146215" w:rsidRDefault="001F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023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998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381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575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146215" w:rsidRDefault="001F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55" w:type="dxa"/>
          </w:tcPr>
          <w:p w:rsidR="00146215" w:rsidRDefault="006D6A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12 684 801 000</w:t>
            </w:r>
          </w:p>
        </w:tc>
      </w:tr>
    </w:tbl>
    <w:p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7825F8" w:rsidP="007825F8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244032" cy="3552825"/>
            <wp:effectExtent l="19050" t="0" r="0" b="0"/>
            <wp:docPr id="5" name="Рисунок 4" descr="o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32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 w:rsidP="001F6A9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Рисунок 1 - Структура органов управления и контроля</w:t>
      </w:r>
      <w:r w:rsidR="001F6A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Корпорации </w:t>
      </w:r>
      <w:r w:rsidR="001F6A9A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«Татнефть»</w:t>
      </w:r>
    </w:p>
    <w:p w:rsidR="00A85A99" w:rsidRDefault="007825F8" w:rsidP="007825F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3999865"/>
            <wp:effectExtent l="19050" t="0" r="3175" b="0"/>
            <wp:docPr id="6" name="Рисунок 5" descr="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A9A" w:rsidRPr="007825F8" w:rsidRDefault="006D6AFB" w:rsidP="007825F8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Рисунок 2 - Организационная структура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Корпорации </w:t>
      </w:r>
      <w:r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</w:t>
      </w:r>
      <w:r w:rsidR="001F6A9A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Татнефть</w:t>
      </w:r>
      <w:r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»</w:t>
      </w:r>
    </w:p>
    <w:p w:rsidR="001F6A9A" w:rsidRDefault="001F6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B55" w:rsidRDefault="00DD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II.  КОРПОРАТИВНАЯ СОЦИАЛЬНАЯ ОТВЕСТВЕННОСТЬ КОМПАНИИ</w:t>
      </w:r>
    </w:p>
    <w:p w:rsidR="00146215" w:rsidRDefault="006D6AFB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Цели, задачи и сфера применения Политики КСО в компании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Корпорации </w:t>
      </w:r>
      <w:r w:rsidR="001F6A9A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«Татнефть»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 компании: </w:t>
      </w:r>
      <w:r w:rsidR="009A471D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реди возможностей компании следует отметить планы по открытию новых представительств в регионах, что приведёт к росту объёмов реализации товаров и услуг и росту прибыли, соответственно. Кроме того, сотрудничество с крупнейшими производителями автомобилей и запчастей позволит повысить качество товаров и услуг и расширить их ассортимент, а значит привлечёт дополнительное количество клиентов. 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планируется постепенно расширять номенклатуру товаров и услуг, что также поможет сохранить позиции на рынке и привлечь новых клиентов. Государственная поддержка автомобильного бизнеса также может благоприятно повлиять на деятельность компании.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Вместе с тем, в 20</w:t>
      </w:r>
      <w:r w:rsidRPr="00054A1C">
        <w:rPr>
          <w:rFonts w:ascii="Times New Roman" w:hAnsi="Times New Roman"/>
          <w:sz w:val="28"/>
          <w:szCs w:val="28"/>
          <w:lang w:val="ru-RU"/>
        </w:rPr>
        <w:t>2</w:t>
      </w:r>
      <w:r w:rsidR="00054A1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54A1C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компания успешно примен</w:t>
      </w:r>
      <w:r w:rsidR="00054A1C">
        <w:rPr>
          <w:rFonts w:ascii="Times New Roman" w:hAnsi="Times New Roman"/>
          <w:sz w:val="28"/>
          <w:szCs w:val="28"/>
          <w:lang w:val="ru-RU"/>
        </w:rPr>
        <w:t>яет</w:t>
      </w:r>
      <w:r>
        <w:rPr>
          <w:rFonts w:ascii="Times New Roman" w:hAnsi="Times New Roman"/>
          <w:sz w:val="28"/>
          <w:szCs w:val="28"/>
          <w:lang w:val="ru-RU"/>
        </w:rPr>
        <w:t xml:space="preserve">  новую стратегию развития бизнеса, которая позволила подготовиться к периоду экономической нестабильности и добиться максимальной эффективности. Она включает следующие меры: проведена глобальная реструктуризация холдинга: вся деятельность консолидирована в рамках четырех юридических лиц; управляющая компания переехала в собственный офис на Алтуфьевском шоссе; </w:t>
      </w:r>
    </w:p>
    <w:p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6D6AF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Основные принципы КСО</w:t>
      </w:r>
    </w:p>
    <w:p w:rsidR="00146215" w:rsidRDefault="00146215">
      <w:pPr>
        <w:pStyle w:val="a3"/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A85A99" w:rsidRPr="00A85A99" w:rsidRDefault="00A85A99" w:rsidP="00A85A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Корпоративное управление Компании осуществляется в строгом соответствии с требованиями законодательства, рекомендациями национального Кодекса корпоративного поведения и основывается на следующих принципах:</w:t>
      </w:r>
    </w:p>
    <w:p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Защита законных интересов и прав акционеров;</w:t>
      </w:r>
    </w:p>
    <w:p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Равное отношение ко всем акционерам;</w:t>
      </w:r>
    </w:p>
    <w:p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lastRenderedPageBreak/>
        <w:t>Взаимное доверие и уважение ко всем заинтересованным сторонам;</w:t>
      </w:r>
    </w:p>
    <w:p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Открытость при принятии корпоративных решений;</w:t>
      </w:r>
    </w:p>
    <w:p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Транспарентность и предоставление информации всем заинтересованным сторонам по стратегии развития и текущей деятельности;</w:t>
      </w:r>
    </w:p>
    <w:p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Персональная ответственность членов Совета директоров и исполнительных органов и их подотчетность Обществу и акционерам;</w:t>
      </w:r>
    </w:p>
    <w:p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Следование общепринятым стандартам деловой этики;</w:t>
      </w:r>
    </w:p>
    <w:p w:rsidR="00A85A99" w:rsidRPr="00A85A99" w:rsidRDefault="00A85A99" w:rsidP="00A85A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A99">
        <w:rPr>
          <w:rFonts w:ascii="Times New Roman" w:hAnsi="Times New Roman"/>
          <w:sz w:val="28"/>
          <w:szCs w:val="28"/>
          <w:lang w:val="ru-RU"/>
        </w:rPr>
        <w:t>Постоянное совершенствование системы корпоративного управления на основе лучшей мировой и отечественной практики.</w:t>
      </w:r>
    </w:p>
    <w:p w:rsidR="00A85A99" w:rsidRDefault="00A85A99" w:rsidP="00A85A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Взаимодействие с заинтересованными сторонами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Компаниярассматривает своих работников как ключевой стратегический ресурс, а расходы на персонал – как долгосрочные инвестиции в развитие Общества. Поэтому Компания старается обеспечить комфортные условия для своих сотрудников: совершенствование корпоративной культуры, создание условий для развития творческих и интеллектуальных способностей работников, реализация социальной политики и наличие безопасных условий труда.</w:t>
      </w:r>
    </w:p>
    <w:p w:rsidR="00146215" w:rsidRDefault="006D6A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Взаимодействие Общества с дочерними и зависимыми обществами направлено на повышение общей капитализации Общества. Потому, Компания внедряет в их деятельность принципы корпоративного управления и предотвращает появление корпоративных конфликтов.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Подход к управлению КСО</w:t>
      </w:r>
    </w:p>
    <w:p w:rsidR="00A85A99" w:rsidRDefault="00A85A9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 Компании действует двухуровневая структура управления, в которой Совет директоров осуществляет контроль над деятельностью Единоличного исполнительного органа — генерального директора.</w:t>
      </w:r>
    </w:p>
    <w:p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Органами управления Общества являются:</w:t>
      </w:r>
    </w:p>
    <w:p w:rsidR="00146215" w:rsidRDefault="006D6AFB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Общее собрание акционеров</w:t>
      </w:r>
    </w:p>
    <w:p w:rsidR="00146215" w:rsidRDefault="006D6AFB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Совет директоров</w:t>
      </w:r>
    </w:p>
    <w:p w:rsidR="00146215" w:rsidRDefault="006D6AFB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Генеральный директор</w:t>
      </w:r>
    </w:p>
    <w:p w:rsidR="00146215" w:rsidRDefault="006D6AFB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Управление корпоративным поведением</w:t>
      </w:r>
    </w:p>
    <w:p w:rsidR="00146215" w:rsidRDefault="0014621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Конкретные процедуры и практика корпоративного поведения представлены в ряде внутренних документов Общества, среди которых:</w:t>
      </w:r>
    </w:p>
    <w:p w:rsidR="00146215" w:rsidRDefault="006D6AFB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Кодекскорпоративногоуправления;</w:t>
      </w:r>
    </w:p>
    <w:p w:rsidR="00146215" w:rsidRDefault="006D6AFB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Службе внутреннего аудита;</w:t>
      </w:r>
    </w:p>
    <w:p w:rsidR="00146215" w:rsidRDefault="006D6AFB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внутреннемконтроле;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Корпоративная культура  формировалась в ее начальный период вокруг интуитивного чувства «мы – другие», «мы можем то, чего другие не могут». Подчеркивание социальной дистанции как центрального звена корпоративной культуры постепенно привело к формированию некоего идеала – западного стиля. Это, конечно, был условный Запад. 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Основная смысловая нагрузка этой идеи была: западное, то есть не советское. Даже сама ориентация на Запад родилась из известной анти-ценности «преклонения перед Западом», то есть имело вполне советское происхождение.</w:t>
      </w: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Управление влиянием на внутреннюю среду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Внутренний контроль – это система процедур, осуществляемых Советом директоров, исполнительными и контрольными органами, должностными лицами и иными сотрудниками Общества, направленных на обеспечение результативности и эффективности операционной и инвестиционной деятельности Общества, надежности и достоверности всех видов отчетности Общества, соблюдения требований законодательных актов и внутренних нормативных документов Общества.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Пристальное внимание процессу обучения и повышения квалификации сотрудников. Организация обязательного обучения для рабочих и инженеров Компании полностью соответствует требованиям законодательства РФ и включает в себя целый комплекс мероприятий (курсы профессиональной подготовки и переподготовки, повышение квалификации рабочих, семинары и тренинги для менеджмента и специалистов).</w:t>
      </w:r>
    </w:p>
    <w:p w:rsidR="00146215" w:rsidRPr="00757AD2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Обязательное повышение квалификации проходят все инженерно-технические работники Компании не реже чем один раз в 6 лет. </w:t>
      </w:r>
    </w:p>
    <w:p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 Управление влиянием на социальную среду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компании декларируются следующие принципы управления: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Делегирование полномочий – передача задач и полномочий лицу, которое принимает на себя ответственность за их выполнение.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Ответственность – выполнение работником конкретных рабочих требований, когда он занимает определенную должность в организации (должностные инструкции).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Полномочия и их пределы – право использовать ресурсы компании и направлять усилия ее сотрудников на выполнение поставленных задач в пределах, определяемых политикой, процедурами, правилами и должностными инструкциями.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Вознаграждение персонала. Для того чтобы обеспечить верность и поддержку работников, они должны получать справедливую зарплату. Стабильность рабочего места для персонала. Большая текучесть кадров снижает эффективность организации, а, следовательно, её конкурентоспособность.</w:t>
      </w:r>
    </w:p>
    <w:p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A9A" w:rsidRDefault="001F6A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B55" w:rsidRDefault="00DD1B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B55" w:rsidRDefault="00DD1B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9. Управление влиянием на экологию</w:t>
      </w:r>
    </w:p>
    <w:p w:rsidR="00146215" w:rsidRDefault="0014621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Pr="00D739B8" w:rsidRDefault="006D6AFB" w:rsidP="00D739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D739B8">
        <w:rPr>
          <w:rFonts w:ascii="Times New Roman" w:hAnsi="Times New Roman"/>
          <w:sz w:val="28"/>
          <w:szCs w:val="28"/>
          <w:lang w:val="ru-RU"/>
        </w:rPr>
        <w:t>Целью разработки и реализации Экологической Политики является достижение наименьшего негативного воздействия на окружающую среду путем бережного отношения к природе и природным ресурсам, снижения объемов и токсичности выбросов в атмосферу и производственных отходов.</w:t>
      </w:r>
    </w:p>
    <w:p w:rsidR="00D739B8" w:rsidRPr="00D739B8" w:rsidRDefault="00D739B8" w:rsidP="00D739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39B8">
        <w:rPr>
          <w:rFonts w:ascii="Times New Roman" w:hAnsi="Times New Roman"/>
          <w:bCs/>
          <w:sz w:val="28"/>
          <w:szCs w:val="28"/>
          <w:lang w:val="ru-RU"/>
        </w:rPr>
        <w:t>Научно-методическое обеспечение природоохранной деятельности Компании осуществляет институт «</w:t>
      </w:r>
      <w:proofErr w:type="spellStart"/>
      <w:r w:rsidRPr="00D739B8">
        <w:rPr>
          <w:rFonts w:ascii="Times New Roman" w:hAnsi="Times New Roman"/>
          <w:bCs/>
          <w:sz w:val="28"/>
          <w:szCs w:val="28"/>
          <w:lang w:val="ru-RU"/>
        </w:rPr>
        <w:t>ТатНИПИнефть</w:t>
      </w:r>
      <w:proofErr w:type="spellEnd"/>
      <w:r w:rsidRPr="00D739B8">
        <w:rPr>
          <w:rFonts w:ascii="Times New Roman" w:hAnsi="Times New Roman"/>
          <w:bCs/>
          <w:sz w:val="28"/>
          <w:szCs w:val="28"/>
          <w:lang w:val="ru-RU"/>
        </w:rPr>
        <w:t>», входящий в</w:t>
      </w:r>
      <w:r w:rsidRPr="00D739B8">
        <w:rPr>
          <w:rFonts w:ascii="Times New Roman" w:hAnsi="Times New Roman"/>
          <w:bCs/>
          <w:sz w:val="28"/>
          <w:szCs w:val="28"/>
        </w:rPr>
        <w:t> </w:t>
      </w:r>
      <w:r w:rsidRPr="00D739B8">
        <w:rPr>
          <w:rFonts w:ascii="Times New Roman" w:hAnsi="Times New Roman"/>
          <w:bCs/>
          <w:sz w:val="28"/>
          <w:szCs w:val="28"/>
          <w:lang w:val="ru-RU"/>
        </w:rPr>
        <w:t xml:space="preserve">Группу «Татнефть». </w:t>
      </w:r>
    </w:p>
    <w:p w:rsidR="00146215" w:rsidRPr="00D739B8" w:rsidRDefault="00D739B8" w:rsidP="00D739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39B8">
        <w:rPr>
          <w:rFonts w:ascii="Times New Roman" w:hAnsi="Times New Roman"/>
          <w:bCs/>
          <w:sz w:val="28"/>
          <w:szCs w:val="28"/>
          <w:lang w:val="ru-RU"/>
        </w:rPr>
        <w:t>Компания взаимодействует с</w:t>
      </w:r>
      <w:r w:rsidRPr="00D739B8">
        <w:rPr>
          <w:rFonts w:ascii="Times New Roman" w:hAnsi="Times New Roman"/>
          <w:bCs/>
          <w:sz w:val="28"/>
          <w:szCs w:val="28"/>
        </w:rPr>
        <w:t> </w:t>
      </w:r>
      <w:r w:rsidRPr="00D739B8">
        <w:rPr>
          <w:rFonts w:ascii="Times New Roman" w:hAnsi="Times New Roman"/>
          <w:bCs/>
          <w:sz w:val="28"/>
          <w:szCs w:val="28"/>
          <w:lang w:val="ru-RU"/>
        </w:rPr>
        <w:t>ведущими научно-исследовательскими организациями, реализует совместные исследования и</w:t>
      </w:r>
      <w:r w:rsidRPr="00D739B8">
        <w:rPr>
          <w:rFonts w:ascii="Times New Roman" w:hAnsi="Times New Roman"/>
          <w:bCs/>
          <w:sz w:val="28"/>
          <w:szCs w:val="28"/>
        </w:rPr>
        <w:t> </w:t>
      </w:r>
      <w:r w:rsidRPr="00D739B8">
        <w:rPr>
          <w:rFonts w:ascii="Times New Roman" w:hAnsi="Times New Roman"/>
          <w:bCs/>
          <w:sz w:val="28"/>
          <w:szCs w:val="28"/>
          <w:lang w:val="ru-RU"/>
        </w:rPr>
        <w:t>проекты с</w:t>
      </w:r>
      <w:r w:rsidRPr="00D739B8">
        <w:rPr>
          <w:rFonts w:ascii="Times New Roman" w:hAnsi="Times New Roman"/>
          <w:bCs/>
          <w:sz w:val="28"/>
          <w:szCs w:val="28"/>
        </w:rPr>
        <w:t> </w:t>
      </w:r>
      <w:r w:rsidRPr="00D739B8">
        <w:rPr>
          <w:rFonts w:ascii="Times New Roman" w:hAnsi="Times New Roman"/>
          <w:bCs/>
          <w:sz w:val="28"/>
          <w:szCs w:val="28"/>
          <w:lang w:val="ru-RU"/>
        </w:rPr>
        <w:t>ВУЗами Татарстана и</w:t>
      </w:r>
      <w:r w:rsidRPr="00D739B8">
        <w:rPr>
          <w:rFonts w:ascii="Times New Roman" w:hAnsi="Times New Roman"/>
          <w:bCs/>
          <w:sz w:val="28"/>
          <w:szCs w:val="28"/>
        </w:rPr>
        <w:t> </w:t>
      </w:r>
      <w:r w:rsidRPr="00D739B8">
        <w:rPr>
          <w:rFonts w:ascii="Times New Roman" w:hAnsi="Times New Roman"/>
          <w:bCs/>
          <w:sz w:val="28"/>
          <w:szCs w:val="28"/>
          <w:lang w:val="ru-RU"/>
        </w:rPr>
        <w:t>Российской Федерации, а</w:t>
      </w:r>
      <w:r w:rsidRPr="00D739B8">
        <w:rPr>
          <w:rFonts w:ascii="Times New Roman" w:hAnsi="Times New Roman"/>
          <w:bCs/>
          <w:sz w:val="28"/>
          <w:szCs w:val="28"/>
        </w:rPr>
        <w:t> </w:t>
      </w:r>
      <w:r w:rsidRPr="00D739B8">
        <w:rPr>
          <w:rFonts w:ascii="Times New Roman" w:hAnsi="Times New Roman"/>
          <w:bCs/>
          <w:sz w:val="28"/>
          <w:szCs w:val="28"/>
          <w:lang w:val="ru-RU"/>
        </w:rPr>
        <w:t>также международные проекты по</w:t>
      </w:r>
      <w:r w:rsidRPr="00D739B8">
        <w:rPr>
          <w:rFonts w:ascii="Times New Roman" w:hAnsi="Times New Roman"/>
          <w:bCs/>
          <w:sz w:val="28"/>
          <w:szCs w:val="28"/>
        </w:rPr>
        <w:t> </w:t>
      </w:r>
      <w:r w:rsidRPr="00D739B8">
        <w:rPr>
          <w:rFonts w:ascii="Times New Roman" w:hAnsi="Times New Roman"/>
          <w:bCs/>
          <w:sz w:val="28"/>
          <w:szCs w:val="28"/>
          <w:lang w:val="ru-RU"/>
        </w:rPr>
        <w:t>обмену опытом, направленные на</w:t>
      </w:r>
      <w:r w:rsidRPr="00D739B8">
        <w:rPr>
          <w:rFonts w:ascii="Times New Roman" w:hAnsi="Times New Roman"/>
          <w:bCs/>
          <w:sz w:val="28"/>
          <w:szCs w:val="28"/>
        </w:rPr>
        <w:t> </w:t>
      </w:r>
      <w:r w:rsidRPr="00D739B8">
        <w:rPr>
          <w:rFonts w:ascii="Times New Roman" w:hAnsi="Times New Roman"/>
          <w:bCs/>
          <w:sz w:val="28"/>
          <w:szCs w:val="28"/>
          <w:lang w:val="ru-RU"/>
        </w:rPr>
        <w:t>поиск наилучших экологических решений.</w:t>
      </w:r>
    </w:p>
    <w:p w:rsidR="00D739B8" w:rsidRPr="00D739B8" w:rsidRDefault="00D739B8" w:rsidP="00D739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Международная организация по стандартизации является независимой неправительственной организацией, которая объединяет экспертов по разработке добровольных стандартов, основанных на лучшем опыте и перспективах. Серия стандартов 14000 предоставляет практические эффективные инструменты для управления экологическими процессами.</w:t>
      </w:r>
    </w:p>
    <w:p w:rsidR="00D739B8" w:rsidRDefault="00D739B8" w:rsidP="00D739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4A1C">
        <w:rPr>
          <w:rFonts w:ascii="Times New Roman" w:hAnsi="Times New Roman"/>
          <w:sz w:val="28"/>
          <w:szCs w:val="28"/>
          <w:lang w:val="ru-RU"/>
        </w:rPr>
        <w:t>В 20</w:t>
      </w:r>
      <w:r w:rsidR="00054A1C" w:rsidRPr="00054A1C">
        <w:rPr>
          <w:rFonts w:ascii="Times New Roman" w:hAnsi="Times New Roman"/>
          <w:sz w:val="28"/>
          <w:szCs w:val="28"/>
          <w:lang w:val="ru-RU"/>
        </w:rPr>
        <w:t>23</w:t>
      </w:r>
      <w:r w:rsidRPr="00054A1C">
        <w:rPr>
          <w:rFonts w:ascii="Times New Roman" w:hAnsi="Times New Roman"/>
          <w:sz w:val="28"/>
          <w:szCs w:val="28"/>
          <w:lang w:val="ru-RU"/>
        </w:rPr>
        <w:t> году</w:t>
      </w:r>
      <w:r w:rsidRPr="00D739B8">
        <w:rPr>
          <w:rFonts w:ascii="Times New Roman" w:hAnsi="Times New Roman"/>
          <w:sz w:val="28"/>
          <w:szCs w:val="28"/>
          <w:lang w:val="ru-RU"/>
        </w:rPr>
        <w:t xml:space="preserve"> Компания приступила к переходу на стандарт ISO 14001:2015 -менеджмент окружающей среды с охватом всех предприятий Группы «Татнефть». На данном этапе актуализированы основополагающие документы, разработаны стандарт процедуры по управлению рисками и внутреннему аудиту системы менеджмента, матрица основных бизнес-процессов в области ПБОТОС, проведены проверки качества внедрения требований стандартов на предприятиях (аудиты).</w:t>
      </w:r>
    </w:p>
    <w:p w:rsidR="00D739B8" w:rsidRPr="00D739B8" w:rsidRDefault="00D739B8" w:rsidP="00D739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Компания обеспечивает высокий уровень контроля соответствия компетенций специалистов в</w:t>
      </w:r>
      <w:r w:rsidRPr="00D739B8">
        <w:rPr>
          <w:rFonts w:ascii="Times New Roman" w:hAnsi="Times New Roman"/>
          <w:sz w:val="28"/>
          <w:szCs w:val="28"/>
        </w:rPr>
        <w:t> </w:t>
      </w:r>
      <w:r w:rsidRPr="00D739B8">
        <w:rPr>
          <w:rFonts w:ascii="Times New Roman" w:hAnsi="Times New Roman"/>
          <w:sz w:val="28"/>
          <w:szCs w:val="28"/>
          <w:lang w:val="ru-RU"/>
        </w:rPr>
        <w:t xml:space="preserve">области экологической безопасности </w:t>
      </w:r>
      <w:r w:rsidRPr="00D739B8">
        <w:rPr>
          <w:rFonts w:ascii="Times New Roman" w:hAnsi="Times New Roman"/>
          <w:sz w:val="28"/>
          <w:szCs w:val="28"/>
          <w:lang w:val="ru-RU"/>
        </w:rPr>
        <w:lastRenderedPageBreak/>
        <w:t>и</w:t>
      </w:r>
      <w:r w:rsidRPr="00D739B8">
        <w:rPr>
          <w:rFonts w:ascii="Times New Roman" w:hAnsi="Times New Roman"/>
          <w:sz w:val="28"/>
          <w:szCs w:val="28"/>
        </w:rPr>
        <w:t> </w:t>
      </w:r>
      <w:r w:rsidRPr="00D739B8">
        <w:rPr>
          <w:rFonts w:ascii="Times New Roman" w:hAnsi="Times New Roman"/>
          <w:sz w:val="28"/>
          <w:szCs w:val="28"/>
          <w:lang w:val="ru-RU"/>
        </w:rPr>
        <w:t>природоохранной деятельности, реализуя на</w:t>
      </w:r>
      <w:r w:rsidRPr="00D739B8">
        <w:rPr>
          <w:rFonts w:ascii="Times New Roman" w:hAnsi="Times New Roman"/>
          <w:sz w:val="28"/>
          <w:szCs w:val="28"/>
        </w:rPr>
        <w:t> </w:t>
      </w:r>
      <w:r w:rsidRPr="00D739B8">
        <w:rPr>
          <w:rFonts w:ascii="Times New Roman" w:hAnsi="Times New Roman"/>
          <w:sz w:val="28"/>
          <w:szCs w:val="28"/>
          <w:lang w:val="ru-RU"/>
        </w:rPr>
        <w:t>постоянной основе повышение профессиональной подготовки и</w:t>
      </w:r>
      <w:r w:rsidRPr="00D739B8">
        <w:rPr>
          <w:rFonts w:ascii="Times New Roman" w:hAnsi="Times New Roman"/>
          <w:sz w:val="28"/>
          <w:szCs w:val="28"/>
        </w:rPr>
        <w:t> </w:t>
      </w:r>
      <w:r w:rsidRPr="00D739B8">
        <w:rPr>
          <w:rFonts w:ascii="Times New Roman" w:hAnsi="Times New Roman"/>
          <w:sz w:val="28"/>
          <w:szCs w:val="28"/>
          <w:lang w:val="ru-RU"/>
        </w:rPr>
        <w:t>знаний по</w:t>
      </w:r>
      <w:r w:rsidRPr="00D739B8">
        <w:rPr>
          <w:rFonts w:ascii="Times New Roman" w:hAnsi="Times New Roman"/>
          <w:sz w:val="28"/>
          <w:szCs w:val="28"/>
        </w:rPr>
        <w:t> </w:t>
      </w:r>
      <w:r w:rsidRPr="00D739B8">
        <w:rPr>
          <w:rFonts w:ascii="Times New Roman" w:hAnsi="Times New Roman"/>
          <w:sz w:val="28"/>
          <w:szCs w:val="28"/>
          <w:lang w:val="ru-RU"/>
        </w:rPr>
        <w:t>целевым программам.</w:t>
      </w:r>
    </w:p>
    <w:p w:rsidR="00D739B8" w:rsidRPr="00D739B8" w:rsidRDefault="00D739B8" w:rsidP="00D739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 Принципы молодежной социальной политики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Компания способствует позитивной социальной адаптации работающей молодежи к переменам в обществе и деятельности «Челябинский трубопрокатный завод».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Объектами молодежной политики Компании являются различные социальные группы:</w:t>
      </w:r>
    </w:p>
    <w:p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молодые рабочие и специалисты в возрасте до 30 лет, пришедшие в Компанию после окончания учебных заведений;</w:t>
      </w:r>
    </w:p>
    <w:p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студенты, обучающиеся по направлению деятельности Компании;</w:t>
      </w:r>
    </w:p>
    <w:p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школьники в рамках программы профессиональной ориентации;</w:t>
      </w:r>
    </w:p>
    <w:p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подшефные сироты, закрепленные за предприятиями и предприятиями сервисного блока.</w:t>
      </w:r>
    </w:p>
    <w:p w:rsidR="00146215" w:rsidRDefault="006D6AF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Выплаты молодежи и работниками</w:t>
      </w: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896"/>
      </w:tblGrid>
      <w:tr w:rsidR="00146215" w:rsidRPr="00054A1C">
        <w:trPr>
          <w:trHeight w:val="516"/>
        </w:trPr>
        <w:tc>
          <w:tcPr>
            <w:tcW w:w="4928" w:type="dxa"/>
          </w:tcPr>
          <w:p w:rsidR="00146215" w:rsidRPr="00DC7B0C" w:rsidRDefault="006D6A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C7B0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Примеры социальных выплат и льгот для работающей молодежи</w:t>
            </w:r>
          </w:p>
        </w:tc>
        <w:tc>
          <w:tcPr>
            <w:tcW w:w="4896" w:type="dxa"/>
          </w:tcPr>
          <w:p w:rsidR="00146215" w:rsidRPr="00DC7B0C" w:rsidRDefault="006D6AF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C7B0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Примеры социальных выплат и льгот для работников (общий) </w:t>
            </w:r>
          </w:p>
        </w:tc>
      </w:tr>
      <w:tr w:rsidR="00146215" w:rsidRPr="00054A1C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Работодатель квотирует рабочие места для </w:t>
            </w:r>
            <w:r w:rsidR="00DC7B0C">
              <w:rPr>
                <w:rFonts w:ascii="Times New Roman" w:hAnsi="Times New Roman"/>
                <w:sz w:val="24"/>
                <w:szCs w:val="24"/>
                <w:lang w:val="ru-RU"/>
              </w:rPr>
              <w:t>лиц, возвращающихся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компанию после дикрета или службы в армии</w:t>
            </w:r>
          </w:p>
        </w:tc>
        <w:tc>
          <w:tcPr>
            <w:tcW w:w="4896" w:type="dxa"/>
          </w:tcPr>
          <w:p w:rsidR="00146215" w:rsidRDefault="006D6AFB" w:rsidP="00DC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Работодатель выделяет средства на оказание материальной помощи по согласованию с профсоюзным комитетом работникам.</w:t>
            </w:r>
          </w:p>
        </w:tc>
      </w:tr>
      <w:tr w:rsidR="00146215" w:rsidRPr="00054A1C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Работникам, вернувшимся</w:t>
            </w:r>
            <w:r w:rsidR="00F74E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службы,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выплачивается материальная помощь </w:t>
            </w:r>
          </w:p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5000 до 10 000 рублей </w:t>
            </w:r>
          </w:p>
        </w:tc>
        <w:tc>
          <w:tcPr>
            <w:tcW w:w="4896" w:type="dxa"/>
          </w:tcPr>
          <w:p w:rsidR="00146215" w:rsidRDefault="006D6AFB" w:rsidP="00DC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Работодатель обязуется обеспечить работников Компании горячим питанием по льготным (пониженным) ценам согласно графикам работы подразделений, в том числе диетическим питанием.</w:t>
            </w:r>
          </w:p>
        </w:tc>
      </w:tr>
      <w:tr w:rsidR="00146215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Работодатель предоставляет работникам, совмещающим работу с обучением, оплачиваемые в установленном порядке учебные отпуска.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Работодатель обеспечивает доставку работников завода на работу и обратно согласно графикам работы. 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 оплату проездных билетов.</w:t>
            </w:r>
          </w:p>
        </w:tc>
      </w:tr>
      <w:tr w:rsidR="00146215" w:rsidRPr="00054A1C">
        <w:trPr>
          <w:trHeight w:val="516"/>
        </w:trPr>
        <w:tc>
          <w:tcPr>
            <w:tcW w:w="4928" w:type="dxa"/>
          </w:tcPr>
          <w:p w:rsidR="00146215" w:rsidRDefault="006D6AFB" w:rsidP="00DC7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Молодым работникам, без отрыва от производства окончившим средние и высшие профессиональные учебные учреждения, имеющие государственную аккредитацию, по специальностям, необходимым предприятию</w:t>
            </w:r>
            <w:r w:rsidR="00DC7B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74E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Премии от 2000 до 3000 рублей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Работодатель обеспечивает детей работников компании путевками в детские оздоровительные лагеря:</w:t>
            </w:r>
          </w:p>
          <w:p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054A1C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 Работодатель совместно с профсоюзным комитетом:</w:t>
            </w:r>
          </w:p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проводит конкурсы профессионального мастерства среди молодых работников;</w:t>
            </w:r>
          </w:p>
          <w:p w:rsidR="00146215" w:rsidRDefault="006D6AFB" w:rsidP="00DC7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создает условия для реализации научно-технического и творческого потенциала молодежи, стимулирования инновационной деятельности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По желанию работника за счет средств организации предоставляется оплачиваемый по тарифу краткосрочный отпуск продолжительностью: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 календарный день: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 свадьбу детей 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мужу в день выписки жены из роддома;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первого сентября одному из родителей первоклассника.</w:t>
            </w:r>
          </w:p>
        </w:tc>
      </w:tr>
      <w:tr w:rsidR="00146215" w:rsidRPr="00054A1C" w:rsidTr="00DC7B0C">
        <w:trPr>
          <w:trHeight w:val="1605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 В связи с рождением ребенка выплачивается единовременная материальная помощь в размере </w:t>
            </w:r>
          </w:p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5000 до 10000 рублей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Работодатель приобретает за счет средств путевки для санаторно-курортного лечения для работников организации. </w:t>
            </w:r>
          </w:p>
          <w:p w:rsidR="00146215" w:rsidRDefault="006D6AFB" w:rsidP="00DC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1 года до 20 лет – 30% от стоимости путевки</w:t>
            </w:r>
          </w:p>
        </w:tc>
      </w:tr>
      <w:tr w:rsidR="00146215" w:rsidRPr="00054A1C">
        <w:trPr>
          <w:trHeight w:val="500"/>
        </w:trPr>
        <w:tc>
          <w:tcPr>
            <w:tcW w:w="4928" w:type="dxa"/>
          </w:tcPr>
          <w:p w:rsidR="00146215" w:rsidRDefault="006D6AFB" w:rsidP="00DC7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Работникам, находящимся в отпуске по уходу за ребенком до 3-х лет, кроме компенсаций, предусмотренных законодательством, ежемесячно выплачивается материальная помощь в размере 1000 рублей на каждого ребенка в возрасте до 3-х лет.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При увольнении работника в связи с выходом на пенсию по возрасту выплачивается выходное пособие (при непрерывном стаже работы):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5 лет до 10 лет – месячный тариф;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10 лет до 15 лет – двухмесячный тариф</w:t>
            </w:r>
            <w:r w:rsidR="00DC7B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46215" w:rsidRPr="00054A1C">
        <w:trPr>
          <w:trHeight w:val="500"/>
        </w:trPr>
        <w:tc>
          <w:tcPr>
            <w:tcW w:w="4928" w:type="dxa"/>
          </w:tcPr>
          <w:p w:rsidR="00146215" w:rsidRDefault="006D6AFB" w:rsidP="0005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В 2019 году на обучение, подготовку и переподготовку молодых специалистов было затрачено около </w:t>
            </w:r>
            <w:r w:rsidR="00054A1C" w:rsidRPr="00054A1C">
              <w:rPr>
                <w:rFonts w:ascii="Times New Roman" w:hAnsi="Times New Roman"/>
                <w:color w:val="040C28"/>
                <w:sz w:val="28"/>
                <w:szCs w:val="28"/>
                <w:lang w:val="ru-RU"/>
              </w:rPr>
              <w:t>159968200млн. руб</w:t>
            </w:r>
            <w:r w:rsidR="00054A1C">
              <w:rPr>
                <w:rFonts w:ascii="Arial" w:hAnsi="Arial" w:cs="Arial"/>
                <w:color w:val="040C28"/>
                <w:sz w:val="29"/>
                <w:szCs w:val="29"/>
                <w:lang w:val="ru-RU"/>
              </w:rPr>
              <w:t>.</w:t>
            </w:r>
          </w:p>
        </w:tc>
        <w:tc>
          <w:tcPr>
            <w:tcW w:w="4896" w:type="dxa"/>
          </w:tcPr>
          <w:p w:rsidR="00146215" w:rsidRDefault="006D6AFB" w:rsidP="0005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предусмотрены </w:t>
            </w:r>
            <w:r w:rsidR="00054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лагеря для детей сотрудников</w:t>
            </w:r>
            <w:r w:rsidR="00054A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46215" w:rsidRPr="00054A1C">
        <w:trPr>
          <w:trHeight w:val="500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Производится оказание адресной материальной помощи на основании предоставленных документов: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семьям, имеющим на иждивении 4-х и более детей – один раз в квартал в размере базового оклада (базовой ставки заработной платы) в организации;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одиноким матерям, имеющим детей до 16 лет – в размере 550 рублей в квартал;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семьям, имеющим детей-инвалидов до 18 лет -  в размере 2000 рублей в квартал.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Работодатель предоставляет работникам в счет заработной платы, беспроцентный заем для оплаты: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медицинских услуг, закупки дорогостоящих лекарственных препаратов </w:t>
            </w:r>
          </w:p>
          <w:p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054A1C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В целях укрепления корпоративных традиций и семейных ценностей, повышения интереса детей к компании.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За счет средств организации работникам предоставляется дополнительные отпуска за продолжительный непрерывный стаж работы в организации: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свыше 10 лет – 1 календарный день;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свыше 15 лет – 2 календарных дня.</w:t>
            </w:r>
          </w:p>
        </w:tc>
      </w:tr>
    </w:tbl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C6366F" w:rsidRPr="00C6366F" w:rsidRDefault="00C6366F" w:rsidP="00C636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6F">
        <w:rPr>
          <w:rFonts w:ascii="Times New Roman" w:hAnsi="Times New Roman"/>
          <w:sz w:val="28"/>
          <w:szCs w:val="28"/>
          <w:lang w:val="ru-RU"/>
        </w:rPr>
        <w:t>Молодежная организация Группы «Татнефть» включает более 25тыс. молодых работников, из которых в структурных подразделениях – 7 250 человек, в дочерних предприятиях – 7 818 человек, в сервисных организациях – 10 089 человек.</w:t>
      </w:r>
    </w:p>
    <w:p w:rsidR="00C6366F" w:rsidRPr="00C6366F" w:rsidRDefault="00C6366F" w:rsidP="00C636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4A1C">
        <w:rPr>
          <w:rFonts w:ascii="Times New Roman" w:hAnsi="Times New Roman"/>
          <w:sz w:val="28"/>
          <w:szCs w:val="28"/>
          <w:lang w:val="ru-RU"/>
        </w:rPr>
        <w:lastRenderedPageBreak/>
        <w:t>В 20</w:t>
      </w:r>
      <w:r w:rsidR="00054A1C" w:rsidRPr="00054A1C">
        <w:rPr>
          <w:rFonts w:ascii="Times New Roman" w:hAnsi="Times New Roman"/>
          <w:sz w:val="28"/>
          <w:szCs w:val="28"/>
          <w:lang w:val="ru-RU"/>
        </w:rPr>
        <w:t>23</w:t>
      </w:r>
      <w:r w:rsidRPr="00C6366F">
        <w:rPr>
          <w:rFonts w:ascii="Times New Roman" w:hAnsi="Times New Roman"/>
          <w:sz w:val="28"/>
          <w:szCs w:val="28"/>
          <w:lang w:val="ru-RU"/>
        </w:rPr>
        <w:t> году Молодежной организацией был реализован ряд проектов, направленных на повышение эффективности организации работы с молодежью, сокращение издержек, повышение вовлеченности молодежи в научно-творческую и рационализаторскую работу.</w:t>
      </w:r>
    </w:p>
    <w:p w:rsidR="00C6366F" w:rsidRPr="00C6366F" w:rsidRDefault="00C6366F" w:rsidP="00C636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6F">
        <w:rPr>
          <w:rFonts w:ascii="Times New Roman" w:hAnsi="Times New Roman"/>
          <w:sz w:val="28"/>
          <w:szCs w:val="28"/>
          <w:lang w:val="ru-RU"/>
        </w:rPr>
        <w:t xml:space="preserve">Молодыми работниками </w:t>
      </w:r>
      <w:r w:rsidRPr="00054A1C">
        <w:rPr>
          <w:rFonts w:ascii="Times New Roman" w:hAnsi="Times New Roman"/>
          <w:sz w:val="28"/>
          <w:szCs w:val="28"/>
          <w:lang w:val="ru-RU"/>
        </w:rPr>
        <w:t>в 20</w:t>
      </w:r>
      <w:r w:rsidR="00054A1C" w:rsidRPr="00054A1C">
        <w:rPr>
          <w:rFonts w:ascii="Times New Roman" w:hAnsi="Times New Roman"/>
          <w:sz w:val="28"/>
          <w:szCs w:val="28"/>
          <w:lang w:val="ru-RU"/>
        </w:rPr>
        <w:t>23</w:t>
      </w:r>
      <w:r w:rsidRPr="00054A1C">
        <w:rPr>
          <w:rFonts w:ascii="Times New Roman" w:hAnsi="Times New Roman"/>
          <w:sz w:val="28"/>
          <w:szCs w:val="28"/>
          <w:lang w:val="ru-RU"/>
        </w:rPr>
        <w:t> году</w:t>
      </w:r>
      <w:r w:rsidRPr="00C6366F">
        <w:rPr>
          <w:rFonts w:ascii="Times New Roman" w:hAnsi="Times New Roman"/>
          <w:sz w:val="28"/>
          <w:szCs w:val="28"/>
          <w:lang w:val="ru-RU"/>
        </w:rPr>
        <w:t xml:space="preserve"> было подано более 4 500 рационализаторских предложений и получено более 40 патентов. Суммарный ожидаемый экономический эффект от их внедрения составит более 1,2 млрд рублей.</w:t>
      </w:r>
    </w:p>
    <w:p w:rsidR="00C6366F" w:rsidRPr="00C6366F" w:rsidRDefault="00C6366F" w:rsidP="00C636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6F">
        <w:rPr>
          <w:rFonts w:ascii="Times New Roman" w:hAnsi="Times New Roman"/>
          <w:sz w:val="28"/>
          <w:szCs w:val="28"/>
          <w:lang w:val="ru-RU"/>
        </w:rPr>
        <w:t xml:space="preserve">Молодые специалисты Компании стали абсолютными </w:t>
      </w:r>
      <w:proofErr w:type="spellStart"/>
      <w:r w:rsidRPr="00C6366F">
        <w:rPr>
          <w:rFonts w:ascii="Times New Roman" w:hAnsi="Times New Roman"/>
          <w:sz w:val="28"/>
          <w:szCs w:val="28"/>
          <w:lang w:val="ru-RU"/>
        </w:rPr>
        <w:t>победителямиVI</w:t>
      </w:r>
      <w:proofErr w:type="spellEnd"/>
      <w:r w:rsidRPr="00C6366F">
        <w:rPr>
          <w:rFonts w:ascii="Times New Roman" w:hAnsi="Times New Roman"/>
          <w:sz w:val="28"/>
          <w:szCs w:val="28"/>
          <w:lang w:val="ru-RU"/>
        </w:rPr>
        <w:t xml:space="preserve"> Международного инженерного чемпионата «CASE-IN» в Лиге молодых специалистов. Награды победителям в рамках молодежного дня Российской энергетической недели вручил Министр энергетики Российской Федерации Александр Новак.</w:t>
      </w:r>
    </w:p>
    <w:p w:rsidR="001F6A9A" w:rsidRPr="00054A1C" w:rsidRDefault="00C6366F" w:rsidP="00054A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4A1C">
        <w:rPr>
          <w:rFonts w:ascii="Times New Roman" w:hAnsi="Times New Roman"/>
          <w:sz w:val="28"/>
          <w:szCs w:val="28"/>
          <w:lang w:val="ru-RU"/>
        </w:rPr>
        <w:t>В 20</w:t>
      </w:r>
      <w:r w:rsidR="00054A1C" w:rsidRPr="00054A1C">
        <w:rPr>
          <w:rFonts w:ascii="Times New Roman" w:hAnsi="Times New Roman"/>
          <w:sz w:val="28"/>
          <w:szCs w:val="28"/>
          <w:lang w:val="ru-RU"/>
        </w:rPr>
        <w:t>23</w:t>
      </w:r>
      <w:r w:rsidRPr="00054A1C">
        <w:rPr>
          <w:rFonts w:ascii="Times New Roman" w:hAnsi="Times New Roman"/>
          <w:sz w:val="28"/>
          <w:szCs w:val="28"/>
          <w:lang w:val="ru-RU"/>
        </w:rPr>
        <w:t> году</w:t>
      </w:r>
      <w:r w:rsidRPr="00C6366F">
        <w:rPr>
          <w:rFonts w:ascii="Times New Roman" w:hAnsi="Times New Roman"/>
          <w:sz w:val="28"/>
          <w:szCs w:val="28"/>
          <w:lang w:val="ru-RU"/>
        </w:rPr>
        <w:t xml:space="preserve"> Компания стала лучшей в номинации «Взаимодействие с молодежными отраслевыми организациями» в конкурсе на лучшую социально-ориентированную компанию нефтегазовой отрасли, который проводится Министерством энергетики РФ. В рамках VIII Петербургского международного газового форума Компания была поощрена Благодарственным письмом Федерального агентства </w:t>
      </w:r>
      <w:r w:rsidR="00054A1C" w:rsidRPr="00054A1C">
        <w:rPr>
          <w:rFonts w:ascii="Times New Roman" w:hAnsi="Times New Roman"/>
          <w:sz w:val="28"/>
          <w:szCs w:val="28"/>
          <w:lang w:val="ru-RU"/>
        </w:rPr>
        <w:t>по де</w:t>
      </w:r>
      <w:r w:rsidRPr="00054A1C">
        <w:rPr>
          <w:rFonts w:ascii="Times New Roman" w:hAnsi="Times New Roman"/>
          <w:sz w:val="28"/>
          <w:szCs w:val="28"/>
          <w:lang w:val="ru-RU"/>
        </w:rPr>
        <w:t>лам</w:t>
      </w:r>
      <w:r w:rsidRPr="00C6366F">
        <w:rPr>
          <w:rFonts w:ascii="Times New Roman" w:hAnsi="Times New Roman"/>
          <w:sz w:val="28"/>
          <w:szCs w:val="28"/>
          <w:lang w:val="ru-RU"/>
        </w:rPr>
        <w:t xml:space="preserve"> молодежи РФ за содействие в реализации государственной молодежной политики и за значительный вклад в развитие профессиональной траектории молодых специалистов.</w:t>
      </w:r>
    </w:p>
    <w:p w:rsidR="001F6A9A" w:rsidRDefault="001F6A9A" w:rsidP="001F6A9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 w:rsidP="001F6A9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11. Коллективный договор Компании </w:t>
      </w:r>
      <w:r w:rsidR="001F6A9A"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«Татнефть»</w:t>
      </w:r>
    </w:p>
    <w:p w:rsidR="00D739B8" w:rsidRDefault="006D6A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739B8" w:rsidRPr="00D739B8" w:rsidRDefault="00D739B8" w:rsidP="00D739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Компания заботится о социальной защищенности своих сотрудников и их семей, предоставляя пакет социальных льгот и гарантий. Обязательства по их обеспечению закреплены в Коллективном договоре, ежегодно заключаемом между ПАО «Татнефть» и трудовым коллективом и охватывающем всех работников и неработающих пенсионеров Компании.</w:t>
      </w:r>
    </w:p>
    <w:p w:rsidR="00D739B8" w:rsidRPr="00D739B8" w:rsidRDefault="00D739B8" w:rsidP="00D739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lastRenderedPageBreak/>
        <w:t>Коллективный договор предусматривает:</w:t>
      </w:r>
    </w:p>
    <w:p w:rsidR="00D739B8" w:rsidRPr="00D739B8" w:rsidRDefault="00D739B8" w:rsidP="00D739B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льготы и гарантии сотрудникам;</w:t>
      </w:r>
    </w:p>
    <w:p w:rsidR="00D739B8" w:rsidRPr="00D739B8" w:rsidRDefault="00D739B8" w:rsidP="00D739B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социальную защиту молодых работников;</w:t>
      </w:r>
    </w:p>
    <w:p w:rsidR="00D739B8" w:rsidRPr="00D739B8" w:rsidRDefault="00D739B8" w:rsidP="00D739B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поддержку ветеранов и пенсионеров.</w:t>
      </w:r>
    </w:p>
    <w:p w:rsidR="00D739B8" w:rsidRDefault="00D739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9B8">
        <w:rPr>
          <w:rFonts w:ascii="Times New Roman" w:hAnsi="Times New Roman"/>
          <w:sz w:val="28"/>
          <w:szCs w:val="28"/>
          <w:lang w:val="ru-RU"/>
        </w:rPr>
        <w:t>Структуру социальных льгот и гарантий определяет Стандарт Коллективного договора Группы компаний «Татнефть», который носит рекомендательный характер для всех предприятий Группы.</w:t>
      </w:r>
    </w:p>
    <w:p w:rsidR="00146215" w:rsidRDefault="00D739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D6AFB">
        <w:rPr>
          <w:rFonts w:ascii="Times New Roman" w:hAnsi="Times New Roman"/>
          <w:sz w:val="28"/>
          <w:szCs w:val="28"/>
          <w:lang w:val="ru-RU"/>
        </w:rPr>
        <w:t>Коллективный договор был утвержден 22.09.20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="006D6AFB">
        <w:rPr>
          <w:rFonts w:ascii="Times New Roman" w:hAnsi="Times New Roman"/>
          <w:sz w:val="28"/>
          <w:szCs w:val="28"/>
          <w:lang w:val="ru-RU"/>
        </w:rPr>
        <w:t xml:space="preserve"> года на 3 года.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Основные разделы коллективного договора: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Общие положения;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Трудовые отношения;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Обеспечение занятости;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IV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Развитие кадрового потенциала;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Рабочее время и время отдыха;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Оплата труда;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Охрана труда;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Гарантии и компенсации;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IX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Осуществление контроля за выполнением обязательств коллективного договора.</w:t>
      </w: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54A1C" w:rsidRDefault="00054A1C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 w:type="page"/>
      </w:r>
    </w:p>
    <w:p w:rsidR="00146215" w:rsidRDefault="006D6AF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СПИСОК ЛИТЕРАТУРЫ</w:t>
      </w:r>
    </w:p>
    <w:p w:rsidR="00146215" w:rsidRDefault="0014621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Бабкин</w:t>
      </w:r>
      <w:r w:rsidR="00DC7B0C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В.П. Социальная ответственность бизнеса // Народонаселение</w:t>
      </w:r>
      <w:r w:rsidR="00DC7B0C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2019. </w:t>
      </w:r>
      <w:r w:rsidR="00DC7B0C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2. </w:t>
      </w:r>
      <w:r w:rsidR="00DC7B0C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С. 133–139.</w:t>
      </w:r>
    </w:p>
    <w:p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Батаева</w:t>
      </w:r>
      <w:proofErr w:type="spellEnd"/>
      <w:r w:rsidR="00DC7B0C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Б.С. Направления формирования российской модели корпоративной социальной ответственности // Изв. </w:t>
      </w:r>
      <w:r w:rsidR="00DC7B0C">
        <w:rPr>
          <w:rFonts w:ascii="Times New Roman" w:hAnsi="Times New Roman"/>
          <w:bCs/>
          <w:sz w:val="28"/>
          <w:szCs w:val="28"/>
          <w:lang w:val="ru-RU"/>
        </w:rPr>
        <w:t>СПб,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2020. </w:t>
      </w:r>
      <w:r w:rsidR="00DC7B0C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5. </w:t>
      </w:r>
      <w:r w:rsidR="00DC7B0C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С. 67–72.</w:t>
      </w:r>
    </w:p>
    <w:p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Бахарева Е. И. Повышение эффективности управления социальными корпоративными технологиями в современных организациях // Актуальные проблемы экономики современной России: Сб. науч. тр. / С.-Петерб. Гос. ун-т аэрокосм. приборостроения. СПб., 2018. </w:t>
      </w:r>
      <w:r w:rsidR="00DC7B0C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 5. — С. 26–28.</w:t>
      </w:r>
    </w:p>
    <w:p w:rsidR="00054A1C" w:rsidRPr="00F74ED2" w:rsidRDefault="00054A1C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Pr="00F74ED2">
          <w:rPr>
            <w:rStyle w:val="a4"/>
            <w:color w:val="auto"/>
          </w:rPr>
          <w:t>https://www.tatneft.ru/</w:t>
        </w:r>
      </w:hyperlink>
    </w:p>
    <w:p w:rsidR="00146215" w:rsidRPr="00DC7B0C" w:rsidRDefault="006D6AFB" w:rsidP="00F74ED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C00000"/>
          <w:sz w:val="30"/>
          <w:szCs w:val="30"/>
          <w:lang w:val="ru-RU" w:eastAsia="ru-RU"/>
        </w:rPr>
      </w:pPr>
      <w:r w:rsidRPr="00F74ED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54A1C" w:rsidRPr="00F74ED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https://www.e-disclosure.ru/portal/company.aspx?id=118&amp;attempt=1</w:t>
      </w:r>
      <w:r w:rsidR="00054A1C" w:rsidRPr="00054A1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Pr="00DC7B0C" w:rsidRDefault="00146215">
      <w:pPr>
        <w:rPr>
          <w:lang w:val="ru-RU"/>
        </w:rPr>
      </w:pPr>
    </w:p>
    <w:sectPr w:rsidR="00146215" w:rsidRPr="00DC7B0C" w:rsidSect="0014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CE5D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DFAC6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3"/>
    <w:multiLevelType w:val="hybridMultilevel"/>
    <w:tmpl w:val="FD820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000004"/>
    <w:multiLevelType w:val="multilevel"/>
    <w:tmpl w:val="81145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089473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C5920B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867259F0"/>
    <w:lvl w:ilvl="0" w:tplc="2E8035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77A47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E6724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000000A"/>
    <w:multiLevelType w:val="hybridMultilevel"/>
    <w:tmpl w:val="3BE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9B103C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30187084"/>
    <w:lvl w:ilvl="0" w:tplc="2E8035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27856D0"/>
    <w:lvl w:ilvl="0" w:tplc="D47A072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0E"/>
    <w:multiLevelType w:val="multilevel"/>
    <w:tmpl w:val="CC50C4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CCB4BE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multilevel"/>
    <w:tmpl w:val="89DA095E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multilevel"/>
    <w:tmpl w:val="1AB878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0000012"/>
    <w:multiLevelType w:val="multilevel"/>
    <w:tmpl w:val="8D48A2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hybridMultilevel"/>
    <w:tmpl w:val="ACEC549C"/>
    <w:lvl w:ilvl="0" w:tplc="85D4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D3777"/>
    <w:multiLevelType w:val="multilevel"/>
    <w:tmpl w:val="BFE678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800F0"/>
    <w:multiLevelType w:val="multilevel"/>
    <w:tmpl w:val="719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A0886"/>
    <w:multiLevelType w:val="multilevel"/>
    <w:tmpl w:val="3D4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7"/>
  </w:num>
  <w:num w:numId="11">
    <w:abstractNumId w:val="19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11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characterSpacingControl w:val="doNotCompress"/>
  <w:compat/>
  <w:rsids>
    <w:rsidRoot w:val="00146215"/>
    <w:rsid w:val="00052410"/>
    <w:rsid w:val="00054A1C"/>
    <w:rsid w:val="00106804"/>
    <w:rsid w:val="00146215"/>
    <w:rsid w:val="001F6A9A"/>
    <w:rsid w:val="002C11BA"/>
    <w:rsid w:val="006324D4"/>
    <w:rsid w:val="00667CEB"/>
    <w:rsid w:val="006D6AFB"/>
    <w:rsid w:val="00730F12"/>
    <w:rsid w:val="00757AD2"/>
    <w:rsid w:val="007825F8"/>
    <w:rsid w:val="008E5F33"/>
    <w:rsid w:val="009A471D"/>
    <w:rsid w:val="00A038C3"/>
    <w:rsid w:val="00A813D7"/>
    <w:rsid w:val="00A85A99"/>
    <w:rsid w:val="00BC5798"/>
    <w:rsid w:val="00C503CF"/>
    <w:rsid w:val="00C6366F"/>
    <w:rsid w:val="00CC65A6"/>
    <w:rsid w:val="00D739B8"/>
    <w:rsid w:val="00DA59B9"/>
    <w:rsid w:val="00DC7B0C"/>
    <w:rsid w:val="00DD1B55"/>
    <w:rsid w:val="00E0508B"/>
    <w:rsid w:val="00F50734"/>
    <w:rsid w:val="00F74ED2"/>
    <w:rsid w:val="00F8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5"/>
    <w:rPr>
      <w:rFonts w:eastAsia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15"/>
    <w:pPr>
      <w:ind w:left="708"/>
    </w:pPr>
  </w:style>
  <w:style w:type="character" w:styleId="a4">
    <w:name w:val="Hyperlink"/>
    <w:rsid w:val="00146215"/>
    <w:rPr>
      <w:color w:val="0563C1"/>
      <w:u w:val="single"/>
    </w:rPr>
  </w:style>
  <w:style w:type="paragraph" w:styleId="a5">
    <w:name w:val="Balloon Text"/>
    <w:basedOn w:val="a"/>
    <w:link w:val="a6"/>
    <w:uiPriority w:val="99"/>
    <w:rsid w:val="0014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46215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br">
    <w:name w:val="nobr"/>
    <w:basedOn w:val="a0"/>
    <w:rsid w:val="00146215"/>
  </w:style>
  <w:style w:type="paragraph" w:styleId="a7">
    <w:name w:val="Normal (Web)"/>
    <w:basedOn w:val="a"/>
    <w:uiPriority w:val="99"/>
    <w:rsid w:val="00146215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14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next w:val="a9"/>
    <w:qFormat/>
    <w:rsid w:val="00F804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F804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048F"/>
    <w:rPr>
      <w:rFonts w:eastAsia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C7B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tnef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fckthisshit</cp:lastModifiedBy>
  <cp:revision>2</cp:revision>
  <dcterms:created xsi:type="dcterms:W3CDTF">2023-05-26T22:27:00Z</dcterms:created>
  <dcterms:modified xsi:type="dcterms:W3CDTF">2023-05-26T22:27:00Z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bc75a6b4191447aebea00cfc301eb9d6</vt:lpwstr>
  </property>
</Properties>
</file>