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B" w:rsidRPr="00E764A0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Ministry of Science and Higher Education of the Russian Federation Volga Polytechnic Institute (branch) </w:t>
      </w:r>
    </w:p>
    <w:p w:rsidR="006D6AFB" w:rsidRPr="00E764A0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of</w:t>
      </w:r>
      <w:proofErr w:type="gramEnd"/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 the Federal State Educational Institution of Higher Education "Volgograd State Technical University" </w:t>
      </w:r>
    </w:p>
    <w:p w:rsidR="006D6AFB" w:rsidRPr="00C73A6D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D2E3FC"/>
        </w:rPr>
      </w:pPr>
      <w:r w:rsidRPr="00C73A6D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(VPI (branch) VolgGTU)</w:t>
      </w:r>
    </w:p>
    <w:p w:rsidR="006D6AFB" w:rsidRPr="00C73A6D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6D6AFB" w:rsidRPr="006D6AFB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D2E3FC"/>
        </w:rPr>
      </w:pPr>
      <w:r w:rsidRPr="006D6AFB">
        <w:rPr>
          <w:rFonts w:ascii="Arial" w:hAnsi="Arial" w:cs="Arial"/>
          <w:sz w:val="28"/>
          <w:szCs w:val="28"/>
          <w:shd w:val="clear" w:color="auto" w:fill="FFFFFF" w:themeFill="background1"/>
        </w:rPr>
        <w:t>Faculty of Engineering and Economics</w:t>
      </w:r>
    </w:p>
    <w:p w:rsidR="006D6AFB" w:rsidRPr="00E764A0" w:rsidRDefault="006D6AFB" w:rsidP="006D6AF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</w:p>
    <w:p w:rsidR="006D6AFB" w:rsidRPr="00E764A0" w:rsidRDefault="006D6AFB" w:rsidP="006D6AFB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</w:p>
    <w:p w:rsidR="006D6AFB" w:rsidRPr="006D6AFB" w:rsidRDefault="006D6AFB" w:rsidP="006D6AFB">
      <w:pPr>
        <w:spacing w:after="0" w:line="36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  <w:shd w:val="clear" w:color="auto" w:fill="D2E3FC"/>
        </w:rPr>
      </w:pPr>
      <w:r w:rsidRPr="00A9760F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BUSINESS</w:t>
      </w:r>
      <w:r w:rsidRPr="006D6AFB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</w:t>
      </w:r>
      <w:r w:rsidRPr="00A9760F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>SOCIAL</w:t>
      </w:r>
      <w:r w:rsidRPr="006D6AFB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 xml:space="preserve"> </w:t>
      </w:r>
      <w:r w:rsidRPr="00A9760F">
        <w:rPr>
          <w:rFonts w:ascii="Helvetica" w:hAnsi="Helvetica" w:cs="Helvetica"/>
          <w:b/>
          <w:color w:val="244061" w:themeColor="accent1" w:themeShade="80"/>
          <w:sz w:val="36"/>
          <w:szCs w:val="36"/>
        </w:rPr>
        <w:t>RESPONSIBILITY</w:t>
      </w:r>
    </w:p>
    <w:p w:rsidR="006D6AFB" w:rsidRPr="006D6AFB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D6AFB">
        <w:rPr>
          <w:rFonts w:ascii="Times New Roman" w:hAnsi="Times New Roman"/>
          <w:bCs/>
          <w:sz w:val="28"/>
          <w:szCs w:val="28"/>
          <w:lang w:eastAsia="ru-RU"/>
        </w:rPr>
        <w:t>Topic: "Policy of the Corporation "Chelyabinsk Pipe Rolling Plant"</w:t>
      </w:r>
    </w:p>
    <w:p w:rsidR="006D6AFB" w:rsidRPr="006D6AFB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6D6AF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6D6AFB">
        <w:rPr>
          <w:rFonts w:ascii="Times New Roman" w:hAnsi="Times New Roman"/>
          <w:bCs/>
          <w:sz w:val="28"/>
          <w:szCs w:val="28"/>
          <w:lang w:eastAsia="ru-RU"/>
        </w:rPr>
        <w:t>in</w:t>
      </w:r>
      <w:proofErr w:type="gramEnd"/>
      <w:r w:rsidRPr="006D6AFB">
        <w:rPr>
          <w:rFonts w:ascii="Times New Roman" w:hAnsi="Times New Roman"/>
          <w:bCs/>
          <w:sz w:val="28"/>
          <w:szCs w:val="28"/>
          <w:lang w:eastAsia="ru-RU"/>
        </w:rPr>
        <w:t xml:space="preserve"> the field of corporate social responsibility"</w:t>
      </w:r>
    </w:p>
    <w:p w:rsidR="006D6AFB" w:rsidRPr="00757AD2" w:rsidRDefault="006D6AFB" w:rsidP="006D6AFB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</w:pPr>
      <w:r w:rsidRPr="00757AD2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 xml:space="preserve">   </w:t>
      </w:r>
    </w:p>
    <w:p w:rsidR="006D6AFB" w:rsidRPr="00757AD2" w:rsidRDefault="006D6AFB" w:rsidP="006D6AFB">
      <w:pPr>
        <w:shd w:val="clear" w:color="auto" w:fill="FFFFFF" w:themeFill="background1"/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6D6AFB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Authors</w:t>
      </w:r>
      <w:r w:rsidRPr="006D6AFB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 xml:space="preserve">: </w:t>
      </w:r>
      <w:r w:rsidRPr="00757AD2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Lebedev Anton</w:t>
      </w:r>
    </w:p>
    <w:p w:rsidR="006D6AFB" w:rsidRPr="00B9416A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 w:rsidRPr="00B7647E">
        <w:rPr>
          <w:rFonts w:ascii="Arial" w:hAnsi="Arial" w:cs="Arial"/>
          <w:b/>
          <w:color w:val="000000"/>
          <w:sz w:val="28"/>
          <w:szCs w:val="28"/>
          <w:shd w:val="clear" w:color="auto" w:fill="FFFFFF" w:themeFill="background1"/>
        </w:rPr>
        <w:t>Supervisor</w:t>
      </w: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: Medvedeva Lyudmila Nikolaevna, Doctor of Economics, Professor</w:t>
      </w:r>
    </w:p>
    <w:p w:rsidR="006D6AFB" w:rsidRPr="00A9760F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D2E3FC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D2E3FC"/>
          <w:lang w:val="ru-RU" w:eastAsia="ru-RU"/>
        </w:rPr>
        <w:drawing>
          <wp:inline distT="0" distB="0" distL="0" distR="0">
            <wp:extent cx="4109421" cy="2196487"/>
            <wp:effectExtent l="0" t="0" r="5715" b="0"/>
            <wp:docPr id="2" name="Рисунок 2" descr="C:\Users\Milena\Desktop\feeadba7b91af4ee488220b6328f0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feeadba7b91af4ee488220b6328f07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80" cy="22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FB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6D6AFB" w:rsidRPr="009F37DC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ru-RU"/>
        </w:rPr>
      </w:pPr>
      <w:r w:rsidRPr="00C73A6D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  <w:t>Volzhsky</w:t>
      </w:r>
    </w:p>
    <w:p w:rsidR="006D6AFB" w:rsidRPr="009F37DC" w:rsidRDefault="006D6AFB" w:rsidP="006D6AFB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9F37DC">
        <w:rPr>
          <w:rFonts w:ascii="Arial" w:hAnsi="Arial" w:cs="Arial"/>
          <w:color w:val="000000"/>
          <w:sz w:val="28"/>
          <w:szCs w:val="28"/>
          <w:shd w:val="clear" w:color="auto" w:fill="FFFFFF" w:themeFill="background1"/>
          <w:lang w:val="ru-RU"/>
        </w:rPr>
        <w:t>2023</w:t>
      </w: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46215" w:rsidRDefault="001462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46215" w:rsidRDefault="001462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46215" w:rsidRDefault="00146215" w:rsidP="006D6AF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46215" w:rsidRDefault="006D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ВВЕДЕНИЕ</w:t>
      </w: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социальной ответственности бизнеса состоит в том, что еще несколько лет назад на фоне глобальных реформ, жесточайшего экономического кризиса и периода первичного накопления капитала, взаимоотношение бизнеса и государства носили сложный, бессистемный характер, а под социальной ответственностью понималась благотворительная деятельность отдельных представителей делового сообщества.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Компании, стремящиеся занять твердое положение в российском обществе, постепенно приходят к пониманию того, что декларируемые ранее намерения о социальной ответственности действительно становятся важной управленческой категорией, обеспечивающей высокую деловую репутацию, рыночную привлекательность, а так же расширенные возможности доступа к капиталу.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Социальная ответственность – это еще и ответственность за формирующуюся социальную среду, моральный климат, нравственность общества. Это ответственность перед настоящим и будущим. Поэтому, осознавая свою общественную роль, компании, как социально ответственные субъекты, должны сегодня действовать таким образом, чтобы не повлечь социальный взрыв в будущем.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исследования– изучить политику «Челябинский трубопрокатный завод» в области корпоративной социальной ответственности.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работы: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-Построить корпоративную и организационную структуры организации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- Представить основные документы, отражающие политику комплекса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описать социальную ответственность компании.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РАЗДЕЛ СОБСТВЕННОСТЬ, ОРГАНИЗАЦИОННОЕ УПРАВЛЕНИЕ, КОМПЛАЕНС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Челябинский трубопрокатный завод (ЧТПЗ) — российское металлургическое предприятие, одно из крупнейших трубных предприятий России, специализируется на производстве труб. Входит в состав ПАО ТМК. Относится к трубным заводам «Большой восьмёрки».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 на базе эвакуированного в Челябинск Мариупольского трубного завода.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мае 1993 года в соответствии с программой приватизации Челябинский трубопрокатный завод был преобразован в открытое акционерное общество и впоследствии приватизирован.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2002 году на собрании акционеров было решено создать холдинг «ЧТПЗ», в основе которого находился одноимённый завод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Год создания:</w:t>
      </w:r>
      <w:r>
        <w:rPr>
          <w:rFonts w:ascii="Times New Roman" w:hAnsi="Times New Roman"/>
          <w:spacing w:val="5"/>
          <w:sz w:val="28"/>
          <w:szCs w:val="28"/>
          <w:shd w:val="clear" w:color="auto" w:fill="FFFFFF"/>
          <w:lang w:val="ru-RU"/>
        </w:rPr>
        <w:t xml:space="preserve">1942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Отраслевая специализация:</w:t>
      </w:r>
      <w:r>
        <w:rPr>
          <w:rFonts w:ascii="Times New Roman" w:hAnsi="Times New Roman"/>
          <w:sz w:val="28"/>
          <w:szCs w:val="28"/>
          <w:lang w:val="ru-RU"/>
        </w:rPr>
        <w:t xml:space="preserve"> металлургия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Количество работников: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более 8000</w:t>
      </w:r>
      <w:r>
        <w:rPr>
          <w:rFonts w:ascii="Times New Roman" w:hAnsi="Times New Roman"/>
          <w:sz w:val="28"/>
          <w:szCs w:val="28"/>
          <w:lang w:val="ru-RU"/>
        </w:rPr>
        <w:t>работников;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совета директоров: 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Сергей Анатольевич Петров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Генеральный директор:</w:t>
      </w:r>
      <w:r>
        <w:rPr>
          <w:rFonts w:ascii="Times New Roman" w:hAnsi="Times New Roman"/>
          <w:sz w:val="28"/>
          <w:szCs w:val="28"/>
          <w:lang w:val="ru-RU"/>
        </w:rPr>
        <w:t>Корытько Игорь Валерьевич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Средняя заработная плата: </w:t>
      </w:r>
      <w:r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000 руб.;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Уставный капитал: </w:t>
      </w:r>
      <w:r>
        <w:rPr>
          <w:rFonts w:ascii="Times New Roman" w:hAnsi="Times New Roman"/>
          <w:sz w:val="28"/>
          <w:szCs w:val="28"/>
          <w:lang w:val="ru-RU"/>
        </w:rPr>
        <w:t>12 684 801 000 руб.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Выручка: </w:t>
      </w:r>
      <w:r>
        <w:rPr>
          <w:rFonts w:ascii="Times New Roman" w:hAnsi="Times New Roman"/>
          <w:sz w:val="28"/>
          <w:szCs w:val="28"/>
          <w:lang w:val="ru-RU"/>
        </w:rPr>
        <w:t>4, 556 млрд. руб. (2019 год);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Операционная прибыль: </w:t>
      </w:r>
      <w:r>
        <w:rPr>
          <w:rFonts w:ascii="Times New Roman" w:hAnsi="Times New Roman"/>
          <w:sz w:val="28"/>
          <w:szCs w:val="28"/>
          <w:lang w:val="ru-RU"/>
        </w:rPr>
        <w:t>9 932 581 000 руб. (2019 год);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Валовая прибыль: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483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млрд. 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(2019 год);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Чистая прибыль: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6 255 693 000 руб. </w:t>
      </w:r>
      <w:r>
        <w:rPr>
          <w:rFonts w:ascii="Times New Roman" w:hAnsi="Times New Roman"/>
          <w:sz w:val="28"/>
          <w:szCs w:val="28"/>
          <w:lang w:val="ru-RU"/>
        </w:rPr>
        <w:t>(2019 год);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Количество размещенных обыкновенных акций: 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998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381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nobr"/>
          <w:rFonts w:ascii="Times New Roman" w:hAnsi="Times New Roman"/>
          <w:sz w:val="28"/>
          <w:szCs w:val="28"/>
          <w:shd w:val="clear" w:color="auto" w:fill="FFFFFF"/>
          <w:lang w:val="ru-RU"/>
        </w:rPr>
        <w:t>575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шт.;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Номинальная стоимость 1 шт.:</w:t>
      </w:r>
      <w:r>
        <w:rPr>
          <w:rFonts w:ascii="Times New Roman" w:hAnsi="Times New Roman"/>
          <w:sz w:val="28"/>
          <w:szCs w:val="28"/>
          <w:lang w:val="ru-RU"/>
        </w:rPr>
        <w:t>10 руб.</w:t>
      </w:r>
    </w:p>
    <w:p w:rsidR="00146215" w:rsidRDefault="006D6AF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Продукция: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бесшовные горячедеформированные общего назначения (ГОСТ 8731-74, ГОСТ 8732-78, ГОСТ 9941-81, ТУ 14-3-510-76, ТУ 14-3-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1330-85, ТУ 14-3-1430-87);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бесшовные холоднодеформированные (ГОСТ 8734-75);</w:t>
      </w:r>
      <w:r>
        <w:rPr>
          <w:rFonts w:ascii="Times New Roman" w:hAnsi="Times New Roman"/>
          <w:sz w:val="28"/>
          <w:szCs w:val="28"/>
          <w:lang w:val="ru-RU"/>
        </w:rPr>
        <w:br/>
        <w:t>- трубы обсадные (ТУ 14-3-1575-88, ТУ 14-3-1595-88);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нефтегазопроводов (1128-82, ТУ 14-3-1745-90, ТУ 14-3-1486-87);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магистральных нефтегазопроводов (ГОСТ 20295-85, ТУ 14-3-1270-84, ТУ 14-3-1698-90, ТУ 143Р-04-94);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трубопроводов различного назначения (ТУ 14-3-1160-83, ГЩСТ 10704-91, ГОСТ 10706-76, ТУ 14-3-1430-87);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нефтепрерабатывающей промышленности (ТУ 14-3-587-77, ТУ 14-3-1080-81, ТУ 14-3-743-78, ТУ 14-3-433-75);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повышенной хладостойкости и коррозионной стойкости (ТУ 14-158-101-97, ТУ 14-158-102-97, ТУ 14-158-105-97, ТУ 14-3-1270-84, ТУ 14-3-1698-90);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по стандартам API 5L, DIN;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электросварные прямошовные для промысловых нефтегазопроводов (ТУ 14-3-1270-84);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электросварные прямошовные для нефтегазопроводов (ТУ 14-3-1698-90);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котельных установок и трубопроводов (ТУ 14-3-190-82, ТУ 14-3-1776-91, ТУ 14-3-420-75, ТУ 14-3-460-75, ТУ 14-3-948-80, ТУ 14-3-1236-78);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авиационной техники (ТУ 14-3-675-78, ТУ 14-3-1622-89, ТУ 14-3-905-79);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коррозионностойкие (ТУ 14-3-1564-88, ТУ 14-3-1556-88, ТУ 14-3-197-89);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специального назначения (ТУ 14-3-1131-82, ТУ 14-3-1473-87, ТУ 14-3-1430-87);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водогазопроводные (ГОСТ 3262-75, ТУ 14-3-1430-87);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энергомашиностроения (ТУ 14-3-935-80);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>- трубы стальные для изготовления металлоконструкций (ТУ 14-3-863-79);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изготовления деталей (ТУ 14-3-1056-81, ТУ 14-3-539-76, ТУ 14-3-859-79, ТУ 14-3-1624-89, ТУ 14-3-447-76, ТУ 14-3-1019-81, ТУ 14-3-1083-81);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общего назначения (ГОСТ 10704-91, ГОСТ 10705-80);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масляных радиаторов (ТУ 14-3-1081-81);</w:t>
      </w:r>
      <w:r>
        <w:rPr>
          <w:rFonts w:ascii="Times New Roman" w:hAnsi="Times New Roman"/>
          <w:sz w:val="28"/>
          <w:szCs w:val="28"/>
          <w:lang w:val="ru-RU"/>
        </w:rPr>
        <w:br/>
        <w:t>- трубы стальные для товаров народного потребления (ТУ 14-3Р-02-94);</w:t>
      </w:r>
      <w:r>
        <w:rPr>
          <w:rFonts w:ascii="Times New Roman" w:hAnsi="Times New Roman"/>
          <w:sz w:val="28"/>
          <w:szCs w:val="28"/>
          <w:lang w:val="ru-RU"/>
        </w:rPr>
        <w:br/>
        <w:t>- профили стальные гпутые (ГОСТ 19771-74);</w:t>
      </w:r>
      <w:r>
        <w:rPr>
          <w:rFonts w:ascii="Times New Roman" w:hAnsi="Times New Roman"/>
          <w:sz w:val="28"/>
          <w:szCs w:val="28"/>
          <w:lang w:val="ru-RU"/>
        </w:rPr>
        <w:br/>
        <w:t>- прокат и трубы малогабаритные (ТУ 14-1-4012-85).</w:t>
      </w:r>
    </w:p>
    <w:p w:rsidR="00146215" w:rsidRDefault="00757AD2" w:rsidP="00757AD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86530" cy="2985956"/>
            <wp:effectExtent l="19050" t="0" r="0" b="0"/>
            <wp:docPr id="3" name="Рисунок 2" descr="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.jpg"/>
                    <pic:cNvPicPr/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316" cy="29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AD2" w:rsidRPr="00757AD2" w:rsidRDefault="00757A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Структура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уставногокапиталана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30.12.20</w:t>
      </w:r>
      <w:r>
        <w:rPr>
          <w:rFonts w:ascii="Times New Roman" w:hAnsi="Times New Roman"/>
          <w:b/>
          <w:sz w:val="28"/>
          <w:szCs w:val="28"/>
        </w:rPr>
        <w:t>22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2075"/>
        <w:gridCol w:w="2099"/>
        <w:gridCol w:w="2332"/>
        <w:gridCol w:w="1331"/>
      </w:tblGrid>
      <w:tr w:rsidR="00146215">
        <w:trPr>
          <w:jc w:val="center"/>
        </w:trPr>
        <w:tc>
          <w:tcPr>
            <w:tcW w:w="2235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АОИ, шт.</w:t>
            </w:r>
          </w:p>
        </w:tc>
        <w:tc>
          <w:tcPr>
            <w:tcW w:w="2126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Номинал АОИ, руб.</w:t>
            </w:r>
          </w:p>
        </w:tc>
        <w:tc>
          <w:tcPr>
            <w:tcW w:w="2126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АПИ, шт.</w:t>
            </w:r>
          </w:p>
        </w:tc>
        <w:tc>
          <w:tcPr>
            <w:tcW w:w="2399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Номинал АПИ, руб.</w:t>
            </w:r>
          </w:p>
        </w:tc>
        <w:tc>
          <w:tcPr>
            <w:tcW w:w="1145" w:type="dxa"/>
          </w:tcPr>
          <w:p w:rsidR="00146215" w:rsidRDefault="006D6A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Уставный капитал, руб.</w:t>
            </w:r>
          </w:p>
        </w:tc>
      </w:tr>
      <w:tr w:rsidR="00146215">
        <w:trPr>
          <w:jc w:val="center"/>
        </w:trPr>
        <w:tc>
          <w:tcPr>
            <w:tcW w:w="2235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5 725 994 705</w:t>
            </w:r>
          </w:p>
        </w:tc>
        <w:tc>
          <w:tcPr>
            <w:tcW w:w="2126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26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998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381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nobr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575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9" w:type="dxa"/>
          </w:tcPr>
          <w:p w:rsidR="00146215" w:rsidRDefault="006D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5" w:type="dxa"/>
          </w:tcPr>
          <w:p w:rsidR="00146215" w:rsidRDefault="006D6AF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12 684 801 000</w:t>
            </w:r>
          </w:p>
        </w:tc>
      </w:tr>
    </w:tbl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757AD2">
      <w:pPr>
        <w:spacing w:after="0" w:line="240" w:lineRule="auto"/>
        <w:jc w:val="center"/>
        <w:rPr>
          <w:noProof/>
          <w:lang w:val="ru-RU" w:eastAsia="ru-RU"/>
        </w:rPr>
      </w:pPr>
      <w:r w:rsidRPr="00757AD2">
        <w:rPr>
          <w:noProof/>
          <w:lang w:val="ru-RU" w:eastAsia="ru-RU"/>
        </w:rPr>
        <w:lastRenderedPageBreak/>
        <w:drawing>
          <wp:inline distT="0" distB="0" distL="0" distR="0">
            <wp:extent cx="5124450" cy="2796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Рисунок 1 - Структура органов управления и контроля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«Челябинский трубопрокатный завод»</w:t>
      </w:r>
    </w:p>
    <w:p w:rsidR="00146215" w:rsidRDefault="00757AD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4449445"/>
            <wp:effectExtent l="19050" t="0" r="3175" b="0"/>
            <wp:docPr id="1" name="Рисунок 0" descr="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15" w:rsidRDefault="006D6AFB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Рисунок 2 - Организационная структура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«Челябинский трубопрокатный завод»</w:t>
      </w:r>
    </w:p>
    <w:p w:rsidR="006D6AFB" w:rsidRPr="006D6AFB" w:rsidRDefault="00757AD2" w:rsidP="00757AD2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176729" cy="3877428"/>
            <wp:effectExtent l="19050" t="0" r="4871" b="0"/>
            <wp:docPr id="4" name="Рисунок 3" descr="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8207" cy="38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AD2" w:rsidRDefault="00757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215" w:rsidRDefault="006D6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II.  КОРПОРАТИВНАЯ СОЦИАЛЬНАЯ ОТВЕСТВЕННОСТЬ КОМПАНИИ</w:t>
      </w:r>
    </w:p>
    <w:p w:rsidR="00146215" w:rsidRDefault="006D6AFB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Цели, задачи и сфера применения Политики КСО в компании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Корпорации </w:t>
      </w:r>
      <w:r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«Челябинский трубопрокатный завод»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 компании: </w:t>
      </w:r>
      <w:r>
        <w:rPr>
          <w:rFonts w:ascii="Times New Roman" w:hAnsi="Times New Roman"/>
          <w:sz w:val="28"/>
          <w:szCs w:val="28"/>
          <w:lang w:val="ru-RU"/>
        </w:rPr>
        <w:t xml:space="preserve">Среди возможностей компании следует отметить планы по открытию новых представительств в регионах, что приведёт к росту объёмов реализации товаров и услуг и росту прибыли, соответственно. Кроме того, сотрудничество с крупнейшими производителями автомобилей и запчастей позволит повысить качество товаров и услуг и расширить их ассортимент, а значит привлечёт дополнительное количество клиентов.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планируется постепенно расширять номенклатуру товаров и услуг, что также поможет сохранить позиции на рынке и привлечь новых клиентов. Государственная поддержка автомобильного бизнеса также может благоприятно повлиять на деятельность компании.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тем, в 2022-2025 годах компания успешно хочет применить  новую стратегию развития бизнеса, которая позволила подготовиться к периоду экономической нестабильности и добиться максимальной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эффективности. Она включает следующие меры: проведена глобальная реструктуризация холдинга: вся деятельность консолидирована в рамках четырех юридических лиц; управляющая компания переехала в собственный офис на Алтуфьевском шоссе; </w:t>
      </w:r>
    </w:p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Основные принципы КСО</w:t>
      </w:r>
    </w:p>
    <w:p w:rsidR="00146215" w:rsidRDefault="00146215">
      <w:pPr>
        <w:pStyle w:val="a3"/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Успешному развитию, совершенствованию и систематизации применяемых принципов и правил корпоративного управления способствует принятый в Компании Кодекс корпоративного поведения.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Долгосрочные приоритеты Компании в сфере корпоративного управления:</w:t>
      </w:r>
    </w:p>
    <w:p w:rsidR="00146215" w:rsidRDefault="006D6AFB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прав и интересов акционеров и иных заинтересованных лиц</w:t>
      </w:r>
    </w:p>
    <w:p w:rsidR="00146215" w:rsidRDefault="006D6AFB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прозрачности информации</w:t>
      </w:r>
    </w:p>
    <w:p w:rsidR="00146215" w:rsidRDefault="006D6AFB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Создание атмосферы открытости, доверия и сотрудничества 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компании приняты положение о защите информации, направленное на предотвращение инсайдерской торговли и защиту информации коммерческого характера, и нормы по регулированию деятельности органов управления.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 Компании действует двухуровневая структура управления, в которой Совет директоров осуществляет контроль над деятельностью Единоличного исполнительного органа — генерального директора.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Органами управления Общества являются:</w:t>
      </w:r>
    </w:p>
    <w:p w:rsidR="00146215" w:rsidRDefault="006D6AF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Общее собрание акционеров</w:t>
      </w:r>
    </w:p>
    <w:p w:rsidR="00146215" w:rsidRDefault="006D6AF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Совет директоров</w:t>
      </w:r>
    </w:p>
    <w:p w:rsidR="00146215" w:rsidRDefault="006D6AFB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Генеральный директор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Взаимодействие с заинтересованными сторонами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Компаниярассматривает своих работников как ключевой стратегический ресурс, а расходы на персонал – как долгосрочные инвестиции в развитие Общества. Поэтому Компания старается обеспечить комфортные условия для своих сотрудников: совершенствование корпоративной культуры, создание условий для развития творческих и интеллектуальных способностей работников, реализация социальной политики и наличие безопасных условий труда.</w:t>
      </w:r>
    </w:p>
    <w:p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Общества с дочерними и зависимыми обществами направлено на повышение общей капитализации Общества. Потому, Компания внедряет в их деятельность принципы корпоративного управления и предотвращает появление корпоративных конфликтов.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Подход к управлению КСО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 Компании действует двухуровневая структура управления, в которой Совет директоров осуществляет контроль над деятельностью Единоличного исполнительного органа — генерального директора.</w:t>
      </w:r>
    </w:p>
    <w:p w:rsidR="00146215" w:rsidRDefault="006D6AF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Органами управления Общества являются:</w:t>
      </w:r>
    </w:p>
    <w:p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Общее собрание акционеров</w:t>
      </w:r>
    </w:p>
    <w:p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Совет директоров</w:t>
      </w:r>
    </w:p>
    <w:p w:rsidR="00146215" w:rsidRDefault="006D6AFB">
      <w:pPr>
        <w:pStyle w:val="a3"/>
        <w:numPr>
          <w:ilvl w:val="0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 Генеральный директор</w:t>
      </w:r>
    </w:p>
    <w:p w:rsidR="00146215" w:rsidRDefault="006D6AFB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Управление корпоративным поведением</w:t>
      </w:r>
    </w:p>
    <w:p w:rsidR="00146215" w:rsidRDefault="0014621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Конкретные процедуры и практика корпоративного поведения представлены в ряде внутренних документов Общества, среди которых:</w:t>
      </w:r>
    </w:p>
    <w:p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Кодекскорпоративногоуправления;</w:t>
      </w:r>
    </w:p>
    <w:p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Службе внутреннего аудита;</w:t>
      </w:r>
    </w:p>
    <w:p w:rsidR="00146215" w:rsidRDefault="006D6AFB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внутреннемконтроле;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Корпоративная культура  формировалась в ее начальный период вокруг интуитивного чувства «мы – другие», «мы можем то, чего другие не могут». Подчеркивание социальной дистанции как центрального звена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корпоративной культуры постепенно привело к формированию некоего идеала – западного стиля. Это, конечно, был условный Запад. 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смысловая нагрузка этой идеи была: западное, то есть не советское. Даже сама ориентация на Запад родилась из известной анти-ценности «преклонения перед Западом», то есть имело вполне советское происхождение.</w:t>
      </w: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Управление влиянием на внутреннюю среду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Внутренний контроль – это система процедур, осуществляемых Советом директоров, исполнительными и контрольными органами, должностными лицами и иными сотрудниками Общества, направленных на обеспечение результативности и эффективности операционной и инвестиционной деятельности Общества, надежности и достоверности всех видов отчетности Общества, соблюдения требований законодательных актов и внутренних нормативных документов Общества.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Пристальное внимание процессу обучения и повышения квалификации сотрудников. Организация обязательного обучения для рабочих и инженеров Компании полностью соответствует требованиям законодательства РФ и включает в себя целый комплекс мероприятий (курсы профессиональной подготовки и переподготовки, повышение квалификации рабочих, семинары и тренинги для менеджмента и специалистов).</w:t>
      </w:r>
    </w:p>
    <w:p w:rsidR="00146215" w:rsidRPr="00757AD2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Обязательное повышение квалификации проходят все инженерно-технические работники Компании не реже чем один раз в 6 лет. 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 Управление влиянием на социальную среду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компании декларируются следующие принципы управления: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Делегирование полномочий – передача задач и полномочий лицу, которое принимает на себя ответственность за их выполнение.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Ответственность – выполнение работником конкретных рабочих требований, когда он занимает определенную должность в организации (должностные инструкции).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 и их пределы – право использовать ресурсы компании и направлять усилия ее сотрудников на выполнение поставленных задач в пределах, определяемых политикой, процедурами, правилами и должностными инструкциями.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Вознаграждение персонала. Для того чтобы обеспечить верность и поддержку работников, они должны получать справедливую зарплату. Стабильность рабочего места для персонала. Большая текучесть кадров снижает эффективность организации, а, следовательно, её конкурентоспособность.</w:t>
      </w:r>
    </w:p>
    <w:p w:rsidR="00146215" w:rsidRDefault="0014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 Управление влиянием на экологию</w:t>
      </w:r>
    </w:p>
    <w:p w:rsidR="00146215" w:rsidRDefault="0014621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Целью разработки и реализации Экологической Политики является достижение наименьшего негативного воздействия на окружающую среду путем бережного отношения к природе и природным ресурсам, снижения объемов и токсичности выбросов в атмосферу и производственных отходов.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Основными элементами Экологической Политики являются:</w:t>
      </w:r>
    </w:p>
    <w:p w:rsidR="00146215" w:rsidRDefault="006D6AFB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Подготовка, внедрение и постоянное совершенствование системы экологического менеджмента.</w:t>
      </w:r>
    </w:p>
    <w:p w:rsidR="00146215" w:rsidRDefault="006D6AFB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управленческих решений на основе результатов экологического мониторинга и анализа воздействия деятельности на состояние окружающей среды.</w:t>
      </w:r>
    </w:p>
    <w:p w:rsidR="00146215" w:rsidRDefault="006D6AFB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Персональная ответственность высшего руководства за реализацию Экологической Политики Общества, непрерывное улучшение экологических характеристик предприятия и продукции.</w:t>
      </w:r>
    </w:p>
    <w:p w:rsidR="00146215" w:rsidRDefault="006D6AFB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Экологическое сопровождение технологических процессов производства, внедрение в производство новых технологий, оборудования,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материалов, обеспечивающих снижение негативного воздействия на окружающую среду.</w:t>
      </w:r>
    </w:p>
    <w:p w:rsidR="00146215" w:rsidRDefault="006D6AFB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Систематическое обучение и повышение квалификации персонала «Челябинский трубопрокатный завод»в области экологии.</w:t>
      </w:r>
    </w:p>
    <w:p w:rsidR="00146215" w:rsidRDefault="0014621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 Принципы молодежной социальной политики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Компания способствует позитивной социальной адаптации работающей молодежи к переменам в обществе и деятельности «Челябинский трубопрокатный завод».</w:t>
      </w:r>
    </w:p>
    <w:p w:rsidR="00146215" w:rsidRDefault="006D6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Объектами молодежной политики Компании являются различные социальные группы: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молодые рабочие и специалисты в возрасте до 30 лет, пришедшие в Компанию после окончания учебных заведений;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студенты, обучающиеся по направлению деятельности Компании;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школьники в рамках программы профессиональной ориентации;</w:t>
      </w:r>
    </w:p>
    <w:p w:rsidR="00146215" w:rsidRDefault="006D6AF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подшефные сироты, закрепленные за предприятиями и предприятиями сервисного блока.</w:t>
      </w:r>
    </w:p>
    <w:p w:rsidR="00146215" w:rsidRDefault="006D6AF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Выплаты молодежи и работниками</w:t>
      </w: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96"/>
      </w:tblGrid>
      <w:tr w:rsidR="00146215" w:rsidRPr="00757AD2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Примеры социальных выплат и льгот для работающей молодежи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Примеры социальных выплат и льгот для работников (общий) </w:t>
            </w:r>
          </w:p>
        </w:tc>
      </w:tr>
      <w:tr w:rsidR="00146215" w:rsidRPr="00757AD2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Работодатель квотирует рабочие места для лиц,  возвращающихся в компанию после дикрета или службы в армии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Работодатель выделяет средства на оказание материальной помощи по согласованию с профсоюзным комитетом работникам.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757AD2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Работникам, вернувшимся из выплачивается материальная помощь 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5000 до 10 000 рублей 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Работодатель обязуется обеспечить работников Компании горячим питанием по льготным (пониженным) ценам согласно графикам работы подразделений, в том числе диетическим питанием.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Работодатель предоставляет работникам, совмещающим работу с обучением, оплачиваемые в установленном порядке учебные отпуска.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Работодатель обеспечивает доставку работников завода на работу и обратно согласно графикам работы. 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 оплату проездных билетов.</w:t>
            </w:r>
          </w:p>
        </w:tc>
      </w:tr>
      <w:tr w:rsidR="00146215" w:rsidRPr="00757AD2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Молодым работникам, без отрыва от производства окончившим средние и высшие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профессиональные учебные учреждения, имеющие государственную аккредитацию, по специальностям, необходимым предприятию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Премии от 2000 до 3000 рублей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4. Работодатель обеспечивает детей работников компании путевками в детские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оздоровительные лагеря: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757AD2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 Работодатель совместно с профсоюзным комитетом: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проводит конкурсы профессионального мастерства среди молодых работников;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создает условия для реализации научно-технического и творческого потенциала молодежи, стимулирования инновационной деятельности;</w:t>
            </w:r>
          </w:p>
          <w:p w:rsidR="00146215" w:rsidRDefault="0014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По желанию работника за счет средств организации предоставляется оплачиваемый по тарифу краткосрочный отпуск продолжительностью: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 календарный день: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 свадьбу детей 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мужу в день выписки жены из роддома;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первого сентября одному из родителей первоклассника.</w:t>
            </w:r>
          </w:p>
        </w:tc>
      </w:tr>
      <w:tr w:rsidR="00146215" w:rsidRPr="00757AD2">
        <w:trPr>
          <w:trHeight w:val="3127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 В связи с рождением ребенка выплачивается единовременная материальная помощь в размере </w:t>
            </w:r>
          </w:p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5000 до 10000 рублей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Работодатель приобретает за счет средств путевки для санаторно-курортного лечения для работников организации. 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1 года до 20 лет – 30% от стоимости путевки;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757AD2">
        <w:trPr>
          <w:trHeight w:val="500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Работникам, находящимся в отпуске по уходу за ребенком до 3-х лет, кроме компенсаций, предусмотренных законодательством, ежемесячно выплачивается материальная помощь в размере 1000 рублей на каждого ребенка в возрасте до 3-х лет.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 При увольнении работника в связи с выходом на пенсию по возрасту выплачивается выходное пособие (при непрерывном стаже работы):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5 лет до 10 лет – месячный тариф;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от 10 лет до 15 лет – двухмесячный тариф;</w:t>
            </w:r>
          </w:p>
        </w:tc>
      </w:tr>
      <w:tr w:rsidR="00146215" w:rsidRPr="00757AD2">
        <w:trPr>
          <w:trHeight w:val="500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В 2019 году на обучение, подготовку и переподготовку молодых специалистов было затрачено около 2  млн. долл.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предусмотрены лагеря для детей сотрудников</w:t>
            </w:r>
          </w:p>
        </w:tc>
      </w:tr>
      <w:tr w:rsidR="00146215" w:rsidRPr="00757AD2">
        <w:trPr>
          <w:trHeight w:val="500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Производится оказание адресной материальной помощи на основании предоставленных документов: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семьям, имеющим на иждивении 4-х и более детей – один раз в квартал в размере базового оклада (базовой ставки заработной платы) в организации;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одиноким матерям, имеющим детей до 16 лет – в размере 550 рублей в квартал;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семьям, имеющим детей-инвалидов до 18 лет -  в размере 2000 рублей в квартал.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Работодатель предоставляет работникам в счет заработной платы, беспроцентный заем для оплаты: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медицинских услуг, закупки дорогостоящих лекарственных препаратов </w:t>
            </w:r>
          </w:p>
          <w:p w:rsidR="00146215" w:rsidRDefault="0014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15" w:rsidRPr="00757AD2">
        <w:trPr>
          <w:trHeight w:val="516"/>
        </w:trPr>
        <w:tc>
          <w:tcPr>
            <w:tcW w:w="4928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В целях укрепления корпоративных традиций и семейных ценностей, повышения интереса детей к компании.</w:t>
            </w:r>
          </w:p>
        </w:tc>
        <w:tc>
          <w:tcPr>
            <w:tcW w:w="4896" w:type="dxa"/>
          </w:tcPr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За счет средств организации работникам предоставляется дополнительные отпуска за продолжительный непрерывный стаж работы в организации: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свыше 10 лет – 1 календарный день;</w:t>
            </w:r>
          </w:p>
          <w:p w:rsidR="00146215" w:rsidRDefault="006D6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свыше 15 лет – 2 календарных дня.</w:t>
            </w:r>
          </w:p>
        </w:tc>
      </w:tr>
    </w:tbl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120" w:line="360" w:lineRule="auto"/>
        <w:jc w:val="center"/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11. Коллективный договор Компании </w:t>
      </w:r>
      <w:r>
        <w:rPr>
          <w:rFonts w:ascii="Times New Roman" w:hAnsi="Times New Roman"/>
          <w:b/>
          <w:color w:val="222222"/>
          <w:sz w:val="28"/>
          <w:szCs w:val="28"/>
          <w:lang w:val="ru-RU" w:eastAsia="ru-RU"/>
        </w:rPr>
        <w:t>«Челябинский трубопрокатный завод»</w:t>
      </w:r>
    </w:p>
    <w:p w:rsidR="00146215" w:rsidRDefault="0014621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Коллективный договор —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Коллективный договор </w:t>
      </w:r>
      <w:bookmarkEnd w:id="0"/>
      <w:r>
        <w:rPr>
          <w:rFonts w:ascii="Times New Roman" w:hAnsi="Times New Roman"/>
          <w:sz w:val="28"/>
          <w:szCs w:val="28"/>
          <w:lang w:val="ru-RU"/>
        </w:rPr>
        <w:t>был утвержден 22.09.2020 года на 3 года.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Основные разделы коллективного договора: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Общие положения;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Трудовые отношения;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Обеспечение занятости;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IV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Развитие кадрового потенциала;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Рабочее время и время отдыха;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Оплата труда;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Охрана труда;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Гарантии и компенсации;</w:t>
      </w:r>
    </w:p>
    <w:p w:rsidR="00146215" w:rsidRDefault="006D6A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IX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 Осуществление контроля за выполнением обязательств коллективного договора.</w:t>
      </w: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Pr="00757AD2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215" w:rsidRDefault="001462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6D6AF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СПИСОК ЛИТЕРАТУРЫ</w:t>
      </w:r>
    </w:p>
    <w:p w:rsidR="00146215" w:rsidRDefault="0014621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Бабкин В.П. Социальная ответственность бизнеса // Народонаселение. — 2019. — 2. — С. 133–139.</w:t>
      </w: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Батаева Б.С. Направления формирования российской модели корпоративной социальной ответственности // Изв. С.-Петерб. ун-та экономики и финансов. — 2020. — 5. — С. 67–72.</w:t>
      </w: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Бахарева Е. И. Повышение эффективности управления социальными корпоративными технологиями в современных организациях // Актуальные проблемы экономики современной России: Сб. науч. тр. / С.-Петерб. Гос. ун-т аэрокосм. приборостроения. — СПб., 2018. — Вып. 5. — С. 26–28.</w:t>
      </w: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https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autostat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articles</w:t>
      </w:r>
      <w:r>
        <w:rPr>
          <w:rFonts w:ascii="Times New Roman" w:hAnsi="Times New Roman"/>
          <w:sz w:val="28"/>
          <w:szCs w:val="28"/>
          <w:lang w:val="ru-RU"/>
        </w:rPr>
        <w:t>/20712/</w:t>
      </w:r>
    </w:p>
    <w:p w:rsidR="00146215" w:rsidRDefault="006D6AFB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Коллективный договор </w:t>
      </w:r>
      <w:r>
        <w:rPr>
          <w:rFonts w:ascii="Times New Roman" w:hAnsi="Times New Roman"/>
          <w:sz w:val="28"/>
          <w:szCs w:val="28"/>
          <w:lang w:val="ru-RU"/>
        </w:rPr>
        <w:t>Компании «Рольф».</w:t>
      </w:r>
    </w:p>
    <w:p w:rsidR="00146215" w:rsidRDefault="00146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6215" w:rsidRDefault="00146215">
      <w:pPr>
        <w:shd w:val="clear" w:color="auto" w:fill="FFFFFF"/>
        <w:spacing w:before="450" w:after="450" w:line="240" w:lineRule="auto"/>
        <w:ind w:firstLine="707"/>
        <w:rPr>
          <w:rFonts w:ascii="Times New Roman" w:hAnsi="Times New Roman"/>
          <w:color w:val="404040"/>
          <w:sz w:val="30"/>
          <w:szCs w:val="30"/>
          <w:lang w:val="ru-RU" w:eastAsia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6215" w:rsidRDefault="00146215"/>
    <w:sectPr w:rsidR="00146215" w:rsidSect="0014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CE5D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DFAC60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3"/>
    <w:multiLevelType w:val="hybridMultilevel"/>
    <w:tmpl w:val="FD820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000004"/>
    <w:multiLevelType w:val="multilevel"/>
    <w:tmpl w:val="81145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089473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C5920B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867259F0"/>
    <w:lvl w:ilvl="0" w:tplc="2E8035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77A47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E6724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000000A"/>
    <w:multiLevelType w:val="hybridMultilevel"/>
    <w:tmpl w:val="3BEE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B103C2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30187084"/>
    <w:lvl w:ilvl="0" w:tplc="2E8035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B4291FA"/>
    <w:lvl w:ilvl="0" w:tplc="AD0E89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E"/>
    <w:multiLevelType w:val="multilevel"/>
    <w:tmpl w:val="CC50C4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CCB4BE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89DA095E"/>
    <w:lvl w:ilvl="0">
      <w:start w:val="1"/>
      <w:numFmt w:val="bullet"/>
      <w:lvlText w:val="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1AB878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2"/>
    <w:multiLevelType w:val="multilevel"/>
    <w:tmpl w:val="8D48A2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ACEC549C"/>
    <w:lvl w:ilvl="0" w:tplc="85D4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D3777"/>
    <w:multiLevelType w:val="multilevel"/>
    <w:tmpl w:val="BFE678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7"/>
  </w:num>
  <w:num w:numId="11">
    <w:abstractNumId w:val="19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15"/>
    <w:rsid w:val="00146215"/>
    <w:rsid w:val="006D6AFB"/>
    <w:rsid w:val="00757AD2"/>
    <w:rsid w:val="00E0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5"/>
    <w:rPr>
      <w:rFonts w:eastAsia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15"/>
    <w:pPr>
      <w:ind w:left="708"/>
    </w:pPr>
  </w:style>
  <w:style w:type="character" w:styleId="a4">
    <w:name w:val="Hyperlink"/>
    <w:rsid w:val="00146215"/>
    <w:rPr>
      <w:color w:val="0563C1"/>
      <w:u w:val="single"/>
    </w:rPr>
  </w:style>
  <w:style w:type="paragraph" w:styleId="a5">
    <w:name w:val="Balloon Text"/>
    <w:basedOn w:val="a"/>
    <w:link w:val="a6"/>
    <w:uiPriority w:val="99"/>
    <w:rsid w:val="0014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462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br">
    <w:name w:val="nobr"/>
    <w:basedOn w:val="a0"/>
    <w:rsid w:val="00146215"/>
  </w:style>
  <w:style w:type="paragraph" w:styleId="a7">
    <w:name w:val="Normal (Web)"/>
    <w:basedOn w:val="a"/>
    <w:uiPriority w:val="99"/>
    <w:rsid w:val="00146215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14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2725</Words>
  <Characters>15536</Characters>
  <Application>Microsoft Office Word</Application>
  <DocSecurity>0</DocSecurity>
  <Lines>129</Lines>
  <Paragraphs>36</Paragraphs>
  <ScaleCrop>false</ScaleCrop>
  <Company>Microsoft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Admin</cp:lastModifiedBy>
  <cp:revision>2</cp:revision>
  <dcterms:created xsi:type="dcterms:W3CDTF">2023-05-22T13:55:00Z</dcterms:created>
  <dcterms:modified xsi:type="dcterms:W3CDTF">2023-05-22T13:55:00Z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bc75a6b4191447aebea00cfc301eb9d6</vt:lpwstr>
  </property>
</Properties>
</file>