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E1A6" w14:textId="77777777" w:rsidR="006D6AFB" w:rsidRPr="00E764A0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Ministry of Science and Higher Education of the Russian Federation Volga Polytechnic Institute (branch) </w:t>
      </w:r>
    </w:p>
    <w:p w14:paraId="3A4A5640" w14:textId="77777777" w:rsidR="006D6AFB" w:rsidRPr="00E764A0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of the Federal State Educational Institution of Higher Education "Volgograd State Technical University" </w:t>
      </w:r>
    </w:p>
    <w:p w14:paraId="50DBB0E3" w14:textId="77777777" w:rsidR="006D6AFB" w:rsidRPr="00C73A6D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(VPI (branch) VolgGTU)</w:t>
      </w:r>
    </w:p>
    <w:p w14:paraId="171DD3ED" w14:textId="77777777" w:rsidR="006D6AFB" w:rsidRPr="00C73A6D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6E57EE4E" w14:textId="77777777" w:rsidR="006D6AFB" w:rsidRP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D2E3FC"/>
        </w:rPr>
      </w:pPr>
      <w:r w:rsidRPr="006D6AFB">
        <w:rPr>
          <w:rFonts w:ascii="Arial" w:hAnsi="Arial" w:cs="Arial"/>
          <w:sz w:val="28"/>
          <w:szCs w:val="28"/>
          <w:shd w:val="clear" w:color="auto" w:fill="FFFFFF" w:themeFill="background1"/>
        </w:rPr>
        <w:t>Faculty of Engineering and Economics</w:t>
      </w:r>
    </w:p>
    <w:p w14:paraId="3E5E23EB" w14:textId="77777777" w:rsidR="006D6AFB" w:rsidRPr="00E764A0" w:rsidRDefault="006D6AFB" w:rsidP="006D6AF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14:paraId="3C94B255" w14:textId="77777777" w:rsidR="006D6AFB" w:rsidRPr="00E764A0" w:rsidRDefault="006D6AFB" w:rsidP="006D6AF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14:paraId="2F8A370E" w14:textId="77777777" w:rsidR="006D6AFB" w:rsidRPr="006D6AFB" w:rsidRDefault="006D6AFB" w:rsidP="006D6AFB">
      <w:pPr>
        <w:spacing w:after="0"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shd w:val="clear" w:color="auto" w:fill="D2E3FC"/>
        </w:rPr>
      </w:pP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BUSINESS</w:t>
      </w:r>
      <w:r w:rsidRPr="006D6AFB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</w:t>
      </w: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>SOCIAL</w:t>
      </w:r>
      <w:r w:rsidRPr="006D6AFB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</w:t>
      </w: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>RESPONSIBILITY</w:t>
      </w:r>
    </w:p>
    <w:p w14:paraId="646ED532" w14:textId="77777777" w:rsidR="006D6AFB" w:rsidRPr="001F6A9A" w:rsidRDefault="006D6AFB" w:rsidP="001F6A9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D6AFB">
        <w:rPr>
          <w:rFonts w:ascii="Times New Roman" w:hAnsi="Times New Roman"/>
          <w:bCs/>
          <w:sz w:val="28"/>
          <w:szCs w:val="28"/>
          <w:lang w:eastAsia="ru-RU"/>
        </w:rPr>
        <w:t>Top</w:t>
      </w:r>
      <w:r w:rsidR="001F6A9A">
        <w:rPr>
          <w:rFonts w:ascii="Times New Roman" w:hAnsi="Times New Roman"/>
          <w:bCs/>
          <w:sz w:val="28"/>
          <w:szCs w:val="28"/>
          <w:lang w:eastAsia="ru-RU"/>
        </w:rPr>
        <w:t xml:space="preserve">ic: "Policy of the Corporation </w:t>
      </w:r>
      <w:r w:rsidR="00926741" w:rsidRPr="0092674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F6D7A" w:rsidRPr="00DF6D7A">
        <w:rPr>
          <w:rFonts w:ascii="Times New Roman" w:hAnsi="Times New Roman"/>
          <w:bCs/>
          <w:sz w:val="28"/>
          <w:szCs w:val="28"/>
          <w:lang w:eastAsia="ru-RU"/>
        </w:rPr>
        <w:t>Norilsk Nickel</w:t>
      </w:r>
      <w:r w:rsidR="00926741" w:rsidRPr="00926741">
        <w:rPr>
          <w:rFonts w:ascii="Times New Roman" w:hAnsi="Times New Roman"/>
          <w:bCs/>
          <w:sz w:val="28"/>
          <w:szCs w:val="28"/>
          <w:lang w:eastAsia="ru-RU"/>
        </w:rPr>
        <w:t xml:space="preserve">" </w:t>
      </w:r>
      <w:r w:rsidRPr="006D6AFB">
        <w:rPr>
          <w:rFonts w:ascii="Times New Roman" w:hAnsi="Times New Roman"/>
          <w:bCs/>
          <w:sz w:val="28"/>
          <w:szCs w:val="28"/>
          <w:lang w:eastAsia="ru-RU"/>
        </w:rPr>
        <w:t>in the field of corporate social responsibility"</w:t>
      </w:r>
    </w:p>
    <w:p w14:paraId="0AF5D973" w14:textId="77777777" w:rsidR="006D6AFB" w:rsidRPr="00757AD2" w:rsidRDefault="006D6AFB" w:rsidP="006D6AFB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r w:rsidRPr="00757AD2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  </w:t>
      </w:r>
    </w:p>
    <w:p w14:paraId="14A3D50A" w14:textId="6972D028" w:rsidR="006D6AFB" w:rsidRPr="00D64DB1" w:rsidRDefault="00D64DB1" w:rsidP="006D6AF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6D6AFB" w:rsidRPr="006D6AFB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Authors</w:t>
      </w:r>
      <w:r w:rsidR="006D6AFB" w:rsidRPr="006D6AFB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="00B24350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Mamayova</w:t>
      </w:r>
      <w:proofErr w:type="spellEnd"/>
      <w:r w:rsidR="00B24350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Viktoria </w:t>
      </w:r>
      <w:proofErr w:type="spellStart"/>
      <w:r w:rsidR="00B24350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Mi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khailovna</w:t>
      </w:r>
      <w:proofErr w:type="spellEnd"/>
    </w:p>
    <w:p w14:paraId="6C30A650" w14:textId="77777777" w:rsidR="006D6AFB" w:rsidRPr="00B9416A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B7647E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Supervisor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: Medvedeva Lyudmila </w:t>
      </w:r>
      <w:proofErr w:type="spellStart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Nikolaevna</w:t>
      </w:r>
      <w:proofErr w:type="spellEnd"/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, Doctor of Economics, Professor</w:t>
      </w:r>
    </w:p>
    <w:p w14:paraId="2169486B" w14:textId="77777777" w:rsidR="006D6AFB" w:rsidRPr="00A9760F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D2E3FC"/>
          <w:lang w:val="ru-RU" w:eastAsia="ru-RU"/>
        </w:rPr>
        <w:drawing>
          <wp:inline distT="0" distB="0" distL="0" distR="0" wp14:anchorId="1AF39555" wp14:editId="0DB48CDD">
            <wp:extent cx="4109421" cy="2196487"/>
            <wp:effectExtent l="0" t="0" r="5715" b="0"/>
            <wp:docPr id="2" name="Рисунок 2" descr="C:\Users\Milena\Desktop\feeadba7b91af4ee488220b6328f0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feeadba7b91af4ee488220b6328f0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80" cy="22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065D" w14:textId="77777777" w:rsid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6B5D014A" w14:textId="77777777" w:rsidR="006D6AFB" w:rsidRPr="009F37DC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Volzhsky</w:t>
      </w:r>
    </w:p>
    <w:p w14:paraId="6A07561D" w14:textId="77777777" w:rsidR="006D6AFB" w:rsidRPr="009F37DC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9F37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ru-RU"/>
        </w:rPr>
        <w:t>2023</w:t>
      </w:r>
    </w:p>
    <w:p w14:paraId="367F7578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2CA5BC0" w14:textId="77777777" w:rsidR="00146215" w:rsidRDefault="001462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382EC8D1" w14:textId="77777777" w:rsidR="00146215" w:rsidRDefault="001462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75DABB43" w14:textId="77777777" w:rsidR="00146215" w:rsidRDefault="00146215" w:rsidP="006D6A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34EE22A" w14:textId="77777777" w:rsidR="00146215" w:rsidRDefault="006D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14:paraId="64474397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CF8EBFF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4825DF2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социальной ответственности бизнеса состоит в том, что еще несколько лет назад на фоне глобальных реформ, жесточайшего экономического кризиса и периода первичного накопления капитала, взаимоотношение бизнеса и государства носили сложный, бессистемный характер, а под социальной ответственностью понималась благотворительная деятельность отдельных представителей делового сообщества.</w:t>
      </w:r>
    </w:p>
    <w:p w14:paraId="685ACB41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Компании, стремящиеся занять твердое положение в российском обществе, постепенно приходят к пониманию того, что декларируемые ранее намерения о социальной ответственности действительно становятся важной управленческой категорией, обеспечивающей высокую деловую репутацию, рыночную привлекательность, а так же расширенные возможности доступа к капиталу. </w:t>
      </w:r>
    </w:p>
    <w:p w14:paraId="7E345B3F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Социальная ответственность – это еще и ответственность за формирующуюся социальную среду, моральный климат, нравственность общества. Это ответственность перед настоящим и будущим. Поэтому, осознавая свою общественную роль, компании, как социально ответственные субъекты, должны сегодня действовать таким образом, чтобы не повлечь социальный взрыв в будущем.</w:t>
      </w:r>
    </w:p>
    <w:p w14:paraId="399D6989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исследования– изучить политику </w:t>
      </w:r>
      <w:r w:rsidR="00926741" w:rsidRPr="00926741">
        <w:rPr>
          <w:rFonts w:ascii="Times New Roman" w:hAnsi="Times New Roman"/>
          <w:sz w:val="28"/>
          <w:szCs w:val="28"/>
          <w:lang w:val="ru-RU"/>
        </w:rPr>
        <w:t>"</w:t>
      </w:r>
      <w:r w:rsidR="00DF6D7A">
        <w:rPr>
          <w:rFonts w:ascii="Times New Roman" w:hAnsi="Times New Roman"/>
          <w:sz w:val="28"/>
          <w:szCs w:val="28"/>
          <w:lang w:val="ru-RU"/>
        </w:rPr>
        <w:t>Норникель</w:t>
      </w:r>
      <w:proofErr w:type="gramStart"/>
      <w:r w:rsidR="00926741" w:rsidRPr="00926741"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области корпоративной социальной ответственности.</w:t>
      </w:r>
    </w:p>
    <w:p w14:paraId="66E68B1A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работы:</w:t>
      </w:r>
    </w:p>
    <w:p w14:paraId="35735896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-Построить корпоративную и организационную структуры организации </w:t>
      </w:r>
    </w:p>
    <w:p w14:paraId="251A3ACD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- Представить основные документы, отражающие политику комплекса</w:t>
      </w:r>
    </w:p>
    <w:p w14:paraId="7A4E88CF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описать социальную ответственность компании.</w:t>
      </w:r>
    </w:p>
    <w:p w14:paraId="31E37233" w14:textId="77777777"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A0D1E2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DA0D69F" w14:textId="77777777"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564DA1" w14:textId="77777777"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ECF85A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РАЗДЕЛ СОБСТВЕННОСТЬ, ОРГАНИЗАЦИОННОЕ УПРАВЛЕНИЕ, КОМПЛАЕНС</w:t>
      </w:r>
    </w:p>
    <w:p w14:paraId="11004687" w14:textId="77777777" w:rsidR="00926741" w:rsidRDefault="00926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9E5480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ПАО «ГМК „</w:t>
      </w:r>
      <w:proofErr w:type="spellStart"/>
      <w:r w:rsidRPr="00F644F8">
        <w:rPr>
          <w:rFonts w:ascii="Times New Roman" w:hAnsi="Times New Roman"/>
          <w:sz w:val="28"/>
          <w:szCs w:val="28"/>
          <w:lang w:val="ru-RU"/>
        </w:rPr>
        <w:t>Нори́льский</w:t>
      </w:r>
      <w:proofErr w:type="spellEnd"/>
      <w:r w:rsidRPr="00F64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44F8">
        <w:rPr>
          <w:rFonts w:ascii="Times New Roman" w:hAnsi="Times New Roman"/>
          <w:sz w:val="28"/>
          <w:szCs w:val="28"/>
          <w:lang w:val="ru-RU"/>
        </w:rPr>
        <w:t>ни́кель</w:t>
      </w:r>
      <w:proofErr w:type="spellEnd"/>
      <w:r w:rsidRPr="00F644F8">
        <w:rPr>
          <w:rFonts w:ascii="Times New Roman" w:hAnsi="Times New Roman"/>
          <w:sz w:val="28"/>
          <w:szCs w:val="28"/>
          <w:lang w:val="ru-RU"/>
        </w:rPr>
        <w:t xml:space="preserve">“» включает Заполярный филиал, ему также принадлежат Кольская горно-металлургическая компания, «Институт </w:t>
      </w:r>
      <w:proofErr w:type="spellStart"/>
      <w:r w:rsidRPr="00F644F8">
        <w:rPr>
          <w:rFonts w:ascii="Times New Roman" w:hAnsi="Times New Roman"/>
          <w:sz w:val="28"/>
          <w:szCs w:val="28"/>
          <w:lang w:val="ru-RU"/>
        </w:rPr>
        <w:t>Гипроникель</w:t>
      </w:r>
      <w:proofErr w:type="spellEnd"/>
      <w:r w:rsidRPr="00F644F8">
        <w:rPr>
          <w:rFonts w:ascii="Times New Roman" w:hAnsi="Times New Roman"/>
          <w:sz w:val="28"/>
          <w:szCs w:val="28"/>
          <w:lang w:val="ru-RU"/>
        </w:rPr>
        <w:t>», Енисейское речное пароходство.</w:t>
      </w:r>
    </w:p>
    <w:p w14:paraId="1F1C99D4" w14:textId="77777777" w:rsidR="00926741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Штаб-квартира компании расположена в «Москва-Си</w:t>
      </w:r>
      <w:r>
        <w:rPr>
          <w:rFonts w:ascii="Times New Roman" w:hAnsi="Times New Roman"/>
          <w:sz w:val="28"/>
          <w:szCs w:val="28"/>
          <w:lang w:val="ru-RU"/>
        </w:rPr>
        <w:t>ти», в небоскрёбе «Меркурий»</w:t>
      </w:r>
      <w:r w:rsidRPr="00F644F8">
        <w:rPr>
          <w:rFonts w:ascii="Times New Roman" w:hAnsi="Times New Roman"/>
          <w:sz w:val="28"/>
          <w:szCs w:val="28"/>
          <w:lang w:val="ru-RU"/>
        </w:rPr>
        <w:t>. До октября 2014 года располагалась на Большой Татарской улице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7462000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Компания вошла в ТОП-10 первого рейтинга экологической ответственности горнодобывающих компаний WWF России. Исследование, проведенное по инициативе Всемирного фонда дикой природы (WWF), впервые позволяет оценить масштаб воздействия предприятий отрасли на окружающую среду и биологическое разнообразие.</w:t>
      </w:r>
    </w:p>
    <w:p w14:paraId="48466C80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 xml:space="preserve">«Норникель» завершил проекта по модернизации </w:t>
      </w:r>
      <w:proofErr w:type="spellStart"/>
      <w:r w:rsidRPr="00F644F8">
        <w:rPr>
          <w:rFonts w:ascii="Times New Roman" w:hAnsi="Times New Roman"/>
          <w:sz w:val="28"/>
          <w:szCs w:val="28"/>
          <w:lang w:val="ru-RU"/>
        </w:rPr>
        <w:t>Талнахской</w:t>
      </w:r>
      <w:proofErr w:type="spellEnd"/>
      <w:r w:rsidRPr="00F644F8">
        <w:rPr>
          <w:rFonts w:ascii="Times New Roman" w:hAnsi="Times New Roman"/>
          <w:sz w:val="28"/>
          <w:szCs w:val="28"/>
          <w:lang w:val="ru-RU"/>
        </w:rPr>
        <w:t xml:space="preserve"> обогатительной фабрики. В результате мощность фабрики выросла на более чем 30%. Это позволяет компании полностью реализовывать планы по производству металлов.</w:t>
      </w:r>
    </w:p>
    <w:p w14:paraId="50BD55CC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«Норникель» и компания BASF объявили о подписании Меморандума о взаимопонимании и начале эксклюзивных переговоров о сотрудничестве по вопросу поставок сырья в Европу для последующего производства материалов для литий-ионных аккумуляторов.</w:t>
      </w:r>
    </w:p>
    <w:p w14:paraId="0A915126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«Норникель» провел волоконно-оптическую линию связи (ВОЛС) из Нового Уренгоя в Норильск. Новая линия связи протяженностью 956 километров и пропускной способностью 40 Гбит в секунду позволила населению полуострова получить доступ к современных услугам и сервисам, а предприятиям компании взаимодействовать более эффективно.</w:t>
      </w:r>
    </w:p>
    <w:p w14:paraId="03E2D0B6" w14:textId="77777777" w:rsid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 xml:space="preserve">Компания приступила к пуско-наладочным работам под нагрузкой на Быстринском горно-обогатительном комбинате. Строительство </w:t>
      </w:r>
      <w:r w:rsidRPr="00F644F8">
        <w:rPr>
          <w:rFonts w:ascii="Times New Roman" w:hAnsi="Times New Roman"/>
          <w:sz w:val="28"/>
          <w:szCs w:val="28"/>
          <w:lang w:val="ru-RU"/>
        </w:rPr>
        <w:lastRenderedPageBreak/>
        <w:t xml:space="preserve">Быстринского комбината стало крупнейшим </w:t>
      </w:r>
      <w:proofErr w:type="spellStart"/>
      <w:r w:rsidRPr="00F644F8">
        <w:rPr>
          <w:rFonts w:ascii="Times New Roman" w:hAnsi="Times New Roman"/>
          <w:sz w:val="28"/>
          <w:szCs w:val="28"/>
          <w:lang w:val="ru-RU"/>
        </w:rPr>
        <w:t>гринфилд</w:t>
      </w:r>
      <w:proofErr w:type="spellEnd"/>
      <w:r w:rsidRPr="00F644F8">
        <w:rPr>
          <w:rFonts w:ascii="Times New Roman" w:hAnsi="Times New Roman"/>
          <w:sz w:val="28"/>
          <w:szCs w:val="28"/>
          <w:lang w:val="ru-RU"/>
        </w:rPr>
        <w:t>-проектом в металлургической отрасли России.</w:t>
      </w:r>
    </w:p>
    <w:p w14:paraId="2F6D888C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Год создания: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/>
        </w:rPr>
        <w:t>19</w:t>
      </w:r>
      <w:r w:rsidR="00F644F8"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/>
        </w:rPr>
        <w:t>35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г.;</w:t>
      </w:r>
    </w:p>
    <w:p w14:paraId="181C1FB4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Отраслевая специализация: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4F8">
        <w:rPr>
          <w:rFonts w:ascii="Times New Roman" w:hAnsi="Times New Roman"/>
          <w:sz w:val="28"/>
          <w:szCs w:val="28"/>
          <w:lang w:val="ru-RU"/>
        </w:rPr>
        <w:t>цветная</w:t>
      </w:r>
      <w:r w:rsidR="00926741">
        <w:rPr>
          <w:rFonts w:ascii="Times New Roman" w:hAnsi="Times New Roman"/>
          <w:sz w:val="28"/>
          <w:szCs w:val="28"/>
          <w:lang w:val="ru-RU"/>
        </w:rPr>
        <w:t xml:space="preserve"> металлургия  </w:t>
      </w:r>
    </w:p>
    <w:p w14:paraId="09F902C0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Количество работников: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644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73</w:t>
      </w:r>
      <w:r w:rsidR="001068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644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557</w:t>
      </w:r>
      <w:r w:rsidR="001068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работников;</w:t>
      </w:r>
    </w:p>
    <w:p w14:paraId="30EB48BB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совета директоров: 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644F8" w:rsidRPr="00F644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Андрей Бугров</w:t>
      </w:r>
    </w:p>
    <w:p w14:paraId="4D5204A0" w14:textId="77777777" w:rsidR="00106804" w:rsidRPr="00106804" w:rsidRDefault="006D6AFB" w:rsidP="00106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Генеральный директор:</w:t>
      </w:r>
      <w:r w:rsidR="00106804" w:rsidRPr="00106804">
        <w:rPr>
          <w:lang w:val="ru-RU"/>
        </w:rPr>
        <w:t xml:space="preserve"> </w:t>
      </w:r>
      <w:r w:rsidR="00F644F8" w:rsidRPr="00F644F8">
        <w:rPr>
          <w:rFonts w:ascii="Times New Roman" w:hAnsi="Times New Roman"/>
          <w:sz w:val="28"/>
          <w:szCs w:val="28"/>
          <w:lang w:val="ru-RU"/>
        </w:rPr>
        <w:t>Владимир Потанин</w:t>
      </w:r>
    </w:p>
    <w:p w14:paraId="5E884E08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Средняя заработная плата: </w:t>
      </w:r>
      <w:r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000 руб.;</w:t>
      </w:r>
    </w:p>
    <w:p w14:paraId="2E2675EE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Уставный капитал: </w:t>
      </w:r>
      <w:r w:rsidR="00926741">
        <w:rPr>
          <w:rFonts w:ascii="Times New Roman" w:hAnsi="Times New Roman"/>
          <w:sz w:val="28"/>
          <w:szCs w:val="28"/>
          <w:lang w:val="ru-RU"/>
        </w:rPr>
        <w:t>2</w:t>
      </w:r>
      <w:r w:rsidR="00106804">
        <w:rPr>
          <w:rFonts w:ascii="Times New Roman" w:hAnsi="Times New Roman"/>
          <w:sz w:val="28"/>
          <w:szCs w:val="28"/>
          <w:lang w:val="ru-RU"/>
        </w:rPr>
        <w:t>43</w:t>
      </w:r>
      <w:r>
        <w:rPr>
          <w:rFonts w:ascii="Times New Roman" w:hAnsi="Times New Roman"/>
          <w:sz w:val="28"/>
          <w:szCs w:val="28"/>
          <w:lang w:val="ru-RU"/>
        </w:rPr>
        <w:t xml:space="preserve"> 684 801 000 руб.</w:t>
      </w:r>
    </w:p>
    <w:p w14:paraId="1486E9F4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Выручка: </w:t>
      </w:r>
      <w:r>
        <w:rPr>
          <w:rFonts w:ascii="Times New Roman" w:hAnsi="Times New Roman"/>
          <w:sz w:val="28"/>
          <w:szCs w:val="28"/>
          <w:lang w:val="ru-RU"/>
        </w:rPr>
        <w:t>4, 556 млрд. руб. (20</w:t>
      </w:r>
      <w:r w:rsidR="0010680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год);</w:t>
      </w:r>
    </w:p>
    <w:p w14:paraId="16C9FBDA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Операционная прибыль: </w:t>
      </w:r>
      <w:r w:rsidR="0092674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932 581 000 руб. (20</w:t>
      </w:r>
      <w:r w:rsidR="0010680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>год);</w:t>
      </w:r>
    </w:p>
    <w:p w14:paraId="5DCF953D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Валовая прибыль: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483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млрд.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(2019 год);</w:t>
      </w:r>
    </w:p>
    <w:p w14:paraId="7F9D2417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Чистая прибыль: </w:t>
      </w:r>
      <w:r w:rsidR="009267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255 693 000 руб. </w:t>
      </w:r>
      <w:r>
        <w:rPr>
          <w:rFonts w:ascii="Times New Roman" w:hAnsi="Times New Roman"/>
          <w:sz w:val="28"/>
          <w:szCs w:val="28"/>
          <w:lang w:val="ru-RU"/>
        </w:rPr>
        <w:t>(2019 год);</w:t>
      </w:r>
    </w:p>
    <w:p w14:paraId="4A7E8BE1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Количество размещенных обыкновенных акций: 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998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381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575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шт.;</w:t>
      </w:r>
    </w:p>
    <w:p w14:paraId="73C90496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Номинальная стоимость 1 шт.: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6804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руб.</w:t>
      </w:r>
    </w:p>
    <w:p w14:paraId="01C1E422" w14:textId="77777777" w:rsidR="006324D4" w:rsidRDefault="006324D4" w:rsidP="0063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59A6B9" w14:textId="77777777" w:rsidR="00146215" w:rsidRPr="00DF6D7A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уставного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капитала</w:t>
      </w:r>
      <w:r w:rsidR="006324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 30.12.20</w:t>
      </w:r>
      <w:r w:rsidRPr="00DF6D7A">
        <w:rPr>
          <w:rFonts w:ascii="Times New Roman" w:hAnsi="Times New Roman"/>
          <w:b/>
          <w:sz w:val="28"/>
          <w:szCs w:val="28"/>
          <w:lang w:val="ru-RU"/>
        </w:rPr>
        <w:t>22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075"/>
        <w:gridCol w:w="2099"/>
        <w:gridCol w:w="2332"/>
        <w:gridCol w:w="1331"/>
      </w:tblGrid>
      <w:tr w:rsidR="00146215" w14:paraId="754CF7BD" w14:textId="77777777">
        <w:trPr>
          <w:jc w:val="center"/>
        </w:trPr>
        <w:tc>
          <w:tcPr>
            <w:tcW w:w="2235" w:type="dxa"/>
          </w:tcPr>
          <w:p w14:paraId="385DCDCB" w14:textId="77777777"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АОИ, шт.</w:t>
            </w:r>
          </w:p>
        </w:tc>
        <w:tc>
          <w:tcPr>
            <w:tcW w:w="2126" w:type="dxa"/>
          </w:tcPr>
          <w:p w14:paraId="01ACB344" w14:textId="77777777"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АОИ, руб.</w:t>
            </w:r>
          </w:p>
        </w:tc>
        <w:tc>
          <w:tcPr>
            <w:tcW w:w="2126" w:type="dxa"/>
          </w:tcPr>
          <w:p w14:paraId="5965E9AE" w14:textId="77777777"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АПИ, шт.</w:t>
            </w:r>
          </w:p>
        </w:tc>
        <w:tc>
          <w:tcPr>
            <w:tcW w:w="2399" w:type="dxa"/>
          </w:tcPr>
          <w:p w14:paraId="35C297F9" w14:textId="77777777"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АПИ, руб.</w:t>
            </w:r>
          </w:p>
        </w:tc>
        <w:tc>
          <w:tcPr>
            <w:tcW w:w="1145" w:type="dxa"/>
          </w:tcPr>
          <w:p w14:paraId="054CFB2F" w14:textId="77777777"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Уставный капитал, руб.</w:t>
            </w:r>
          </w:p>
        </w:tc>
      </w:tr>
      <w:tr w:rsidR="00146215" w14:paraId="57E18EC2" w14:textId="77777777">
        <w:trPr>
          <w:jc w:val="center"/>
        </w:trPr>
        <w:tc>
          <w:tcPr>
            <w:tcW w:w="2235" w:type="dxa"/>
          </w:tcPr>
          <w:p w14:paraId="24C8FA4F" w14:textId="77777777" w:rsidR="00146215" w:rsidRDefault="0092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D6A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725 994 705</w:t>
            </w:r>
          </w:p>
        </w:tc>
        <w:tc>
          <w:tcPr>
            <w:tcW w:w="2126" w:type="dxa"/>
          </w:tcPr>
          <w:p w14:paraId="4D376ADC" w14:textId="77777777" w:rsidR="00146215" w:rsidRDefault="0092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1F6A9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</w:tcPr>
          <w:p w14:paraId="620B62AB" w14:textId="77777777"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998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381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575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9" w:type="dxa"/>
          </w:tcPr>
          <w:p w14:paraId="69D537C6" w14:textId="77777777" w:rsidR="00146215" w:rsidRDefault="0092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1F6A9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5" w:type="dxa"/>
          </w:tcPr>
          <w:p w14:paraId="33C99839" w14:textId="77777777"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2 684 801 000</w:t>
            </w:r>
          </w:p>
        </w:tc>
      </w:tr>
    </w:tbl>
    <w:p w14:paraId="032E9055" w14:textId="77777777"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63B6EA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t>В апреле «Норникель» провел уникальную операцию по установке первых теплообменников на площадке флагманского экологического проекта — Серной программы. Вес каждого теплообменника — от 130 до 200 тонн. Всего в течение года на площадке возведены 28 объектов, составляющих единый комплекс нейтрализации серной кислоты. В результате реализации проекта после 2025 г. выбросы диоксида серы сократятся на 90%.</w:t>
      </w:r>
    </w:p>
    <w:p w14:paraId="086D0508" w14:textId="77777777" w:rsidR="00F644F8" w:rsidRPr="00F644F8" w:rsidRDefault="00F644F8" w:rsidP="00F64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44F8">
        <w:rPr>
          <w:rFonts w:ascii="Times New Roman" w:hAnsi="Times New Roman"/>
          <w:sz w:val="28"/>
          <w:szCs w:val="28"/>
          <w:lang w:val="ru-RU"/>
        </w:rPr>
        <w:lastRenderedPageBreak/>
        <w:t>В феврале Глобальный палладиевый фонд «Норникеля» запустил первый в мире ETC на корзину металлов для электромобилей. Новый инструмент предоставил инвесторам простой и экономически эффективный способ доступа к металлам, обеспечив инвестиционному портфелю потенциальную диверсификацию и защиту от инфляции.</w:t>
      </w:r>
    </w:p>
    <w:p w14:paraId="5966BC1A" w14:textId="77777777" w:rsidR="00146215" w:rsidRDefault="00146215" w:rsidP="000D7065">
      <w:pPr>
        <w:spacing w:after="0" w:line="240" w:lineRule="auto"/>
        <w:rPr>
          <w:noProof/>
          <w:lang w:val="ru-RU" w:eastAsia="ru-RU"/>
        </w:rPr>
      </w:pPr>
    </w:p>
    <w:p w14:paraId="554B1420" w14:textId="77777777" w:rsidR="000D7065" w:rsidRDefault="000D7065" w:rsidP="000D706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28CA97D" wp14:editId="494F0AE2">
            <wp:extent cx="5019675" cy="6554285"/>
            <wp:effectExtent l="19050" t="0" r="9525" b="0"/>
            <wp:docPr id="3" name="Рисунок 2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3185" cy="655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F1EE" w14:textId="77777777" w:rsidR="00146215" w:rsidRDefault="006D6AFB" w:rsidP="001F6A9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Рисунок 1 - Структура органов управления и контроля</w:t>
      </w:r>
      <w:r w:rsidR="001F6A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 w:rsidR="00DF6D7A"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="00926741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 xml:space="preserve">АО </w:t>
      </w:r>
      <w:r w:rsidR="006A49A2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</w:t>
      </w:r>
      <w:r w:rsidR="006A49A2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Норникель</w:t>
      </w:r>
      <w:r w:rsidR="006A49A2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»</w:t>
      </w:r>
    </w:p>
    <w:p w14:paraId="62011D49" w14:textId="77777777" w:rsidR="00A85A99" w:rsidRDefault="00B977D2" w:rsidP="007825F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615E35" wp14:editId="4A681CDA">
            <wp:extent cx="5940425" cy="4025900"/>
            <wp:effectExtent l="19050" t="0" r="3175" b="0"/>
            <wp:docPr id="6" name="Рисунок 5" descr="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73F3" w14:textId="77777777" w:rsidR="00DD1B55" w:rsidRDefault="006D6AFB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Рисунок 2 - Организационная структура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 w:rsidR="00DF6D7A"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="00926741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 xml:space="preserve">АО </w:t>
      </w:r>
      <w:r w:rsidR="00DF6D7A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</w:t>
      </w:r>
      <w:r w:rsidR="00DF6D7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Норникель</w:t>
      </w:r>
      <w:r w:rsidR="00DF6D7A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»</w:t>
      </w:r>
    </w:p>
    <w:p w14:paraId="67E629D6" w14:textId="77777777" w:rsidR="00DF6D7A" w:rsidRDefault="00DF6D7A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03DFDA8D" w14:textId="77777777" w:rsidR="00DF6D7A" w:rsidRDefault="00DF6D7A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3DD0049A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704D5651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61F5617A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1DA96F7F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08271D61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5F9EB53A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669B6B9A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737BE49C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72FE2390" w14:textId="77777777" w:rsidR="00B977D2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1AA744EC" w14:textId="77777777" w:rsidR="00B977D2" w:rsidRPr="00926741" w:rsidRDefault="00B977D2" w:rsidP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1E0BE415" w14:textId="77777777" w:rsidR="00146215" w:rsidRDefault="006D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II.  КОРПОРАТИВНАЯ СОЦИАЛЬНАЯ ОТВЕСТВЕННОСТЬ КОМПАНИИ</w:t>
      </w:r>
    </w:p>
    <w:p w14:paraId="4939C502" w14:textId="77777777"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Цели, задачи и сфера применения Политики КСО в компании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 w:rsidR="00DF6D7A"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="00926741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АО «</w:t>
      </w:r>
      <w:r w:rsidR="00DF6D7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Норникель</w:t>
      </w:r>
      <w:r w:rsidR="00926741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»</w:t>
      </w:r>
    </w:p>
    <w:p w14:paraId="4847AD3A" w14:textId="77777777" w:rsidR="00926741" w:rsidRDefault="00926741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</w:p>
    <w:p w14:paraId="00CD5933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 компании: </w:t>
      </w:r>
      <w:r>
        <w:rPr>
          <w:rFonts w:ascii="Times New Roman" w:hAnsi="Times New Roman"/>
          <w:sz w:val="28"/>
          <w:szCs w:val="28"/>
          <w:lang w:val="ru-RU"/>
        </w:rPr>
        <w:t xml:space="preserve">Среди возможностей компании следует отметить планы по открытию новых представительств в регионах, что приведёт к росту объёмов реализации товаров и услуг и росту прибыли, соответственно. Кроме того, сотрудничество с крупнейшими производителями автомобилей и запчастей позволит повысить качество товаров и услуг и расширить их ассортимент, а значит привлечёт дополнительное количество клиентов. </w:t>
      </w:r>
    </w:p>
    <w:p w14:paraId="60E3A5CF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планируется постепенно расширять номенклатуру товаров и услуг, что также поможет сохранить позиции на рынке и привлечь новых клиентов. Государственная поддержка автомобильного бизнеса также может благоприятно повлиять на деятельность компании.</w:t>
      </w:r>
    </w:p>
    <w:p w14:paraId="185CDD74" w14:textId="77777777" w:rsidR="00146215" w:rsidRDefault="004D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6D6AFB">
        <w:rPr>
          <w:rFonts w:ascii="Times New Roman" w:hAnsi="Times New Roman"/>
          <w:sz w:val="28"/>
          <w:szCs w:val="28"/>
          <w:lang w:val="ru-RU"/>
        </w:rPr>
        <w:t xml:space="preserve">омпания успешно хочет применить  новую стратегию развития бизнеса, которая позволила подготовиться к периоду экономической нестабильности и добиться максимальной эффективности. Она включает следующие меры: проведена глобальная реструктуризация холдинга: вся деятельность консолидирована в рамках четырех юридических лиц; управляющая компания переехала в собственный офис на Алтуфьевском шоссе; </w:t>
      </w:r>
    </w:p>
    <w:p w14:paraId="3DA8759F" w14:textId="77777777"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B51D5F" w14:textId="77777777" w:rsidR="00146215" w:rsidRDefault="006D6A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принципы КСО</w:t>
      </w:r>
    </w:p>
    <w:p w14:paraId="7934795C" w14:textId="77777777" w:rsidR="00146215" w:rsidRDefault="00146215">
      <w:pPr>
        <w:pStyle w:val="a3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14:paraId="6D20B2EF" w14:textId="77777777" w:rsidR="00A85A99" w:rsidRPr="00A85A99" w:rsidRDefault="00A85A99" w:rsidP="00A85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Корпоративное управление Компании осуществляется в строгом соответствии с требованиями законодательства, рекомендациями национального Кодекса корпоративного поведения и основывается на следующих принципах:</w:t>
      </w:r>
    </w:p>
    <w:p w14:paraId="1A7D7CFA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Защита законных интересов и прав акционеров;</w:t>
      </w:r>
    </w:p>
    <w:p w14:paraId="5B3049ED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lastRenderedPageBreak/>
        <w:t>Равное отношение ко всем акционерам;</w:t>
      </w:r>
    </w:p>
    <w:p w14:paraId="6690F165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Взаимное доверие и уважение ко всем заинтересованным сторонам;</w:t>
      </w:r>
    </w:p>
    <w:p w14:paraId="6189A9E6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Открытость при принятии корпоративных решений;</w:t>
      </w:r>
    </w:p>
    <w:p w14:paraId="7947C035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Транспарентность и предоставление информации всем заинтересованным сторонам по стратегии развития и текущей деятельности;</w:t>
      </w:r>
    </w:p>
    <w:p w14:paraId="50A5A16C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Персональная ответственность членов Совета директоров и исполнительных органов и их подотчетность Обществу и акционерам;</w:t>
      </w:r>
    </w:p>
    <w:p w14:paraId="7D2E82EC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Следование общепринятым стандартам деловой этики;</w:t>
      </w:r>
    </w:p>
    <w:p w14:paraId="7C619E01" w14:textId="77777777"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Постоянное совершенствование системы корпоративного управления на основе лучшей мировой и отечественной практики.</w:t>
      </w:r>
    </w:p>
    <w:p w14:paraId="47F77962" w14:textId="77777777" w:rsidR="00A85A99" w:rsidRDefault="00A85A99" w:rsidP="00A85A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BF88987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Взаимодействие с заинтересованными сторонами</w:t>
      </w:r>
    </w:p>
    <w:p w14:paraId="08C0F396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6D4D7890" w14:textId="77777777"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Компаниярассматривает своих работников как ключевой стратегический ресурс, а расходы на персонал – как долгосрочные инвестиции в развитие Общества. Поэтому Компания старается обеспечить комфортные условия для своих сотрудников: совершенствование корпоративной культуры, создание условий для развития творческих и интеллектуальных способностей работников, реализация социальной политики и наличие безопасных условий труда.</w:t>
      </w:r>
    </w:p>
    <w:p w14:paraId="5017198F" w14:textId="77777777"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Общества с дочерними и зависимыми обществами направлено на повышение общей капитализации Общества. Потому, Компания внедряет в их деятельность принципы корпоративного управления и предотвращает появление корпоративных конфликтов.</w:t>
      </w:r>
    </w:p>
    <w:p w14:paraId="213C567F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2CF0DEC" w14:textId="77777777" w:rsidR="004D469D" w:rsidRDefault="004D469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7C55CAA8" w14:textId="77777777" w:rsidR="004D469D" w:rsidRDefault="004D469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024C8A84" w14:textId="77777777" w:rsidR="004D469D" w:rsidRDefault="004D469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D6AAA9E" w14:textId="77777777" w:rsidR="004D469D" w:rsidRDefault="004D469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10203FE1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 Подход к управлению КСО</w:t>
      </w:r>
    </w:p>
    <w:p w14:paraId="403F4200" w14:textId="77777777" w:rsidR="00A85A99" w:rsidRDefault="00A85A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55D3DABB" w14:textId="77777777"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 Компании действует двухуровневая структура управления, в которой Совет директоров осуществляет контроль над деятельностью Единоличного исполнительного органа — генерального директора.</w:t>
      </w:r>
    </w:p>
    <w:p w14:paraId="3B7B24E1" w14:textId="77777777"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Органами управления Общества являются:</w:t>
      </w:r>
    </w:p>
    <w:p w14:paraId="7E42A99F" w14:textId="77777777"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собрание акционеров</w:t>
      </w:r>
    </w:p>
    <w:p w14:paraId="5E722974" w14:textId="77777777"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Совет директоров</w:t>
      </w:r>
    </w:p>
    <w:p w14:paraId="5CAD282C" w14:textId="77777777"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Генеральный директор</w:t>
      </w:r>
    </w:p>
    <w:p w14:paraId="79EB0270" w14:textId="77777777" w:rsidR="00146215" w:rsidRDefault="006D6AF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Управление корпоративным поведением</w:t>
      </w:r>
    </w:p>
    <w:p w14:paraId="47C97674" w14:textId="77777777"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6D20C0C" w14:textId="77777777" w:rsidR="00146215" w:rsidRDefault="006D6AF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Конкретные процедуры и практика корпоративного поведения представлены в ряде внутренних документов Общества, среди которых:</w:t>
      </w:r>
    </w:p>
    <w:p w14:paraId="1324DBEA" w14:textId="77777777"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Кодекскорпоративногоуправления;</w:t>
      </w:r>
    </w:p>
    <w:p w14:paraId="0815524A" w14:textId="77777777"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Службе внутреннего аудита;</w:t>
      </w:r>
    </w:p>
    <w:p w14:paraId="35028FCA" w14:textId="77777777"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внутреннемконтроле;</w:t>
      </w:r>
    </w:p>
    <w:p w14:paraId="3E5306FC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Корпоративная культура  формировалась в ее начальный период вокруг интуитивного чувства «мы – другие», «мы можем то, чего другие не могут». Подчеркивание социальной дистанции как центрального звена корпоративной культуры постепенно привело к формированию некоего идеала – западного стиля. Это, конечно, был условный Запад. </w:t>
      </w:r>
    </w:p>
    <w:p w14:paraId="123FB9C8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смысловая нагрузка этой идеи была: западное, то есть не советское. Даже сама ориентация на Запад родилась из известной анти-ценности «преклонения перед Западом», то есть имело вполне советское происхождение.</w:t>
      </w:r>
    </w:p>
    <w:p w14:paraId="31C6E508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Управление влиянием на внутреннюю среду</w:t>
      </w:r>
    </w:p>
    <w:p w14:paraId="364D204D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7DCECE2" w14:textId="77777777"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Внутренний контроль – это система процедур, осуществляемых Советом директоров, исполнительными и контрольными органами, должностными лицами и иными сотрудниками Общества, направленных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обеспечение результативности и эффективности операционной и инвестиционной деятельности Общества, надежности и достоверности всех видов отчетности Общества, соблюдения требований законодательных актов и внутренних нормативных документов Общества.</w:t>
      </w:r>
    </w:p>
    <w:p w14:paraId="01787BD0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Пристальное внимание процессу обучения и повышения квалификации сотрудников. Организация обязательного обучения для рабочих и инженеров Компании полностью соответствует требованиям законодательства РФ и включает в себя целый комплекс мероприятий (курсы профессиональной подготовки и переподготовки, повышение квалификации рабочих, семинары и тренинги для менеджмента и специалистов).</w:t>
      </w:r>
    </w:p>
    <w:p w14:paraId="063288A6" w14:textId="77777777" w:rsidR="00146215" w:rsidRPr="00757AD2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Обязательное повышение квалификации проходят все инженерно-технические работники Компании не реже чем один раз в 6 лет. </w:t>
      </w:r>
    </w:p>
    <w:p w14:paraId="5BB0F09E" w14:textId="77777777"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0BB819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Управление влиянием на социальную среду</w:t>
      </w:r>
    </w:p>
    <w:p w14:paraId="12A25161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7818B5D9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компании декларируются следующие принципы управления:</w:t>
      </w:r>
    </w:p>
    <w:p w14:paraId="67054E33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Делегирование полномочий – передача задач и полномочий лицу, которое принимает на себя ответственность за их выполнение.</w:t>
      </w:r>
    </w:p>
    <w:p w14:paraId="5195EAD8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– выполнение работником конкретных рабочих требований, когда он занимает определенную должность в организации (должностные инструкции).</w:t>
      </w:r>
    </w:p>
    <w:p w14:paraId="7F5F4505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 и их пределы – право использовать ресурсы компании и направлять усилия ее сотрудников на выполнение поставленных задач в пределах, определяемых политикой, процедурами, правилами и должностными инструкциями.</w:t>
      </w:r>
    </w:p>
    <w:p w14:paraId="04E7C7E2" w14:textId="77777777" w:rsidR="00DD1B55" w:rsidRDefault="006D6AFB" w:rsidP="004D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Вознаграждение персонала. Для того чтобы обеспечить верность и поддержку работников, они должны получать справедливую зарплату. Стабильность рабочего места для персонала. Большая текучесть кадров снижает эффективность организации, а, следоват</w:t>
      </w:r>
      <w:r w:rsidR="004D469D">
        <w:rPr>
          <w:rFonts w:ascii="Times New Roman" w:hAnsi="Times New Roman"/>
          <w:sz w:val="28"/>
          <w:szCs w:val="28"/>
          <w:lang w:val="ru-RU"/>
        </w:rPr>
        <w:t>ельно, её конкурентоспособность.</w:t>
      </w:r>
    </w:p>
    <w:p w14:paraId="4AEBCE57" w14:textId="77777777" w:rsidR="00DD1B55" w:rsidRDefault="00DD1B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57C402" w14:textId="77777777" w:rsidR="00146215" w:rsidRDefault="006D6AFB" w:rsidP="00D730D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 Управление влиянием на экологию</w:t>
      </w:r>
    </w:p>
    <w:p w14:paraId="690769D9" w14:textId="77777777" w:rsidR="00D730D4" w:rsidRDefault="00D730D4" w:rsidP="00D730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C74A3F7" w14:textId="77777777" w:rsidR="00D739B8" w:rsidRDefault="00D730D4" w:rsidP="00D730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30D4">
        <w:rPr>
          <w:rFonts w:ascii="Times New Roman" w:hAnsi="Times New Roman"/>
          <w:sz w:val="28"/>
          <w:szCs w:val="28"/>
          <w:lang w:val="ru-RU"/>
        </w:rPr>
        <w:t>«Норникель» реализует стратегию экологического роста. Она включает не только долгосрочные цели по объемам добычи руды и капитальным вложениям, но и содержит конкретные планы по сокращению вредного воздействия на окружающую среду в регионах присутствия Компании.</w:t>
      </w:r>
    </w:p>
    <w:p w14:paraId="01C3176C" w14:textId="77777777" w:rsidR="005C4B05" w:rsidRPr="00D730D4" w:rsidRDefault="005C4B05" w:rsidP="00D730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6631CC" w14:textId="77777777"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 Принципы молодежной социальной политики</w:t>
      </w:r>
    </w:p>
    <w:p w14:paraId="4F91355B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10B8B12A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 способствует позитивной социальной адаптации работающей молодежи к переменам в обществе и деятельности «Челябинский трубопрокатный завод».</w:t>
      </w:r>
    </w:p>
    <w:p w14:paraId="18714837" w14:textId="77777777"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Объектами молодежной политики Компании являются различные социальные группы:</w:t>
      </w:r>
    </w:p>
    <w:p w14:paraId="4CEC230C" w14:textId="77777777"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молодые рабочие и специалисты в возрасте до 30 лет, пришедшие в Компанию после окончания учебных заведений;</w:t>
      </w:r>
    </w:p>
    <w:p w14:paraId="1A095EA0" w14:textId="77777777"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студенты, обучающиеся по направлению деятельности Компании;</w:t>
      </w:r>
    </w:p>
    <w:p w14:paraId="747FDCBD" w14:textId="77777777"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школьники в рамках программы профессиональной ориентации;</w:t>
      </w:r>
    </w:p>
    <w:p w14:paraId="68443CD6" w14:textId="77777777" w:rsidR="009B6A7D" w:rsidRPr="005C4B05" w:rsidRDefault="006D6AFB" w:rsidP="009B6A7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подшефные сироты, закрепленные за предприятиями и предприятиями сервисного блока.</w:t>
      </w:r>
    </w:p>
    <w:p w14:paraId="1CDED974" w14:textId="77777777" w:rsidR="00146215" w:rsidRDefault="006D6A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Выплаты молодежи и работниками</w:t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96"/>
      </w:tblGrid>
      <w:tr w:rsidR="00146215" w:rsidRPr="00B24350" w14:paraId="047FD52A" w14:textId="77777777">
        <w:trPr>
          <w:trHeight w:val="516"/>
        </w:trPr>
        <w:tc>
          <w:tcPr>
            <w:tcW w:w="4928" w:type="dxa"/>
          </w:tcPr>
          <w:p w14:paraId="2C48E659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Примеры социальных выплат и льгот для работающей молодежи</w:t>
            </w:r>
          </w:p>
        </w:tc>
        <w:tc>
          <w:tcPr>
            <w:tcW w:w="4896" w:type="dxa"/>
          </w:tcPr>
          <w:p w14:paraId="03B9A872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социальных выплат и льгот для работников (общий) </w:t>
            </w:r>
          </w:p>
        </w:tc>
      </w:tr>
      <w:tr w:rsidR="00146215" w:rsidRPr="00B24350" w14:paraId="220988E0" w14:textId="77777777">
        <w:trPr>
          <w:trHeight w:val="516"/>
        </w:trPr>
        <w:tc>
          <w:tcPr>
            <w:tcW w:w="4928" w:type="dxa"/>
          </w:tcPr>
          <w:p w14:paraId="37216521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Работодатель квотирует рабочие места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лиц,  возвращающихся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компанию после дикрета или службы в армии</w:t>
            </w:r>
          </w:p>
        </w:tc>
        <w:tc>
          <w:tcPr>
            <w:tcW w:w="4896" w:type="dxa"/>
          </w:tcPr>
          <w:p w14:paraId="173177A9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Работодатель выделяет средства на оказание материальной помощи по согласованию с профсоюзным комитетом работникам.</w:t>
            </w:r>
          </w:p>
          <w:p w14:paraId="5FC84B9C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B24350" w14:paraId="294B3B1B" w14:textId="77777777">
        <w:trPr>
          <w:trHeight w:val="516"/>
        </w:trPr>
        <w:tc>
          <w:tcPr>
            <w:tcW w:w="4928" w:type="dxa"/>
          </w:tcPr>
          <w:p w14:paraId="62D4ADC0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Работникам, вернувшимся из выплачивается материальная помощь </w:t>
            </w:r>
          </w:p>
          <w:p w14:paraId="141A7751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5000 до 10 000 рублей </w:t>
            </w:r>
          </w:p>
        </w:tc>
        <w:tc>
          <w:tcPr>
            <w:tcW w:w="4896" w:type="dxa"/>
          </w:tcPr>
          <w:p w14:paraId="56602CBA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Работодатель обязуется обеспечить работников Компании горячим питанием по льготным (пониженным) ценам согласно графикам работы подразделений, в том числе диетическим питанием.</w:t>
            </w:r>
          </w:p>
          <w:p w14:paraId="42A0AE4B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14:paraId="29C82F1A" w14:textId="77777777">
        <w:trPr>
          <w:trHeight w:val="516"/>
        </w:trPr>
        <w:tc>
          <w:tcPr>
            <w:tcW w:w="4928" w:type="dxa"/>
          </w:tcPr>
          <w:p w14:paraId="462735B4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14:paraId="69440B63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Работодатель обеспечивает доставку работников завода на работу и обратно согласно графикам работы. </w:t>
            </w:r>
          </w:p>
          <w:p w14:paraId="7275BC5D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 оплату проездных билетов.</w:t>
            </w:r>
          </w:p>
        </w:tc>
      </w:tr>
      <w:tr w:rsidR="00146215" w:rsidRPr="00B24350" w14:paraId="59380178" w14:textId="77777777">
        <w:trPr>
          <w:trHeight w:val="516"/>
        </w:trPr>
        <w:tc>
          <w:tcPr>
            <w:tcW w:w="4928" w:type="dxa"/>
          </w:tcPr>
          <w:p w14:paraId="7FC3C0E6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Молодым работникам, без отрыва от производства окончившим средние и высшие профессиональные учебные учреждения, имеющие государственную аккредитацию, по специальностям, необходимым предприятию</w:t>
            </w:r>
          </w:p>
          <w:p w14:paraId="13CC2A33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Премии от 2000 до 3000 рублей</w:t>
            </w:r>
          </w:p>
        </w:tc>
        <w:tc>
          <w:tcPr>
            <w:tcW w:w="4896" w:type="dxa"/>
          </w:tcPr>
          <w:p w14:paraId="1A7B96B5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Работодатель обеспечивает детей работников компании путевками в детские оздоровительные лагеря:</w:t>
            </w:r>
          </w:p>
          <w:p w14:paraId="12516FBB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B24350" w14:paraId="3DC39A49" w14:textId="77777777">
        <w:trPr>
          <w:trHeight w:val="516"/>
        </w:trPr>
        <w:tc>
          <w:tcPr>
            <w:tcW w:w="4928" w:type="dxa"/>
          </w:tcPr>
          <w:p w14:paraId="549D3CB2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Работодатель совместно с профсоюзным комитетом:</w:t>
            </w:r>
          </w:p>
          <w:p w14:paraId="2F2E6C48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проводит конкурсы профессионального мастерства среди молодых работников;</w:t>
            </w:r>
          </w:p>
          <w:p w14:paraId="22FCC40D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14:paraId="55F9DB8C" w14:textId="77777777" w:rsidR="00146215" w:rsidRDefault="0014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</w:tcPr>
          <w:p w14:paraId="6D6865DE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По желанию работника за счет средств организации предоставляется оплачиваемый по тарифу краткосрочный отпуск продолжительностью:</w:t>
            </w:r>
          </w:p>
          <w:p w14:paraId="5918F7F3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 календарный день:</w:t>
            </w:r>
          </w:p>
          <w:p w14:paraId="2DECFA53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свадьбу детей </w:t>
            </w:r>
          </w:p>
          <w:p w14:paraId="774BFBD8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мужу в день выписки жены из роддома;</w:t>
            </w:r>
          </w:p>
          <w:p w14:paraId="3909886D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первого сентября одному из родителей первоклассника.</w:t>
            </w:r>
          </w:p>
        </w:tc>
      </w:tr>
      <w:tr w:rsidR="00146215" w:rsidRPr="00B24350" w14:paraId="513C580D" w14:textId="77777777">
        <w:trPr>
          <w:trHeight w:val="3127"/>
        </w:trPr>
        <w:tc>
          <w:tcPr>
            <w:tcW w:w="4928" w:type="dxa"/>
          </w:tcPr>
          <w:p w14:paraId="1402B073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 В связи с рождением ребенка выплачивается единовременная материальная помощь в размере </w:t>
            </w:r>
          </w:p>
          <w:p w14:paraId="4637DBA8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5000 до 10000 рублей</w:t>
            </w:r>
          </w:p>
        </w:tc>
        <w:tc>
          <w:tcPr>
            <w:tcW w:w="4896" w:type="dxa"/>
          </w:tcPr>
          <w:p w14:paraId="67F2987E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Работодатель приобретает за счет средств путевки для санаторно-курортного лечения для работников организации. </w:t>
            </w:r>
          </w:p>
          <w:p w14:paraId="60D0F928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 года до 20 лет – 30% от стоимости путевки;</w:t>
            </w:r>
          </w:p>
          <w:p w14:paraId="4BF35623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B24350" w14:paraId="5E6FDF33" w14:textId="77777777">
        <w:trPr>
          <w:trHeight w:val="500"/>
        </w:trPr>
        <w:tc>
          <w:tcPr>
            <w:tcW w:w="4928" w:type="dxa"/>
          </w:tcPr>
          <w:p w14:paraId="130AD4AD" w14:textId="77777777"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 в размере 1000 рублей на каждого ребенка в возрасте до 3-х лет.</w:t>
            </w:r>
          </w:p>
          <w:p w14:paraId="218D9E2E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</w:tcPr>
          <w:p w14:paraId="50FA206E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При увольнении работника в связи с выходом на пенсию по возрасту выплачивается выходное пособие (при непрерывном стаже работы):</w:t>
            </w:r>
          </w:p>
          <w:p w14:paraId="26BAEE02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5 лет до 10 лет – месячный тариф;</w:t>
            </w:r>
          </w:p>
          <w:p w14:paraId="6C499898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10 лет до 15 лет – двухмесячный тариф;</w:t>
            </w:r>
          </w:p>
        </w:tc>
      </w:tr>
      <w:tr w:rsidR="00146215" w:rsidRPr="00B24350" w14:paraId="28054B6A" w14:textId="77777777">
        <w:trPr>
          <w:trHeight w:val="500"/>
        </w:trPr>
        <w:tc>
          <w:tcPr>
            <w:tcW w:w="4928" w:type="dxa"/>
          </w:tcPr>
          <w:p w14:paraId="04D29B98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В 2019 году на обучение, подготовку и переподготовку молодых специалистов было затрачено около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  млн.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долл.</w:t>
            </w:r>
          </w:p>
        </w:tc>
        <w:tc>
          <w:tcPr>
            <w:tcW w:w="4896" w:type="dxa"/>
          </w:tcPr>
          <w:p w14:paraId="1EA7D78F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предусмотрены лагеря для детей сотрудников</w:t>
            </w:r>
          </w:p>
        </w:tc>
      </w:tr>
      <w:tr w:rsidR="00146215" w:rsidRPr="00B24350" w14:paraId="10D43EB1" w14:textId="77777777">
        <w:trPr>
          <w:trHeight w:val="500"/>
        </w:trPr>
        <w:tc>
          <w:tcPr>
            <w:tcW w:w="4928" w:type="dxa"/>
          </w:tcPr>
          <w:p w14:paraId="6E2AD967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Производится оказание адресной материальной помощи на основании предоставленных документов:</w:t>
            </w:r>
          </w:p>
          <w:p w14:paraId="7CE33196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семьям, имеющим на иждивении 4-х и более детей – один раз в квартал в размере базового оклада (базовой ставки заработной платы) в организации;</w:t>
            </w:r>
          </w:p>
          <w:p w14:paraId="32F23A5C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одиноким матерям, имеющим детей до 16 лет – в размере 550 рублей в квартал;</w:t>
            </w:r>
          </w:p>
          <w:p w14:paraId="11B5A06F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семьям, имеющим детей-инвалидов до 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лет -  в размере 2000 рублей в квартал.</w:t>
            </w:r>
          </w:p>
        </w:tc>
        <w:tc>
          <w:tcPr>
            <w:tcW w:w="4896" w:type="dxa"/>
          </w:tcPr>
          <w:p w14:paraId="7FD880F6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 Работодатель предоставляет работникам в счет заработной платы, беспроцентный заем для оплаты:</w:t>
            </w:r>
          </w:p>
          <w:p w14:paraId="2FD857E0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медицинских услуг, закупки дорогостоящих лекарственных препаратов </w:t>
            </w:r>
          </w:p>
          <w:p w14:paraId="19B0059E" w14:textId="77777777"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B24350" w14:paraId="69003240" w14:textId="77777777">
        <w:trPr>
          <w:trHeight w:val="516"/>
        </w:trPr>
        <w:tc>
          <w:tcPr>
            <w:tcW w:w="4928" w:type="dxa"/>
          </w:tcPr>
          <w:p w14:paraId="3975B9EF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В целях укрепления корпоративных традиций и семейных ценностей, повышения интереса детей к компании.</w:t>
            </w:r>
          </w:p>
        </w:tc>
        <w:tc>
          <w:tcPr>
            <w:tcW w:w="4896" w:type="dxa"/>
          </w:tcPr>
          <w:p w14:paraId="746AD10D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За счет средств организации работникам предоставляется дополнительные отпуска за продолжительный непрерывный стаж работы в организации:</w:t>
            </w:r>
          </w:p>
          <w:p w14:paraId="40E2C7A6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свыше 10 лет – 1 календарный день;</w:t>
            </w:r>
          </w:p>
          <w:p w14:paraId="571202BF" w14:textId="77777777"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свыше 15 лет – 2 календарных дня.</w:t>
            </w:r>
          </w:p>
        </w:tc>
      </w:tr>
    </w:tbl>
    <w:p w14:paraId="4794AB6C" w14:textId="77777777"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D8136D6" w14:textId="77777777" w:rsidR="00C6366F" w:rsidRPr="00C6366F" w:rsidRDefault="00C6366F" w:rsidP="00C63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6F">
        <w:rPr>
          <w:rFonts w:ascii="Times New Roman" w:hAnsi="Times New Roman"/>
          <w:sz w:val="28"/>
          <w:szCs w:val="28"/>
          <w:lang w:val="ru-RU"/>
        </w:rPr>
        <w:t>В 20</w:t>
      </w:r>
      <w:r w:rsidR="009B6A7D">
        <w:rPr>
          <w:rFonts w:ascii="Times New Roman" w:hAnsi="Times New Roman"/>
          <w:sz w:val="28"/>
          <w:szCs w:val="28"/>
          <w:lang w:val="ru-RU"/>
        </w:rPr>
        <w:t>21</w:t>
      </w:r>
      <w:r w:rsidRPr="00C6366F">
        <w:rPr>
          <w:rFonts w:ascii="Times New Roman" w:hAnsi="Times New Roman"/>
          <w:sz w:val="28"/>
          <w:szCs w:val="28"/>
          <w:lang w:val="ru-RU"/>
        </w:rPr>
        <w:t> году Компания стала лучшей в номинации «Взаимодействие с молодежными отраслевыми организациями» в конкурсе на лучшую социально-ориентированную компанию нефтегазовой отрасли</w:t>
      </w:r>
      <w:r w:rsidR="005C4B05">
        <w:rPr>
          <w:rFonts w:ascii="Times New Roman" w:hAnsi="Times New Roman"/>
          <w:sz w:val="28"/>
          <w:szCs w:val="28"/>
          <w:lang w:val="ru-RU"/>
        </w:rPr>
        <w:t>.</w:t>
      </w:r>
    </w:p>
    <w:p w14:paraId="51217919" w14:textId="77777777" w:rsidR="001F6A9A" w:rsidRDefault="001F6A9A" w:rsidP="001F6A9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C2F8742" w14:textId="77777777" w:rsidR="00D739B8" w:rsidRDefault="006D6AFB" w:rsidP="005C4B0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11. Коллективный договор Компании </w:t>
      </w:r>
      <w:r w:rsidR="005C4B05">
        <w:rPr>
          <w:rFonts w:ascii="Times New Roman" w:hAnsi="Times New Roman"/>
          <w:b/>
          <w:sz w:val="28"/>
          <w:szCs w:val="28"/>
          <w:lang w:val="ru-RU"/>
        </w:rPr>
        <w:t>П</w:t>
      </w:r>
      <w:r w:rsidR="009B6A7D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АО «</w:t>
      </w:r>
      <w:r w:rsidR="005C4B05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Норникель</w:t>
      </w:r>
      <w:r w:rsidR="009B6A7D" w:rsidRPr="00926741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»</w:t>
      </w:r>
    </w:p>
    <w:p w14:paraId="166493EB" w14:textId="77777777" w:rsidR="005C4B05" w:rsidRDefault="005C4B05" w:rsidP="005C4B0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B8B66E7" w14:textId="77777777" w:rsidR="005C4B05" w:rsidRDefault="005C4B05" w:rsidP="005C4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B05">
        <w:rPr>
          <w:rFonts w:ascii="Times New Roman" w:hAnsi="Times New Roman"/>
          <w:sz w:val="28"/>
          <w:szCs w:val="28"/>
          <w:lang w:val="ru-RU"/>
        </w:rPr>
        <w:t>«Норникель» продолжает совершенствовать систему социального партнерства. Сегодня в Норильске был подписан обновленный коллективный договор ПАО «ГМК «Норильский никель» на 2022–2024 гг. Он традиционно предусматривает один из лучших социальных пакетов в отрасли и нацелен на формирование долгосрочного благополучия сотрудников и их семей.</w:t>
      </w:r>
    </w:p>
    <w:p w14:paraId="1DF77F2A" w14:textId="77777777" w:rsidR="00D739B8" w:rsidRPr="00D739B8" w:rsidRDefault="00D739B8" w:rsidP="005C4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Коллективный договор предусматривает:</w:t>
      </w:r>
    </w:p>
    <w:p w14:paraId="3AD64088" w14:textId="77777777"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льготы и гарантии сотрудникам;</w:t>
      </w:r>
    </w:p>
    <w:p w14:paraId="487665D1" w14:textId="77777777"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социальную защиту молодых работников;</w:t>
      </w:r>
    </w:p>
    <w:p w14:paraId="012CD68D" w14:textId="77777777"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поддержку ветеранов и пенсионеров.</w:t>
      </w:r>
    </w:p>
    <w:p w14:paraId="302F879C" w14:textId="77777777" w:rsidR="00D739B8" w:rsidRDefault="00D739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Структуру социальных льгот и гарантий определяет Стандарт Коллективного дог</w:t>
      </w:r>
      <w:r w:rsidR="009B6A7D">
        <w:rPr>
          <w:rFonts w:ascii="Times New Roman" w:hAnsi="Times New Roman"/>
          <w:sz w:val="28"/>
          <w:szCs w:val="28"/>
          <w:lang w:val="ru-RU"/>
        </w:rPr>
        <w:t xml:space="preserve">овора Группы </w:t>
      </w:r>
      <w:proofErr w:type="gramStart"/>
      <w:r w:rsidR="009B6A7D">
        <w:rPr>
          <w:rFonts w:ascii="Times New Roman" w:hAnsi="Times New Roman"/>
          <w:sz w:val="28"/>
          <w:szCs w:val="28"/>
          <w:lang w:val="ru-RU"/>
        </w:rPr>
        <w:t xml:space="preserve">компаний </w:t>
      </w:r>
      <w:r w:rsidRPr="00D739B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739B8">
        <w:rPr>
          <w:rFonts w:ascii="Times New Roman" w:hAnsi="Times New Roman"/>
          <w:sz w:val="28"/>
          <w:szCs w:val="28"/>
          <w:lang w:val="ru-RU"/>
        </w:rPr>
        <w:t xml:space="preserve"> который носит рекомендательный характер для всех предприятий Группы.</w:t>
      </w:r>
    </w:p>
    <w:p w14:paraId="2A7241D8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Основные разделы коллективного договора:</w:t>
      </w:r>
    </w:p>
    <w:p w14:paraId="7C54B619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Общие положения;</w:t>
      </w:r>
    </w:p>
    <w:p w14:paraId="58DACF3C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Трудовые отношения;</w:t>
      </w:r>
    </w:p>
    <w:p w14:paraId="5D4D137A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Обеспечение занятости;</w:t>
      </w:r>
    </w:p>
    <w:p w14:paraId="70F111A0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Развитие кадрового потенциала;</w:t>
      </w:r>
    </w:p>
    <w:p w14:paraId="6B3E0CF3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Рабочее время и время отдыха;</w:t>
      </w:r>
    </w:p>
    <w:p w14:paraId="4683C0C9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Оплата труда;</w:t>
      </w:r>
    </w:p>
    <w:p w14:paraId="4787B842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Охрана труда;</w:t>
      </w:r>
    </w:p>
    <w:p w14:paraId="3CB4A2A1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Гарантии и компенсации;</w:t>
      </w:r>
    </w:p>
    <w:p w14:paraId="78CFCE7B" w14:textId="77777777"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Осуществление контроля за выполнением обязательств коллективного договора.</w:t>
      </w:r>
    </w:p>
    <w:p w14:paraId="57313646" w14:textId="77777777"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5FC035C" w14:textId="77777777"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019916E" w14:textId="77777777"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6FECD47E" w14:textId="77777777"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6BA0D411" w14:textId="77777777"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3F48631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6CCBC93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76B24C7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46EA3D0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38F1AE9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40826E6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7C91F9F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9CED6FA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F1A01D9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3C5B12E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22B1944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A74FA3B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4B06993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ECEF276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74386C56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3A1066B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380155B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3C01FC6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C8FAEFF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F392BBA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F4F5629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1A949B3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67D1398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7659792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F7489D1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4D7DF3C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89BBF24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A008059" w14:textId="77777777" w:rsidR="005C4B05" w:rsidRDefault="005C4B0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6048BFFB" w14:textId="77777777" w:rsidR="009B6A7D" w:rsidRDefault="009B6A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61F9DE5E" w14:textId="77777777" w:rsidR="00146215" w:rsidRDefault="006D6AF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СПИСОК ЛИТЕРАТУРЫ</w:t>
      </w:r>
    </w:p>
    <w:p w14:paraId="49D4A25A" w14:textId="77777777" w:rsidR="00146215" w:rsidRDefault="0014621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D65273D" w14:textId="77777777"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Бабкин В.П. Социальная ответственность бизнеса // Народонаселение. — 2019. — 2. — С. 133–139.</w:t>
      </w:r>
    </w:p>
    <w:p w14:paraId="2C9F597B" w14:textId="77777777"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Батаева Б.С. Направления формирования российской модели корпоративной социальной ответственности // Изв. С.-Петерб. ун-та экономики и финансов. — 2020. — 5. — С. 67–72.</w:t>
      </w:r>
    </w:p>
    <w:p w14:paraId="78388325" w14:textId="77777777" w:rsidR="005C4B05" w:rsidRPr="005C4B05" w:rsidRDefault="00000000" w:rsidP="009B6A7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5C4B05" w:rsidRPr="001C527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https://www.nornickel.ru/news-and-media/press-releases-and-news/nornikel-i-sotrudniki-kompanii-podpisali-obnovlennyy-kollektivnyy-dogovor/type=news</w:t>
        </w:r>
      </w:hyperlink>
    </w:p>
    <w:p w14:paraId="2B0C1CE0" w14:textId="77777777" w:rsidR="00146215" w:rsidRPr="009B6A7D" w:rsidRDefault="006D6AFB" w:rsidP="009B6A7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6A7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Коллективный договор </w:t>
      </w:r>
      <w:r w:rsidR="009B6A7D" w:rsidRPr="009B6A7D">
        <w:rPr>
          <w:rFonts w:ascii="Times New Roman" w:hAnsi="Times New Roman"/>
          <w:sz w:val="28"/>
          <w:szCs w:val="28"/>
          <w:lang w:val="ru-RU"/>
        </w:rPr>
        <w:t>Компании АО «</w:t>
      </w:r>
      <w:r w:rsidR="005C4B05">
        <w:rPr>
          <w:rFonts w:ascii="Times New Roman" w:hAnsi="Times New Roman"/>
          <w:sz w:val="28"/>
          <w:szCs w:val="28"/>
          <w:lang w:val="ru-RU"/>
        </w:rPr>
        <w:t>Норникель</w:t>
      </w:r>
      <w:r w:rsidR="009B6A7D" w:rsidRPr="009B6A7D">
        <w:rPr>
          <w:rFonts w:ascii="Times New Roman" w:hAnsi="Times New Roman"/>
          <w:sz w:val="28"/>
          <w:szCs w:val="28"/>
          <w:lang w:val="ru-RU"/>
        </w:rPr>
        <w:t>»</w:t>
      </w:r>
      <w:r w:rsidRPr="009B6A7D">
        <w:rPr>
          <w:rFonts w:ascii="Times New Roman" w:hAnsi="Times New Roman"/>
          <w:sz w:val="28"/>
          <w:szCs w:val="28"/>
          <w:lang w:val="ru-RU"/>
        </w:rPr>
        <w:t>.</w:t>
      </w:r>
    </w:p>
    <w:p w14:paraId="0ABC8FBA" w14:textId="77777777"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E27795" w14:textId="77777777" w:rsidR="00146215" w:rsidRDefault="00146215">
      <w:pPr>
        <w:shd w:val="clear" w:color="auto" w:fill="FFFFFF"/>
        <w:spacing w:before="450" w:after="450" w:line="240" w:lineRule="auto"/>
        <w:ind w:firstLine="707"/>
        <w:rPr>
          <w:rFonts w:ascii="Times New Roman" w:hAnsi="Times New Roman"/>
          <w:color w:val="404040"/>
          <w:sz w:val="30"/>
          <w:szCs w:val="30"/>
          <w:lang w:val="ru-RU" w:eastAsia="ru-RU"/>
        </w:rPr>
      </w:pPr>
    </w:p>
    <w:p w14:paraId="511284FE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E84D379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B1A292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1B69E2C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DEBD60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D13D8FB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77C523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D2B326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2F6DB4" w14:textId="77777777"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290755F" w14:textId="77777777" w:rsidR="00146215" w:rsidRPr="009B6A7D" w:rsidRDefault="00146215">
      <w:pPr>
        <w:rPr>
          <w:lang w:val="ru-RU"/>
        </w:rPr>
      </w:pPr>
    </w:p>
    <w:sectPr w:rsidR="00146215" w:rsidRPr="009B6A7D" w:rsidSect="0014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CE5D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DFAC6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000003"/>
    <w:multiLevelType w:val="hybridMultilevel"/>
    <w:tmpl w:val="FD820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000004"/>
    <w:multiLevelType w:val="multilevel"/>
    <w:tmpl w:val="81145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08947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C5920B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hybridMultilevel"/>
    <w:tmpl w:val="867259F0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77A47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E6724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000000A"/>
    <w:multiLevelType w:val="hybridMultilevel"/>
    <w:tmpl w:val="3BE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9B103C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30187084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B4291FA"/>
    <w:lvl w:ilvl="0" w:tplc="AD0E89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000000E"/>
    <w:multiLevelType w:val="multilevel"/>
    <w:tmpl w:val="CC50C4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CCB4BE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89DA095E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1AB878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0000012"/>
    <w:multiLevelType w:val="multilevel"/>
    <w:tmpl w:val="8D48A2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hybridMultilevel"/>
    <w:tmpl w:val="ACEC549C"/>
    <w:lvl w:ilvl="0" w:tplc="85D4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D3777"/>
    <w:multiLevelType w:val="multilevel"/>
    <w:tmpl w:val="BFE678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800F0"/>
    <w:multiLevelType w:val="multilevel"/>
    <w:tmpl w:val="719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A0886"/>
    <w:multiLevelType w:val="multilevel"/>
    <w:tmpl w:val="3D4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637093">
    <w:abstractNumId w:val="18"/>
  </w:num>
  <w:num w:numId="2" w16cid:durableId="272516888">
    <w:abstractNumId w:val="9"/>
  </w:num>
  <w:num w:numId="3" w16cid:durableId="822040111">
    <w:abstractNumId w:val="1"/>
  </w:num>
  <w:num w:numId="4" w16cid:durableId="1268079192">
    <w:abstractNumId w:val="7"/>
  </w:num>
  <w:num w:numId="5" w16cid:durableId="870385230">
    <w:abstractNumId w:val="8"/>
  </w:num>
  <w:num w:numId="6" w16cid:durableId="1555965908">
    <w:abstractNumId w:val="2"/>
  </w:num>
  <w:num w:numId="7" w16cid:durableId="897207355">
    <w:abstractNumId w:val="12"/>
  </w:num>
  <w:num w:numId="8" w16cid:durableId="705058443">
    <w:abstractNumId w:val="14"/>
  </w:num>
  <w:num w:numId="9" w16cid:durableId="274018732">
    <w:abstractNumId w:val="5"/>
  </w:num>
  <w:num w:numId="10" w16cid:durableId="1942764054">
    <w:abstractNumId w:val="17"/>
  </w:num>
  <w:num w:numId="11" w16cid:durableId="905577955">
    <w:abstractNumId w:val="19"/>
  </w:num>
  <w:num w:numId="12" w16cid:durableId="135950128">
    <w:abstractNumId w:val="3"/>
  </w:num>
  <w:num w:numId="13" w16cid:durableId="662321355">
    <w:abstractNumId w:val="13"/>
  </w:num>
  <w:num w:numId="14" w16cid:durableId="1073965269">
    <w:abstractNumId w:val="4"/>
  </w:num>
  <w:num w:numId="15" w16cid:durableId="1987272337">
    <w:abstractNumId w:val="0"/>
  </w:num>
  <w:num w:numId="16" w16cid:durableId="698897486">
    <w:abstractNumId w:val="16"/>
  </w:num>
  <w:num w:numId="17" w16cid:durableId="335769002">
    <w:abstractNumId w:val="15"/>
  </w:num>
  <w:num w:numId="18" w16cid:durableId="1043990843">
    <w:abstractNumId w:val="10"/>
  </w:num>
  <w:num w:numId="19" w16cid:durableId="1418861419">
    <w:abstractNumId w:val="6"/>
  </w:num>
  <w:num w:numId="20" w16cid:durableId="1576085359">
    <w:abstractNumId w:val="11"/>
  </w:num>
  <w:num w:numId="21" w16cid:durableId="1032850482">
    <w:abstractNumId w:val="21"/>
  </w:num>
  <w:num w:numId="22" w16cid:durableId="6148253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15"/>
    <w:rsid w:val="00052410"/>
    <w:rsid w:val="000D3884"/>
    <w:rsid w:val="000D7065"/>
    <w:rsid w:val="00106804"/>
    <w:rsid w:val="00146215"/>
    <w:rsid w:val="001F6A9A"/>
    <w:rsid w:val="0027652F"/>
    <w:rsid w:val="002C11BA"/>
    <w:rsid w:val="004D469D"/>
    <w:rsid w:val="005C4B05"/>
    <w:rsid w:val="006324D4"/>
    <w:rsid w:val="00671C5A"/>
    <w:rsid w:val="006A49A2"/>
    <w:rsid w:val="006D6AFB"/>
    <w:rsid w:val="00730F12"/>
    <w:rsid w:val="00757AD2"/>
    <w:rsid w:val="007825F8"/>
    <w:rsid w:val="00926741"/>
    <w:rsid w:val="009B6A7D"/>
    <w:rsid w:val="00A813D7"/>
    <w:rsid w:val="00A85A99"/>
    <w:rsid w:val="00B24350"/>
    <w:rsid w:val="00B977D2"/>
    <w:rsid w:val="00C6366F"/>
    <w:rsid w:val="00D64DB1"/>
    <w:rsid w:val="00D730D4"/>
    <w:rsid w:val="00D739B8"/>
    <w:rsid w:val="00DD1B55"/>
    <w:rsid w:val="00DF6D7A"/>
    <w:rsid w:val="00E0508B"/>
    <w:rsid w:val="00F6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00BC"/>
  <w15:docId w15:val="{12A17DE4-321E-463E-B6B4-876C81F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215"/>
    <w:rPr>
      <w:rFonts w:eastAsia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15"/>
    <w:pPr>
      <w:ind w:left="708"/>
    </w:pPr>
  </w:style>
  <w:style w:type="character" w:styleId="a4">
    <w:name w:val="Hyperlink"/>
    <w:rsid w:val="00146215"/>
    <w:rPr>
      <w:color w:val="0563C1"/>
      <w:u w:val="single"/>
    </w:rPr>
  </w:style>
  <w:style w:type="paragraph" w:styleId="a5">
    <w:name w:val="Balloon Text"/>
    <w:basedOn w:val="a"/>
    <w:link w:val="a6"/>
    <w:uiPriority w:val="99"/>
    <w:rsid w:val="0014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462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br">
    <w:name w:val="nobr"/>
    <w:basedOn w:val="a0"/>
    <w:rsid w:val="00146215"/>
  </w:style>
  <w:style w:type="paragraph" w:styleId="a7">
    <w:name w:val="Normal (Web)"/>
    <w:basedOn w:val="a"/>
    <w:uiPriority w:val="99"/>
    <w:rsid w:val="00146215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14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0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0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news-and-media/press-releases-and-news/nornikel-i-sotrudniki-kompanii-podpisali-obnovlennyy-kollektivnyy-dogovor/type=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Виктория Мамайова</cp:lastModifiedBy>
  <cp:revision>2</cp:revision>
  <dcterms:created xsi:type="dcterms:W3CDTF">2023-05-26T07:49:00Z</dcterms:created>
  <dcterms:modified xsi:type="dcterms:W3CDTF">2023-05-26T07:49:00Z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bc75a6b4191447aebea00cfc301eb9d6</vt:lpwstr>
  </property>
</Properties>
</file>