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440C" w14:textId="62AF9896" w:rsidR="00360CD9" w:rsidRDefault="001D4401" w:rsidP="00360CD9">
      <w:pPr>
        <w:spacing w:line="360" w:lineRule="auto"/>
        <w:rPr>
          <w:rFonts w:ascii="Times New Roman" w:eastAsia="sans-serif" w:hAnsi="Times New Roman"/>
          <w:b/>
          <w:bCs/>
          <w:iCs/>
          <w:sz w:val="28"/>
          <w:szCs w:val="28"/>
        </w:rPr>
      </w:pPr>
      <w:r>
        <w:rPr>
          <w:rFonts w:ascii="Times New Roman" w:eastAsia="sans-serif" w:hAnsi="Times New Roman"/>
          <w:b/>
          <w:bCs/>
          <w:iCs/>
          <w:sz w:val="28"/>
          <w:szCs w:val="28"/>
        </w:rPr>
        <w:t xml:space="preserve">УДК </w:t>
      </w:r>
      <w:r w:rsidRPr="001D4401">
        <w:rPr>
          <w:rFonts w:ascii="Times New Roman" w:hAnsi="Times New Roman" w:cs="Times New Roman"/>
          <w:b/>
          <w:color w:val="222222"/>
          <w:sz w:val="28"/>
          <w:shd w:val="clear" w:color="auto" w:fill="FFFFFF"/>
        </w:rPr>
        <w:t>330.322«2005/2022»</w:t>
      </w:r>
    </w:p>
    <w:p w14:paraId="3AC72BF8" w14:textId="198FACD9" w:rsidR="00360CD9" w:rsidRDefault="00D12B33" w:rsidP="00663AD6">
      <w:pPr>
        <w:spacing w:line="240" w:lineRule="auto"/>
        <w:jc w:val="center"/>
        <w:rPr>
          <w:rFonts w:ascii="Times New Roman" w:eastAsia="sans-serif" w:hAnsi="Times New Roman"/>
          <w:b/>
          <w:bCs/>
          <w:iCs/>
          <w:sz w:val="28"/>
          <w:szCs w:val="28"/>
        </w:rPr>
      </w:pPr>
      <w:r>
        <w:rPr>
          <w:rFonts w:ascii="Times New Roman" w:eastAsia="sans-serif" w:hAnsi="Times New Roman"/>
          <w:b/>
          <w:bCs/>
          <w:iCs/>
          <w:sz w:val="28"/>
          <w:szCs w:val="28"/>
        </w:rPr>
        <w:t>ТЕНДЕНЦИИ ИНВЕСТИЦИОННОЙ ДЕЯТЕЛЬНОСТИ В РОССИИ ПО ОТРАСЛЯМ ПРОИЗВОДСТВА В 2005–2022 ГГ.</w:t>
      </w:r>
    </w:p>
    <w:p w14:paraId="05EE9800" w14:textId="2848F194" w:rsidR="00360CD9" w:rsidRPr="0031523C" w:rsidRDefault="00360CD9" w:rsidP="00360CD9">
      <w:pPr>
        <w:spacing w:after="0" w:line="240" w:lineRule="auto"/>
        <w:ind w:firstLine="709"/>
        <w:contextualSpacing/>
        <w:jc w:val="right"/>
        <w:rPr>
          <w:rFonts w:ascii="Times New Roman" w:eastAsia="sans-serif" w:hAnsi="Times New Roman"/>
          <w:iCs/>
          <w:sz w:val="28"/>
          <w:szCs w:val="28"/>
        </w:rPr>
      </w:pPr>
      <w:r w:rsidRPr="0031523C">
        <w:rPr>
          <w:rFonts w:ascii="Times New Roman" w:eastAsia="sans-serif" w:hAnsi="Times New Roman"/>
          <w:b/>
          <w:bCs/>
          <w:iCs/>
          <w:sz w:val="28"/>
          <w:szCs w:val="28"/>
        </w:rPr>
        <w:t xml:space="preserve">Верченко Елизавета Евгеньевна </w:t>
      </w:r>
      <w:r w:rsidRPr="0031523C">
        <w:rPr>
          <w:rFonts w:ascii="Times New Roman" w:eastAsia="sans-serif" w:hAnsi="Times New Roman"/>
          <w:iCs/>
          <w:sz w:val="28"/>
          <w:szCs w:val="28"/>
        </w:rPr>
        <w:t xml:space="preserve">- студентка </w:t>
      </w:r>
    </w:p>
    <w:p w14:paraId="2D49E662" w14:textId="77777777" w:rsidR="00360CD9" w:rsidRPr="0031523C" w:rsidRDefault="00360CD9" w:rsidP="00360CD9">
      <w:pPr>
        <w:spacing w:after="0" w:line="240" w:lineRule="auto"/>
        <w:ind w:firstLine="709"/>
        <w:contextualSpacing/>
        <w:jc w:val="right"/>
        <w:rPr>
          <w:rFonts w:ascii="Times New Roman" w:eastAsia="sans-serif" w:hAnsi="Times New Roman"/>
          <w:iCs/>
          <w:sz w:val="28"/>
          <w:szCs w:val="28"/>
        </w:rPr>
      </w:pPr>
      <w:r w:rsidRPr="0031523C">
        <w:rPr>
          <w:rFonts w:ascii="Times New Roman" w:eastAsia="sans-serif" w:hAnsi="Times New Roman"/>
          <w:iCs/>
          <w:sz w:val="28"/>
          <w:szCs w:val="28"/>
        </w:rPr>
        <w:t>факультета филологии, истории и обществознания</w:t>
      </w:r>
    </w:p>
    <w:p w14:paraId="071801CA" w14:textId="77777777" w:rsidR="00360CD9" w:rsidRDefault="00360CD9" w:rsidP="00360CD9">
      <w:pPr>
        <w:spacing w:line="360" w:lineRule="auto"/>
        <w:jc w:val="right"/>
        <w:rPr>
          <w:rFonts w:ascii="Times New Roman" w:eastAsia="sans-serif" w:hAnsi="Times New Roman"/>
          <w:iCs/>
          <w:sz w:val="28"/>
          <w:szCs w:val="28"/>
        </w:rPr>
      </w:pPr>
      <w:r w:rsidRPr="0031523C">
        <w:rPr>
          <w:rFonts w:ascii="Times New Roman" w:eastAsia="sans-serif" w:hAnsi="Times New Roman"/>
          <w:iCs/>
          <w:sz w:val="28"/>
          <w:szCs w:val="28"/>
        </w:rPr>
        <w:t>филиала ФГБОУ ВО «КубГУ» в г. Славянске-на-Кубани</w:t>
      </w:r>
    </w:p>
    <w:p w14:paraId="3F096119" w14:textId="77777777" w:rsidR="00360CD9" w:rsidRPr="0031523C" w:rsidRDefault="00360CD9" w:rsidP="00360CD9">
      <w:pPr>
        <w:spacing w:after="0" w:line="240" w:lineRule="auto"/>
        <w:ind w:firstLine="709"/>
        <w:contextualSpacing/>
        <w:jc w:val="right"/>
        <w:rPr>
          <w:rFonts w:ascii="Times New Roman" w:eastAsia="sans-serif" w:hAnsi="Times New Roman"/>
          <w:iCs/>
          <w:sz w:val="28"/>
          <w:szCs w:val="28"/>
        </w:rPr>
      </w:pPr>
      <w:r>
        <w:rPr>
          <w:rFonts w:ascii="Times New Roman" w:eastAsia="sans-serif" w:hAnsi="Times New Roman"/>
          <w:b/>
          <w:bCs/>
          <w:iCs/>
          <w:sz w:val="28"/>
          <w:szCs w:val="28"/>
        </w:rPr>
        <w:t xml:space="preserve">Научный руководитель – </w:t>
      </w:r>
      <w:r w:rsidRPr="0031523C">
        <w:rPr>
          <w:rFonts w:ascii="Times New Roman" w:eastAsia="sans-serif" w:hAnsi="Times New Roman"/>
          <w:b/>
          <w:bCs/>
          <w:iCs/>
          <w:sz w:val="28"/>
          <w:szCs w:val="28"/>
        </w:rPr>
        <w:t>Махова Анна Владимировна</w:t>
      </w:r>
      <w:r w:rsidRPr="0031523C">
        <w:rPr>
          <w:rFonts w:ascii="Times New Roman" w:eastAsia="sans-serif" w:hAnsi="Times New Roman"/>
          <w:iCs/>
          <w:sz w:val="28"/>
          <w:szCs w:val="28"/>
        </w:rPr>
        <w:t>,</w:t>
      </w:r>
    </w:p>
    <w:p w14:paraId="65DED731" w14:textId="77777777" w:rsidR="00360CD9" w:rsidRPr="0031523C" w:rsidRDefault="00360CD9" w:rsidP="00360CD9">
      <w:pPr>
        <w:spacing w:after="0" w:line="240" w:lineRule="auto"/>
        <w:ind w:firstLine="709"/>
        <w:contextualSpacing/>
        <w:jc w:val="right"/>
        <w:rPr>
          <w:rFonts w:ascii="Times New Roman" w:eastAsia="sans-serif" w:hAnsi="Times New Roman"/>
          <w:iCs/>
          <w:sz w:val="28"/>
          <w:szCs w:val="28"/>
        </w:rPr>
      </w:pPr>
      <w:r w:rsidRPr="0031523C">
        <w:rPr>
          <w:rFonts w:ascii="Times New Roman" w:eastAsia="sans-serif" w:hAnsi="Times New Roman"/>
          <w:iCs/>
          <w:sz w:val="28"/>
          <w:szCs w:val="28"/>
        </w:rPr>
        <w:t>канд. экон. наук, доцент кафедры истории,</w:t>
      </w:r>
    </w:p>
    <w:p w14:paraId="30F26E35" w14:textId="77777777" w:rsidR="00360CD9" w:rsidRPr="0031523C" w:rsidRDefault="00360CD9" w:rsidP="00360CD9">
      <w:pPr>
        <w:spacing w:after="0" w:line="240" w:lineRule="auto"/>
        <w:ind w:firstLine="709"/>
        <w:contextualSpacing/>
        <w:jc w:val="right"/>
        <w:rPr>
          <w:rFonts w:ascii="Times New Roman" w:eastAsia="sans-serif" w:hAnsi="Times New Roman"/>
          <w:iCs/>
          <w:sz w:val="28"/>
          <w:szCs w:val="28"/>
        </w:rPr>
      </w:pPr>
      <w:r w:rsidRPr="0031523C">
        <w:rPr>
          <w:rFonts w:ascii="Times New Roman" w:eastAsia="sans-serif" w:hAnsi="Times New Roman"/>
          <w:iCs/>
          <w:sz w:val="28"/>
          <w:szCs w:val="28"/>
        </w:rPr>
        <w:t>обществознания и педагогических технологий</w:t>
      </w:r>
    </w:p>
    <w:p w14:paraId="5F7AC74F" w14:textId="77777777" w:rsidR="00360CD9" w:rsidRPr="0031523C" w:rsidRDefault="00360CD9" w:rsidP="00360CD9">
      <w:pPr>
        <w:spacing w:after="0" w:line="360" w:lineRule="auto"/>
        <w:ind w:firstLine="709"/>
        <w:contextualSpacing/>
        <w:jc w:val="right"/>
        <w:rPr>
          <w:rFonts w:ascii="Times New Roman" w:eastAsia="sans-serif" w:hAnsi="Times New Roman"/>
          <w:iCs/>
          <w:sz w:val="28"/>
          <w:szCs w:val="28"/>
        </w:rPr>
      </w:pPr>
      <w:r w:rsidRPr="0031523C">
        <w:rPr>
          <w:rFonts w:ascii="Times New Roman" w:eastAsia="sans-serif" w:hAnsi="Times New Roman"/>
          <w:iCs/>
          <w:sz w:val="28"/>
          <w:szCs w:val="28"/>
        </w:rPr>
        <w:t>филиала ФГБОУ ВО «КубГУ» в г. Славянске-на-Кубани</w:t>
      </w:r>
    </w:p>
    <w:p w14:paraId="043D1CA9" w14:textId="77777777" w:rsidR="00360CD9" w:rsidRDefault="00360CD9" w:rsidP="00360CD9">
      <w:pPr>
        <w:spacing w:after="0" w:line="360" w:lineRule="auto"/>
        <w:contextualSpacing/>
        <w:rPr>
          <w:rFonts w:ascii="Times New Roman" w:eastAsia="sans-serif" w:hAnsi="Times New Roman"/>
          <w:iCs/>
          <w:sz w:val="28"/>
          <w:szCs w:val="28"/>
        </w:rPr>
      </w:pPr>
    </w:p>
    <w:p w14:paraId="378135A5" w14:textId="5343CDFA" w:rsidR="00BE68FA" w:rsidRPr="00B244C1" w:rsidRDefault="00360CD9" w:rsidP="00BE68FA">
      <w:pPr>
        <w:pStyle w:val="a3"/>
        <w:shd w:val="clear" w:color="auto" w:fill="FFFFFF"/>
        <w:spacing w:after="0" w:line="360" w:lineRule="auto"/>
        <w:ind w:firstLine="567"/>
        <w:jc w:val="both"/>
        <w:rPr>
          <w:rFonts w:eastAsia="Times New Roman"/>
          <w:sz w:val="28"/>
          <w:szCs w:val="28"/>
          <w:lang w:eastAsia="ru-RU"/>
        </w:rPr>
      </w:pPr>
      <w:r w:rsidRPr="00B244C1">
        <w:rPr>
          <w:b/>
          <w:sz w:val="28"/>
          <w:szCs w:val="28"/>
        </w:rPr>
        <w:t>Аннотация.</w:t>
      </w:r>
      <w:r w:rsidRPr="00B244C1">
        <w:rPr>
          <w:sz w:val="28"/>
          <w:szCs w:val="28"/>
        </w:rPr>
        <w:t xml:space="preserve"> </w:t>
      </w:r>
      <w:r w:rsidR="00BE68FA" w:rsidRPr="00BE68FA">
        <w:rPr>
          <w:sz w:val="28"/>
          <w:szCs w:val="28"/>
        </w:rPr>
        <w:t xml:space="preserve">В данной статье будут рассмотрены показатели доли инвестиций, направленных на реконструкцию и модернизацию, в общем объеме инвестиций в основной капитал по субъектам Российской Федерации и </w:t>
      </w:r>
      <w:r w:rsidR="00BE68FA" w:rsidRPr="00BE68FA">
        <w:rPr>
          <w:rFonts w:eastAsia="Times New Roman"/>
          <w:bCs/>
          <w:sz w:val="28"/>
          <w:szCs w:val="28"/>
          <w:lang w:eastAsia="ru-RU"/>
        </w:rPr>
        <w:t>по видам экономической деятельности в Российской Федерации</w:t>
      </w:r>
      <w:r w:rsidR="001A50AD">
        <w:rPr>
          <w:rFonts w:eastAsia="Times New Roman"/>
          <w:bCs/>
          <w:sz w:val="28"/>
          <w:szCs w:val="28"/>
          <w:lang w:eastAsia="ru-RU"/>
        </w:rPr>
        <w:t xml:space="preserve">, в том числе производство пищевых продуктов питания и напитков, производство текстиля, отрасль </w:t>
      </w:r>
      <w:r w:rsidR="001A50AD">
        <w:rPr>
          <w:sz w:val="28"/>
        </w:rPr>
        <w:t>растениеводства и животноводства, охоты и предоставления</w:t>
      </w:r>
      <w:r w:rsidR="001A50AD" w:rsidRPr="0060725C">
        <w:rPr>
          <w:sz w:val="28"/>
        </w:rPr>
        <w:t xml:space="preserve"> соответствующих услуг в этих областях</w:t>
      </w:r>
      <w:r w:rsidR="001A50AD">
        <w:rPr>
          <w:sz w:val="28"/>
        </w:rPr>
        <w:t>, сфера строительства и образования.</w:t>
      </w:r>
    </w:p>
    <w:p w14:paraId="72F3C1E5" w14:textId="77777777" w:rsidR="00360CD9" w:rsidRDefault="00360CD9" w:rsidP="00360CD9">
      <w:pPr>
        <w:pStyle w:val="a3"/>
        <w:shd w:val="clear" w:color="auto" w:fill="FFFFFF"/>
        <w:spacing w:after="0" w:line="360" w:lineRule="auto"/>
        <w:ind w:firstLine="567"/>
        <w:jc w:val="both"/>
        <w:rPr>
          <w:sz w:val="28"/>
          <w:szCs w:val="28"/>
        </w:rPr>
      </w:pPr>
    </w:p>
    <w:p w14:paraId="0C626EEC" w14:textId="4E2F01F7" w:rsidR="00360CD9" w:rsidRDefault="00360CD9" w:rsidP="00360CD9">
      <w:pPr>
        <w:pStyle w:val="a3"/>
        <w:shd w:val="clear" w:color="auto" w:fill="FFFFFF"/>
        <w:spacing w:after="0" w:line="360" w:lineRule="auto"/>
        <w:ind w:firstLine="567"/>
        <w:jc w:val="both"/>
        <w:rPr>
          <w:rFonts w:eastAsia="sans-serif"/>
          <w:iCs/>
          <w:sz w:val="28"/>
          <w:szCs w:val="28"/>
        </w:rPr>
      </w:pPr>
      <w:r w:rsidRPr="00B244C1">
        <w:rPr>
          <w:rFonts w:eastAsia="sans-serif"/>
          <w:b/>
          <w:iCs/>
          <w:sz w:val="28"/>
          <w:szCs w:val="28"/>
        </w:rPr>
        <w:t>Ключевые слова:</w:t>
      </w:r>
      <w:r w:rsidRPr="00B244C1">
        <w:rPr>
          <w:rFonts w:eastAsia="sans-serif"/>
          <w:iCs/>
          <w:sz w:val="28"/>
          <w:szCs w:val="28"/>
        </w:rPr>
        <w:t xml:space="preserve"> </w:t>
      </w:r>
      <w:r w:rsidR="00057CC2" w:rsidRPr="001A50AD">
        <w:rPr>
          <w:rFonts w:eastAsia="sans-serif"/>
          <w:iCs/>
          <w:sz w:val="28"/>
          <w:szCs w:val="28"/>
        </w:rPr>
        <w:t>экономика</w:t>
      </w:r>
      <w:r w:rsidR="001A50AD" w:rsidRPr="001A50AD">
        <w:rPr>
          <w:rFonts w:eastAsia="sans-serif"/>
          <w:iCs/>
          <w:sz w:val="28"/>
          <w:szCs w:val="28"/>
        </w:rPr>
        <w:t xml:space="preserve"> России</w:t>
      </w:r>
      <w:r w:rsidR="00057CC2">
        <w:rPr>
          <w:rFonts w:eastAsia="sans-serif"/>
          <w:iCs/>
          <w:sz w:val="28"/>
          <w:szCs w:val="28"/>
        </w:rPr>
        <w:t xml:space="preserve">, </w:t>
      </w:r>
      <w:r w:rsidR="00E137D2">
        <w:rPr>
          <w:rFonts w:eastAsia="sans-serif"/>
          <w:iCs/>
          <w:sz w:val="28"/>
          <w:szCs w:val="28"/>
        </w:rPr>
        <w:t xml:space="preserve">региональная экономика, инвестирование, </w:t>
      </w:r>
      <w:r w:rsidR="001A50AD">
        <w:rPr>
          <w:rFonts w:eastAsia="sans-serif"/>
          <w:iCs/>
          <w:sz w:val="28"/>
          <w:szCs w:val="28"/>
        </w:rPr>
        <w:t>показатели инвестиционной деятельности</w:t>
      </w:r>
      <w:r w:rsidR="00D12B33">
        <w:rPr>
          <w:rFonts w:eastAsia="sans-serif"/>
          <w:iCs/>
          <w:sz w:val="28"/>
          <w:szCs w:val="28"/>
        </w:rPr>
        <w:t>.</w:t>
      </w:r>
    </w:p>
    <w:p w14:paraId="7D93BB9E" w14:textId="777AF673" w:rsidR="00D12B33" w:rsidRDefault="00D12B33" w:rsidP="00D12B33">
      <w:pPr>
        <w:pStyle w:val="a3"/>
        <w:shd w:val="clear" w:color="auto" w:fill="FFFFFF"/>
        <w:spacing w:after="0" w:line="360" w:lineRule="auto"/>
        <w:ind w:firstLine="567"/>
        <w:jc w:val="center"/>
        <w:rPr>
          <w:rFonts w:eastAsia="sans-serif"/>
          <w:b/>
          <w:iCs/>
          <w:sz w:val="28"/>
          <w:szCs w:val="28"/>
          <w:lang w:val="en-US"/>
        </w:rPr>
      </w:pPr>
      <w:r w:rsidRPr="00D12B33">
        <w:rPr>
          <w:rFonts w:eastAsia="sans-serif"/>
          <w:b/>
          <w:iCs/>
          <w:sz w:val="28"/>
          <w:szCs w:val="28"/>
          <w:lang w:val="en-US"/>
        </w:rPr>
        <w:t>TRENDS IN INVESTMENT ACTIVITY IN RUSSIA BY INDUSTRY IN 2005-2022.</w:t>
      </w:r>
    </w:p>
    <w:p w14:paraId="434D975B" w14:textId="77777777" w:rsidR="00550180" w:rsidRPr="00D12B33" w:rsidRDefault="00550180" w:rsidP="00D12B33">
      <w:pPr>
        <w:pStyle w:val="a3"/>
        <w:shd w:val="clear" w:color="auto" w:fill="FFFFFF"/>
        <w:spacing w:after="0" w:line="360" w:lineRule="auto"/>
        <w:ind w:firstLine="567"/>
        <w:jc w:val="center"/>
        <w:rPr>
          <w:rFonts w:eastAsia="sans-serif"/>
          <w:b/>
          <w:iCs/>
          <w:sz w:val="28"/>
          <w:szCs w:val="28"/>
          <w:lang w:val="en-US"/>
        </w:rPr>
      </w:pPr>
    </w:p>
    <w:p w14:paraId="3AF92FE1" w14:textId="77777777" w:rsidR="00550180" w:rsidRDefault="00550180" w:rsidP="00550180">
      <w:pPr>
        <w:pStyle w:val="a3"/>
        <w:shd w:val="clear" w:color="auto" w:fill="FFFFFF"/>
        <w:spacing w:after="0" w:line="360" w:lineRule="auto"/>
        <w:ind w:firstLine="709"/>
        <w:jc w:val="right"/>
        <w:rPr>
          <w:rFonts w:eastAsia="sans-serif"/>
          <w:b/>
          <w:iCs/>
          <w:sz w:val="28"/>
          <w:szCs w:val="28"/>
          <w:lang w:val="en-US"/>
        </w:rPr>
      </w:pPr>
      <w:proofErr w:type="spellStart"/>
      <w:r w:rsidRPr="002570A7">
        <w:rPr>
          <w:rFonts w:eastAsia="sans-serif"/>
          <w:b/>
          <w:iCs/>
          <w:sz w:val="28"/>
          <w:szCs w:val="28"/>
          <w:lang w:val="en-US"/>
        </w:rPr>
        <w:t>Verchenko</w:t>
      </w:r>
      <w:proofErr w:type="spellEnd"/>
      <w:r w:rsidRPr="002570A7">
        <w:rPr>
          <w:rFonts w:eastAsia="sans-serif"/>
          <w:b/>
          <w:iCs/>
          <w:sz w:val="28"/>
          <w:szCs w:val="28"/>
          <w:lang w:val="en-US"/>
        </w:rPr>
        <w:t xml:space="preserve"> Elizaveta </w:t>
      </w:r>
      <w:proofErr w:type="spellStart"/>
      <w:r w:rsidRPr="002570A7">
        <w:rPr>
          <w:rFonts w:eastAsia="sans-serif"/>
          <w:b/>
          <w:iCs/>
          <w:sz w:val="28"/>
          <w:szCs w:val="28"/>
          <w:lang w:val="en-US"/>
        </w:rPr>
        <w:t>Evgenievna</w:t>
      </w:r>
      <w:proofErr w:type="spellEnd"/>
    </w:p>
    <w:p w14:paraId="04AEA661" w14:textId="77777777" w:rsidR="00550180" w:rsidRPr="002570A7" w:rsidRDefault="00550180" w:rsidP="00550180">
      <w:pPr>
        <w:pStyle w:val="a3"/>
        <w:shd w:val="clear" w:color="auto" w:fill="FFFFFF"/>
        <w:spacing w:after="0" w:line="360" w:lineRule="auto"/>
        <w:ind w:firstLine="709"/>
        <w:jc w:val="right"/>
        <w:rPr>
          <w:rFonts w:eastAsia="sans-serif"/>
          <w:b/>
          <w:iCs/>
          <w:sz w:val="28"/>
          <w:szCs w:val="28"/>
          <w:lang w:val="en-US"/>
        </w:rPr>
      </w:pPr>
    </w:p>
    <w:p w14:paraId="3B319056" w14:textId="77777777" w:rsidR="00550180" w:rsidRDefault="00550180" w:rsidP="00550180">
      <w:pPr>
        <w:pStyle w:val="a3"/>
        <w:shd w:val="clear" w:color="auto" w:fill="FFFFFF"/>
        <w:spacing w:after="0" w:line="360" w:lineRule="auto"/>
        <w:ind w:firstLine="709"/>
        <w:jc w:val="right"/>
        <w:rPr>
          <w:rFonts w:eastAsia="sans-serif"/>
          <w:iCs/>
          <w:sz w:val="28"/>
          <w:szCs w:val="28"/>
          <w:lang w:val="en-US"/>
        </w:rPr>
      </w:pPr>
      <w:r w:rsidRPr="002570A7">
        <w:rPr>
          <w:rFonts w:eastAsia="sans-serif"/>
          <w:iCs/>
          <w:sz w:val="28"/>
          <w:szCs w:val="28"/>
          <w:lang w:val="en-US"/>
        </w:rPr>
        <w:t>Scientific adviser:</w:t>
      </w:r>
      <w:r w:rsidRPr="002570A7">
        <w:rPr>
          <w:lang w:val="en-US"/>
        </w:rPr>
        <w:t xml:space="preserve"> </w:t>
      </w:r>
      <w:proofErr w:type="spellStart"/>
      <w:r w:rsidRPr="002570A7">
        <w:rPr>
          <w:rFonts w:eastAsia="sans-serif"/>
          <w:iCs/>
          <w:sz w:val="28"/>
          <w:szCs w:val="28"/>
          <w:lang w:val="en-US"/>
        </w:rPr>
        <w:t>Makhova</w:t>
      </w:r>
      <w:proofErr w:type="spellEnd"/>
      <w:r w:rsidRPr="002570A7">
        <w:rPr>
          <w:rFonts w:eastAsia="sans-serif"/>
          <w:iCs/>
          <w:sz w:val="28"/>
          <w:szCs w:val="28"/>
          <w:lang w:val="en-US"/>
        </w:rPr>
        <w:t xml:space="preserve"> Anna </w:t>
      </w:r>
      <w:proofErr w:type="spellStart"/>
      <w:r w:rsidRPr="002570A7">
        <w:rPr>
          <w:rFonts w:eastAsia="sans-serif"/>
          <w:iCs/>
          <w:sz w:val="28"/>
          <w:szCs w:val="28"/>
          <w:lang w:val="en-US"/>
        </w:rPr>
        <w:t>Vladimirovna</w:t>
      </w:r>
      <w:proofErr w:type="spellEnd"/>
    </w:p>
    <w:p w14:paraId="46A9E22F" w14:textId="77777777" w:rsidR="00D12B33" w:rsidRPr="00D12B33" w:rsidRDefault="00D12B33" w:rsidP="00D12B33">
      <w:pPr>
        <w:pStyle w:val="a3"/>
        <w:shd w:val="clear" w:color="auto" w:fill="FFFFFF"/>
        <w:spacing w:after="0" w:line="360" w:lineRule="auto"/>
        <w:ind w:firstLine="567"/>
        <w:jc w:val="both"/>
        <w:rPr>
          <w:rFonts w:eastAsia="sans-serif"/>
          <w:iCs/>
          <w:sz w:val="28"/>
          <w:szCs w:val="28"/>
          <w:lang w:val="en-US"/>
        </w:rPr>
      </w:pPr>
    </w:p>
    <w:p w14:paraId="7E56EE93" w14:textId="77777777" w:rsidR="00D12B33" w:rsidRPr="00D12B33" w:rsidRDefault="00D12B33" w:rsidP="00D12B33">
      <w:pPr>
        <w:pStyle w:val="a3"/>
        <w:shd w:val="clear" w:color="auto" w:fill="FFFFFF"/>
        <w:spacing w:after="0" w:line="360" w:lineRule="auto"/>
        <w:ind w:firstLine="567"/>
        <w:jc w:val="both"/>
        <w:rPr>
          <w:rFonts w:eastAsia="sans-serif"/>
          <w:iCs/>
          <w:sz w:val="28"/>
          <w:szCs w:val="28"/>
          <w:lang w:val="en-US"/>
        </w:rPr>
      </w:pPr>
      <w:r w:rsidRPr="00D12B33">
        <w:rPr>
          <w:rFonts w:eastAsia="sans-serif"/>
          <w:b/>
          <w:iCs/>
          <w:sz w:val="28"/>
          <w:szCs w:val="28"/>
          <w:lang w:val="en-US"/>
        </w:rPr>
        <w:t>Annotation.</w:t>
      </w:r>
      <w:r w:rsidRPr="00D12B33">
        <w:rPr>
          <w:rFonts w:eastAsia="sans-serif"/>
          <w:iCs/>
          <w:sz w:val="28"/>
          <w:szCs w:val="28"/>
          <w:lang w:val="en-US"/>
        </w:rPr>
        <w:t xml:space="preserve"> This article will consider the indicators of the share of investments aimed at reconstruction and modernization in the total volume of investments in fixed assets by subjects of the Russian Federation and by types of economic activity </w:t>
      </w:r>
      <w:r w:rsidRPr="00D12B33">
        <w:rPr>
          <w:rFonts w:eastAsia="sans-serif"/>
          <w:iCs/>
          <w:sz w:val="28"/>
          <w:szCs w:val="28"/>
          <w:lang w:val="en-US"/>
        </w:rPr>
        <w:lastRenderedPageBreak/>
        <w:t>in the Russian Federation, including the production of food and beverages, textile production, crop and livestock production, hunting and the provision of relevant services in these areas. areas, construction and education.</w:t>
      </w:r>
    </w:p>
    <w:p w14:paraId="680B84DF" w14:textId="77777777" w:rsidR="00D12B33" w:rsidRPr="00D12B33" w:rsidRDefault="00D12B33" w:rsidP="00D12B33">
      <w:pPr>
        <w:pStyle w:val="a3"/>
        <w:shd w:val="clear" w:color="auto" w:fill="FFFFFF"/>
        <w:spacing w:after="0" w:line="360" w:lineRule="auto"/>
        <w:ind w:firstLine="567"/>
        <w:jc w:val="both"/>
        <w:rPr>
          <w:rFonts w:eastAsia="sans-serif"/>
          <w:iCs/>
          <w:sz w:val="28"/>
          <w:szCs w:val="28"/>
          <w:lang w:val="en-US"/>
        </w:rPr>
      </w:pPr>
    </w:p>
    <w:p w14:paraId="7C6B4069" w14:textId="1CF54870" w:rsidR="00D12B33" w:rsidRPr="00D12B33" w:rsidRDefault="00D12B33" w:rsidP="00D12B33">
      <w:pPr>
        <w:pStyle w:val="a3"/>
        <w:shd w:val="clear" w:color="auto" w:fill="FFFFFF"/>
        <w:spacing w:after="0" w:line="360" w:lineRule="auto"/>
        <w:ind w:firstLine="567"/>
        <w:jc w:val="both"/>
        <w:rPr>
          <w:rFonts w:eastAsia="sans-serif"/>
          <w:iCs/>
          <w:sz w:val="28"/>
          <w:szCs w:val="28"/>
          <w:lang w:val="en-US"/>
        </w:rPr>
      </w:pPr>
      <w:r w:rsidRPr="00D12B33">
        <w:rPr>
          <w:rFonts w:eastAsia="sans-serif"/>
          <w:b/>
          <w:iCs/>
          <w:sz w:val="28"/>
          <w:szCs w:val="28"/>
          <w:lang w:val="en-US"/>
        </w:rPr>
        <w:t>Keywords:</w:t>
      </w:r>
      <w:r w:rsidRPr="00D12B33">
        <w:rPr>
          <w:rFonts w:eastAsia="sans-serif"/>
          <w:iCs/>
          <w:sz w:val="28"/>
          <w:szCs w:val="28"/>
          <w:lang w:val="en-US"/>
        </w:rPr>
        <w:t xml:space="preserve"> Russian economy, regional economy, investment, indicators of investment activity</w:t>
      </w:r>
    </w:p>
    <w:p w14:paraId="3746099C" w14:textId="77777777" w:rsidR="00BE68FA" w:rsidRPr="00D12B33" w:rsidRDefault="00BE68FA" w:rsidP="00360CD9">
      <w:pPr>
        <w:pStyle w:val="a3"/>
        <w:shd w:val="clear" w:color="auto" w:fill="FFFFFF"/>
        <w:spacing w:after="0" w:line="360" w:lineRule="auto"/>
        <w:ind w:firstLine="567"/>
        <w:jc w:val="both"/>
        <w:rPr>
          <w:rFonts w:eastAsia="sans-serif"/>
          <w:iCs/>
          <w:sz w:val="28"/>
          <w:szCs w:val="28"/>
          <w:lang w:val="en-US"/>
        </w:rPr>
      </w:pPr>
    </w:p>
    <w:p w14:paraId="31F4E324" w14:textId="12B46863" w:rsidR="009A21AF" w:rsidRDefault="00F153F8" w:rsidP="009A21AF">
      <w:pPr>
        <w:pStyle w:val="a3"/>
        <w:shd w:val="clear" w:color="auto" w:fill="FFFFFF"/>
        <w:spacing w:after="0" w:line="360" w:lineRule="auto"/>
        <w:ind w:firstLine="709"/>
        <w:jc w:val="both"/>
        <w:rPr>
          <w:rFonts w:eastAsia="sans-serif"/>
          <w:iCs/>
          <w:sz w:val="28"/>
          <w:szCs w:val="28"/>
        </w:rPr>
      </w:pPr>
      <w:r>
        <w:rPr>
          <w:rFonts w:eastAsia="sans-serif"/>
          <w:iCs/>
          <w:sz w:val="28"/>
          <w:szCs w:val="28"/>
        </w:rPr>
        <w:t>По определению инвестиции –</w:t>
      </w:r>
      <w:r w:rsidR="003E7193" w:rsidRPr="003E7193">
        <w:rPr>
          <w:rFonts w:eastAsia="sans-serif"/>
          <w:iCs/>
          <w:sz w:val="28"/>
          <w:szCs w:val="28"/>
        </w:rPr>
        <w:t xml:space="preserve"> </w:t>
      </w:r>
      <w:r>
        <w:rPr>
          <w:rFonts w:eastAsia="sans-serif"/>
          <w:iCs/>
          <w:sz w:val="28"/>
          <w:szCs w:val="28"/>
        </w:rPr>
        <w:t xml:space="preserve">это </w:t>
      </w:r>
      <w:r w:rsidR="003E7193" w:rsidRPr="003E7193">
        <w:rPr>
          <w:rFonts w:eastAsia="sans-serif"/>
          <w:iCs/>
          <w:sz w:val="28"/>
          <w:szCs w:val="28"/>
        </w:rPr>
        <w:t>вложения денежных средств д</w:t>
      </w:r>
      <w:r>
        <w:rPr>
          <w:rFonts w:eastAsia="sans-serif"/>
          <w:iCs/>
          <w:sz w:val="28"/>
          <w:szCs w:val="28"/>
        </w:rPr>
        <w:t>ля их сохранения и приумножения, о</w:t>
      </w:r>
      <w:r w:rsidR="003E7193" w:rsidRPr="003E7193">
        <w:rPr>
          <w:rFonts w:eastAsia="sans-serif"/>
          <w:iCs/>
          <w:sz w:val="28"/>
          <w:szCs w:val="28"/>
        </w:rPr>
        <w:t>бъектами инвестиций могут быть ценные бумаги, имущество, имущественные права, которые вкладывают в объекты предпринимательской или другой деятельности.</w:t>
      </w:r>
      <w:r>
        <w:rPr>
          <w:rFonts w:eastAsia="sans-serif"/>
          <w:iCs/>
          <w:sz w:val="28"/>
          <w:szCs w:val="28"/>
        </w:rPr>
        <w:t xml:space="preserve"> По мнению </w:t>
      </w:r>
      <w:r w:rsidRPr="003E7193">
        <w:rPr>
          <w:color w:val="000000"/>
          <w:sz w:val="28"/>
          <w:szCs w:val="28"/>
        </w:rPr>
        <w:t>Самуэльсон</w:t>
      </w:r>
      <w:r>
        <w:rPr>
          <w:color w:val="000000"/>
          <w:sz w:val="28"/>
          <w:szCs w:val="28"/>
        </w:rPr>
        <w:t>а</w:t>
      </w:r>
      <w:r w:rsidRPr="003E7193">
        <w:rPr>
          <w:color w:val="000000"/>
          <w:sz w:val="28"/>
          <w:szCs w:val="28"/>
        </w:rPr>
        <w:t xml:space="preserve"> П.</w:t>
      </w:r>
      <w:r>
        <w:rPr>
          <w:color w:val="000000"/>
          <w:sz w:val="28"/>
          <w:szCs w:val="28"/>
        </w:rPr>
        <w:t xml:space="preserve"> инвестирование – это </w:t>
      </w:r>
      <w:r w:rsidRPr="003E7193">
        <w:rPr>
          <w:rFonts w:eastAsia="sans-serif"/>
          <w:iCs/>
          <w:sz w:val="28"/>
          <w:szCs w:val="28"/>
        </w:rPr>
        <w:t>отказ от использова</w:t>
      </w:r>
      <w:r w:rsidRPr="003E7193">
        <w:rPr>
          <w:rFonts w:eastAsia="sans-serif"/>
          <w:iCs/>
          <w:sz w:val="28"/>
          <w:szCs w:val="28"/>
        </w:rPr>
        <w:softHyphen/>
        <w:t xml:space="preserve">ния доходов на текущее потребление в пользу </w:t>
      </w:r>
      <w:proofErr w:type="spellStart"/>
      <w:r w:rsidRPr="003E7193">
        <w:rPr>
          <w:rFonts w:eastAsia="sans-serif"/>
          <w:iCs/>
          <w:sz w:val="28"/>
          <w:szCs w:val="28"/>
        </w:rPr>
        <w:t>капиталообразования</w:t>
      </w:r>
      <w:proofErr w:type="spellEnd"/>
      <w:r w:rsidRPr="003E7193">
        <w:rPr>
          <w:rFonts w:eastAsia="sans-serif"/>
          <w:iCs/>
          <w:sz w:val="28"/>
          <w:szCs w:val="28"/>
        </w:rPr>
        <w:t xml:space="preserve"> и ожидаемого расширения потребления в будущем</w:t>
      </w:r>
      <w:r>
        <w:rPr>
          <w:rFonts w:eastAsia="sans-serif"/>
          <w:iCs/>
          <w:sz w:val="28"/>
          <w:szCs w:val="28"/>
        </w:rPr>
        <w:t xml:space="preserve">. В российской банковской энциклопедии дается другое определение, инвестиции – это </w:t>
      </w:r>
      <w:r w:rsidRPr="003E7193">
        <w:rPr>
          <w:color w:val="000000"/>
          <w:sz w:val="28"/>
          <w:szCs w:val="28"/>
        </w:rPr>
        <w:t>долгосрочные вложения Капитала внутри страны и за границей</w:t>
      </w:r>
      <w:r>
        <w:rPr>
          <w:color w:val="000000"/>
          <w:sz w:val="28"/>
          <w:szCs w:val="28"/>
        </w:rPr>
        <w:t xml:space="preserve">. Булатов А. С. считает, что инвестиции – это </w:t>
      </w:r>
      <w:r w:rsidRPr="003E7193">
        <w:rPr>
          <w:color w:val="000000"/>
          <w:sz w:val="28"/>
          <w:szCs w:val="28"/>
        </w:rPr>
        <w:t>сбережения, напр</w:t>
      </w:r>
      <w:r w:rsidR="009A21AF">
        <w:rPr>
          <w:color w:val="000000"/>
          <w:sz w:val="28"/>
          <w:szCs w:val="28"/>
        </w:rPr>
        <w:t>авляе</w:t>
      </w:r>
      <w:r w:rsidR="009A21AF">
        <w:rPr>
          <w:color w:val="000000"/>
          <w:sz w:val="28"/>
          <w:szCs w:val="28"/>
        </w:rPr>
        <w:softHyphen/>
        <w:t>мые в хозяйственную жизнь, вложения в ка</w:t>
      </w:r>
      <w:r w:rsidR="009A21AF">
        <w:rPr>
          <w:color w:val="000000"/>
          <w:sz w:val="28"/>
          <w:szCs w:val="28"/>
        </w:rPr>
        <w:softHyphen/>
        <w:t>питал,</w:t>
      </w:r>
      <w:r w:rsidR="00550180">
        <w:rPr>
          <w:color w:val="000000"/>
          <w:sz w:val="28"/>
          <w:szCs w:val="28"/>
        </w:rPr>
        <w:t xml:space="preserve"> </w:t>
      </w:r>
      <w:proofErr w:type="spellStart"/>
      <w:r w:rsidR="00550180">
        <w:rPr>
          <w:color w:val="000000"/>
          <w:sz w:val="28"/>
          <w:szCs w:val="28"/>
        </w:rPr>
        <w:t>Гитман</w:t>
      </w:r>
      <w:proofErr w:type="spellEnd"/>
      <w:r w:rsidR="00550180">
        <w:rPr>
          <w:color w:val="000000"/>
          <w:sz w:val="28"/>
          <w:szCs w:val="28"/>
        </w:rPr>
        <w:t xml:space="preserve"> Л, ДЖ. и</w:t>
      </w:r>
      <w:r w:rsidR="009A21AF">
        <w:rPr>
          <w:color w:val="000000"/>
          <w:sz w:val="28"/>
          <w:szCs w:val="28"/>
        </w:rPr>
        <w:t xml:space="preserve"> </w:t>
      </w:r>
      <w:proofErr w:type="spellStart"/>
      <w:r w:rsidR="009A21AF">
        <w:rPr>
          <w:color w:val="000000"/>
          <w:sz w:val="28"/>
          <w:szCs w:val="28"/>
        </w:rPr>
        <w:t>Джонк</w:t>
      </w:r>
      <w:proofErr w:type="spellEnd"/>
      <w:r w:rsidR="00663AD6">
        <w:rPr>
          <w:color w:val="000000"/>
          <w:sz w:val="28"/>
          <w:szCs w:val="28"/>
        </w:rPr>
        <w:t> </w:t>
      </w:r>
      <w:r w:rsidR="009A21AF">
        <w:rPr>
          <w:color w:val="000000"/>
          <w:sz w:val="28"/>
          <w:szCs w:val="28"/>
        </w:rPr>
        <w:t>М.Л</w:t>
      </w:r>
      <w:r w:rsidR="00550180">
        <w:rPr>
          <w:color w:val="000000"/>
          <w:sz w:val="28"/>
          <w:szCs w:val="28"/>
        </w:rPr>
        <w:t>.</w:t>
      </w:r>
      <w:r w:rsidR="009A21AF">
        <w:rPr>
          <w:color w:val="000000"/>
          <w:sz w:val="28"/>
          <w:szCs w:val="28"/>
        </w:rPr>
        <w:t xml:space="preserve"> полагают, что инвестиции – это </w:t>
      </w:r>
      <w:r w:rsidR="009A21AF" w:rsidRPr="003E7193">
        <w:rPr>
          <w:color w:val="000000"/>
          <w:sz w:val="28"/>
          <w:szCs w:val="28"/>
        </w:rPr>
        <w:t>способ помещения капи</w:t>
      </w:r>
      <w:r w:rsidR="009A21AF" w:rsidRPr="003E7193">
        <w:rPr>
          <w:color w:val="000000"/>
          <w:sz w:val="28"/>
          <w:szCs w:val="28"/>
        </w:rPr>
        <w:softHyphen/>
        <w:t>тала, который должен обеспечить сохране</w:t>
      </w:r>
      <w:r w:rsidR="009A21AF" w:rsidRPr="003E7193">
        <w:rPr>
          <w:color w:val="000000"/>
          <w:sz w:val="28"/>
          <w:szCs w:val="28"/>
        </w:rPr>
        <w:softHyphen/>
        <w:t>ние или возрастание стоимости и (или) при</w:t>
      </w:r>
      <w:r w:rsidR="009A21AF" w:rsidRPr="003E7193">
        <w:rPr>
          <w:color w:val="000000"/>
          <w:sz w:val="28"/>
          <w:szCs w:val="28"/>
        </w:rPr>
        <w:softHyphen/>
        <w:t>нести положительную величину дохода</w:t>
      </w:r>
      <w:r w:rsidR="009A21AF">
        <w:rPr>
          <w:color w:val="000000"/>
          <w:sz w:val="28"/>
          <w:szCs w:val="28"/>
        </w:rPr>
        <w:t>.</w:t>
      </w:r>
    </w:p>
    <w:p w14:paraId="255084AC" w14:textId="6A0585F7" w:rsidR="00360CD9" w:rsidRPr="003E7193" w:rsidRDefault="00360CD9" w:rsidP="009A21AF">
      <w:pPr>
        <w:pStyle w:val="a3"/>
        <w:shd w:val="clear" w:color="auto" w:fill="FFFFFF"/>
        <w:spacing w:after="0" w:line="360" w:lineRule="auto"/>
        <w:ind w:firstLine="709"/>
        <w:jc w:val="both"/>
        <w:rPr>
          <w:rFonts w:eastAsia="sans-serif"/>
          <w:iCs/>
          <w:sz w:val="28"/>
          <w:szCs w:val="28"/>
        </w:rPr>
      </w:pPr>
      <w:r w:rsidRPr="003E7193">
        <w:rPr>
          <w:rFonts w:eastAsia="sans-serif"/>
          <w:iCs/>
          <w:sz w:val="28"/>
          <w:szCs w:val="28"/>
        </w:rPr>
        <w:t>Существуют разнообразные классификации инвестиций. По объектам вложения капитала выделяют три класса инвестиций: реальные инвестиции; финансовые инвестиции; инновационные (интеллектуальные) и</w:t>
      </w:r>
      <w:r w:rsidR="009A21AF">
        <w:rPr>
          <w:rFonts w:eastAsia="sans-serif"/>
          <w:iCs/>
          <w:sz w:val="28"/>
          <w:szCs w:val="28"/>
        </w:rPr>
        <w:t>нвестиции. Реальные инвестиции -</w:t>
      </w:r>
      <w:r w:rsidRPr="003E7193">
        <w:rPr>
          <w:rFonts w:eastAsia="sans-serif"/>
          <w:iCs/>
          <w:sz w:val="28"/>
          <w:szCs w:val="28"/>
        </w:rPr>
        <w:t xml:space="preserve"> это инвестиции в развитие производства продукции. В качестве объектов реального инвестирования рассматриваются следующие:</w:t>
      </w:r>
      <w:r w:rsidR="009A21AF">
        <w:rPr>
          <w:rFonts w:eastAsia="sans-serif"/>
          <w:iCs/>
          <w:sz w:val="28"/>
          <w:szCs w:val="28"/>
        </w:rPr>
        <w:t xml:space="preserve"> </w:t>
      </w:r>
      <w:r w:rsidRPr="003E7193">
        <w:rPr>
          <w:rFonts w:eastAsia="sans-serif"/>
          <w:iCs/>
          <w:sz w:val="28"/>
          <w:szCs w:val="28"/>
        </w:rPr>
        <w:t>инвестиции в основной</w:t>
      </w:r>
      <w:r w:rsidR="009A21AF">
        <w:rPr>
          <w:rFonts w:eastAsia="sans-serif"/>
          <w:iCs/>
          <w:sz w:val="28"/>
          <w:szCs w:val="28"/>
        </w:rPr>
        <w:t xml:space="preserve"> капитал (капитальные вложения), расходы на капитальный ремонт, </w:t>
      </w:r>
      <w:r w:rsidRPr="003E7193">
        <w:rPr>
          <w:rFonts w:eastAsia="sans-serif"/>
          <w:iCs/>
          <w:sz w:val="28"/>
          <w:szCs w:val="28"/>
        </w:rPr>
        <w:t>инвестиции на покупку земельных участко</w:t>
      </w:r>
      <w:r w:rsidR="009A21AF">
        <w:rPr>
          <w:rFonts w:eastAsia="sans-serif"/>
          <w:iCs/>
          <w:sz w:val="28"/>
          <w:szCs w:val="28"/>
        </w:rPr>
        <w:t>в и объектов природопользования,</w:t>
      </w:r>
      <w:r w:rsidRPr="003E7193">
        <w:rPr>
          <w:rFonts w:eastAsia="sans-serif"/>
          <w:iCs/>
          <w:sz w:val="28"/>
          <w:szCs w:val="28"/>
        </w:rPr>
        <w:t xml:space="preserve"> инвестиции в недвижимое имущество. </w:t>
      </w:r>
    </w:p>
    <w:p w14:paraId="6030D40F" w14:textId="367A5546" w:rsidR="00360CD9" w:rsidRDefault="00360CD9" w:rsidP="009A21AF">
      <w:pPr>
        <w:pStyle w:val="a3"/>
        <w:shd w:val="clear" w:color="auto" w:fill="FFFFFF"/>
        <w:spacing w:after="0" w:line="360" w:lineRule="auto"/>
        <w:ind w:firstLine="709"/>
        <w:jc w:val="both"/>
        <w:rPr>
          <w:rFonts w:eastAsia="sans-serif"/>
          <w:iCs/>
          <w:sz w:val="28"/>
          <w:szCs w:val="28"/>
        </w:rPr>
      </w:pPr>
      <w:r w:rsidRPr="003E7193">
        <w:rPr>
          <w:rFonts w:eastAsia="sans-serif"/>
          <w:iCs/>
          <w:sz w:val="28"/>
          <w:szCs w:val="28"/>
        </w:rPr>
        <w:t xml:space="preserve">Финансовые инвестиции состоят из вложения средств на приобретение: ценностей фондового рынка (облигации, акции); ценностей денежного рынка </w:t>
      </w:r>
      <w:r w:rsidRPr="003E7193">
        <w:rPr>
          <w:rFonts w:eastAsia="sans-serif"/>
          <w:iCs/>
          <w:sz w:val="28"/>
          <w:szCs w:val="28"/>
        </w:rPr>
        <w:lastRenderedPageBreak/>
        <w:t>(валюта, депозиты, межбанковские и коммерческие кредиты).</w:t>
      </w:r>
      <w:r w:rsidR="003E7193">
        <w:rPr>
          <w:rFonts w:eastAsia="sans-serif"/>
          <w:iCs/>
          <w:sz w:val="28"/>
          <w:szCs w:val="28"/>
        </w:rPr>
        <w:t xml:space="preserve"> </w:t>
      </w:r>
      <w:r w:rsidR="003E7193" w:rsidRPr="003E7193">
        <w:rPr>
          <w:rFonts w:eastAsia="sans-serif"/>
          <w:bCs/>
          <w:iCs/>
          <w:sz w:val="28"/>
          <w:szCs w:val="28"/>
        </w:rPr>
        <w:t>Объектами инвестиционной деятельности являются:</w:t>
      </w:r>
      <w:r w:rsidR="009A21AF">
        <w:rPr>
          <w:rFonts w:eastAsia="sans-serif"/>
          <w:iCs/>
          <w:sz w:val="28"/>
          <w:szCs w:val="28"/>
        </w:rPr>
        <w:t xml:space="preserve"> </w:t>
      </w:r>
      <w:r w:rsidR="003E7193" w:rsidRPr="003E7193">
        <w:rPr>
          <w:rFonts w:eastAsia="sans-serif"/>
          <w:iCs/>
          <w:sz w:val="28"/>
          <w:szCs w:val="28"/>
        </w:rPr>
        <w:t>вновь создаваемые и реконструируемые основные фон</w:t>
      </w:r>
      <w:r w:rsidR="003E7193" w:rsidRPr="003E7193">
        <w:rPr>
          <w:rFonts w:eastAsia="sans-serif"/>
          <w:iCs/>
          <w:sz w:val="28"/>
          <w:szCs w:val="28"/>
        </w:rPr>
        <w:softHyphen/>
        <w:t>ды, а также оборотные средства во всех отраслях народного хозяй</w:t>
      </w:r>
      <w:r w:rsidR="003E7193" w:rsidRPr="003E7193">
        <w:rPr>
          <w:rFonts w:eastAsia="sans-serif"/>
          <w:iCs/>
          <w:sz w:val="28"/>
          <w:szCs w:val="28"/>
        </w:rPr>
        <w:softHyphen/>
        <w:t>ства;</w:t>
      </w:r>
      <w:r w:rsidR="009A21AF">
        <w:rPr>
          <w:rFonts w:eastAsia="sans-serif"/>
          <w:iCs/>
          <w:sz w:val="28"/>
          <w:szCs w:val="28"/>
        </w:rPr>
        <w:t xml:space="preserve"> </w:t>
      </w:r>
      <w:r w:rsidR="003E7193" w:rsidRPr="003E7193">
        <w:rPr>
          <w:rFonts w:eastAsia="sans-serif"/>
          <w:iCs/>
          <w:sz w:val="28"/>
          <w:szCs w:val="28"/>
        </w:rPr>
        <w:t>ценные бумаги (акции, облигации и др.);</w:t>
      </w:r>
      <w:r w:rsidR="009A21AF">
        <w:rPr>
          <w:rFonts w:eastAsia="sans-serif"/>
          <w:iCs/>
          <w:sz w:val="28"/>
          <w:szCs w:val="28"/>
        </w:rPr>
        <w:t xml:space="preserve"> </w:t>
      </w:r>
      <w:r w:rsidR="003E7193" w:rsidRPr="003E7193">
        <w:rPr>
          <w:rFonts w:eastAsia="sans-serif"/>
          <w:iCs/>
          <w:sz w:val="28"/>
          <w:szCs w:val="28"/>
        </w:rPr>
        <w:t>целевые денежные вклады;</w:t>
      </w:r>
      <w:r w:rsidR="009A21AF">
        <w:rPr>
          <w:rFonts w:eastAsia="sans-serif"/>
          <w:iCs/>
          <w:sz w:val="28"/>
          <w:szCs w:val="28"/>
        </w:rPr>
        <w:t xml:space="preserve"> </w:t>
      </w:r>
      <w:r w:rsidR="003E7193" w:rsidRPr="003E7193">
        <w:rPr>
          <w:rFonts w:eastAsia="sans-serif"/>
          <w:iCs/>
          <w:sz w:val="28"/>
          <w:szCs w:val="28"/>
        </w:rPr>
        <w:t>научно-техническая продукция и другие объекты собст</w:t>
      </w:r>
      <w:r w:rsidR="003E7193" w:rsidRPr="003E7193">
        <w:rPr>
          <w:rFonts w:eastAsia="sans-serif"/>
          <w:iCs/>
          <w:sz w:val="28"/>
          <w:szCs w:val="28"/>
        </w:rPr>
        <w:softHyphen/>
        <w:t>венности;</w:t>
      </w:r>
      <w:r w:rsidR="009A21AF">
        <w:rPr>
          <w:rFonts w:eastAsia="sans-serif"/>
          <w:iCs/>
          <w:sz w:val="28"/>
          <w:szCs w:val="28"/>
        </w:rPr>
        <w:t xml:space="preserve"> </w:t>
      </w:r>
      <w:r w:rsidR="003E7193" w:rsidRPr="003E7193">
        <w:rPr>
          <w:rFonts w:eastAsia="sans-serif"/>
          <w:iCs/>
          <w:sz w:val="28"/>
          <w:szCs w:val="28"/>
        </w:rPr>
        <w:t>имущественные права и права на интеллектуальную соб</w:t>
      </w:r>
      <w:r w:rsidR="003E7193" w:rsidRPr="003E7193">
        <w:rPr>
          <w:rFonts w:eastAsia="sans-serif"/>
          <w:iCs/>
          <w:sz w:val="28"/>
          <w:szCs w:val="28"/>
        </w:rPr>
        <w:softHyphen/>
        <w:t>ственность.</w:t>
      </w:r>
    </w:p>
    <w:p w14:paraId="05D4AE4E" w14:textId="10247907" w:rsidR="00F153F8" w:rsidRDefault="00F153F8" w:rsidP="009A21AF">
      <w:pPr>
        <w:pStyle w:val="a3"/>
        <w:shd w:val="clear" w:color="auto" w:fill="FFFFFF"/>
        <w:spacing w:after="0" w:line="360" w:lineRule="auto"/>
        <w:ind w:firstLine="709"/>
        <w:jc w:val="both"/>
        <w:rPr>
          <w:rFonts w:eastAsia="sans-serif"/>
          <w:iCs/>
          <w:sz w:val="28"/>
          <w:szCs w:val="28"/>
        </w:rPr>
      </w:pPr>
      <w:r w:rsidRPr="009A21AF">
        <w:rPr>
          <w:rFonts w:eastAsia="sans-serif"/>
          <w:iCs/>
          <w:sz w:val="28"/>
          <w:szCs w:val="28"/>
        </w:rPr>
        <w:t xml:space="preserve">Бывают государственные, корпоративные инвестиции, а также инвестиции физических лиц </w:t>
      </w:r>
      <w:r w:rsidR="009A21AF">
        <w:rPr>
          <w:rFonts w:eastAsia="sans-serif"/>
          <w:iCs/>
          <w:sz w:val="28"/>
          <w:szCs w:val="28"/>
        </w:rPr>
        <w:t>–</w:t>
      </w:r>
      <w:r w:rsidRPr="009A21AF">
        <w:rPr>
          <w:rFonts w:eastAsia="sans-serif"/>
          <w:iCs/>
          <w:sz w:val="28"/>
          <w:szCs w:val="28"/>
        </w:rPr>
        <w:t xml:space="preserve"> </w:t>
      </w:r>
      <w:r w:rsidR="009A21AF">
        <w:rPr>
          <w:rFonts w:eastAsia="sans-serif"/>
          <w:iCs/>
          <w:sz w:val="28"/>
          <w:szCs w:val="28"/>
        </w:rPr>
        <w:t xml:space="preserve">это </w:t>
      </w:r>
      <w:r w:rsidRPr="009A21AF">
        <w:rPr>
          <w:rFonts w:eastAsia="sans-serif"/>
          <w:iCs/>
          <w:sz w:val="28"/>
          <w:szCs w:val="28"/>
        </w:rPr>
        <w:t>вложение личных финансов для их приумножения и получения пассивного дохода.</w:t>
      </w:r>
    </w:p>
    <w:p w14:paraId="55CBC77E" w14:textId="0543E8B2" w:rsidR="000B6D77" w:rsidRPr="00657256" w:rsidRDefault="009A21AF" w:rsidP="00657256">
      <w:pPr>
        <w:spacing w:after="0" w:line="360" w:lineRule="auto"/>
        <w:ind w:firstLine="709"/>
        <w:jc w:val="both"/>
        <w:rPr>
          <w:rFonts w:ascii="Times New Roman" w:hAnsi="Times New Roman" w:cs="Times New Roman"/>
          <w:sz w:val="28"/>
          <w:szCs w:val="28"/>
        </w:rPr>
      </w:pPr>
      <w:r w:rsidRPr="00B0462D">
        <w:rPr>
          <w:rFonts w:ascii="Times New Roman" w:hAnsi="Times New Roman" w:cs="Times New Roman"/>
          <w:sz w:val="28"/>
          <w:szCs w:val="28"/>
        </w:rPr>
        <w:t xml:space="preserve">Рассмотрим </w:t>
      </w:r>
      <w:r w:rsidR="00657256">
        <w:rPr>
          <w:rFonts w:ascii="Times New Roman" w:hAnsi="Times New Roman" w:cs="Times New Roman"/>
          <w:sz w:val="28"/>
          <w:szCs w:val="28"/>
        </w:rPr>
        <w:t>основные показатели инвестиционной деятельности в Российской Федерации с 2005 г</w:t>
      </w:r>
      <w:r w:rsidR="001A50AD">
        <w:rPr>
          <w:rFonts w:ascii="Times New Roman" w:hAnsi="Times New Roman" w:cs="Times New Roman"/>
          <w:sz w:val="28"/>
          <w:szCs w:val="28"/>
        </w:rPr>
        <w:t>.</w:t>
      </w:r>
      <w:r w:rsidR="00657256">
        <w:rPr>
          <w:rFonts w:ascii="Times New Roman" w:hAnsi="Times New Roman" w:cs="Times New Roman"/>
          <w:sz w:val="28"/>
          <w:szCs w:val="28"/>
        </w:rPr>
        <w:t xml:space="preserve"> по 2022 г</w:t>
      </w:r>
      <w:r w:rsidR="001A50AD">
        <w:rPr>
          <w:rFonts w:ascii="Times New Roman" w:hAnsi="Times New Roman" w:cs="Times New Roman"/>
          <w:sz w:val="28"/>
          <w:szCs w:val="28"/>
        </w:rPr>
        <w:t>.</w:t>
      </w:r>
      <w:r w:rsidR="00657256">
        <w:rPr>
          <w:rFonts w:ascii="Times New Roman" w:hAnsi="Times New Roman" w:cs="Times New Roman"/>
          <w:sz w:val="28"/>
          <w:szCs w:val="28"/>
        </w:rPr>
        <w:t xml:space="preserve">, начиная с доли инвестиций, направленных на </w:t>
      </w:r>
      <w:r w:rsidRPr="00B0462D">
        <w:rPr>
          <w:rFonts w:ascii="Times New Roman" w:hAnsi="Times New Roman" w:cs="Times New Roman"/>
          <w:sz w:val="28"/>
          <w:szCs w:val="28"/>
        </w:rPr>
        <w:t xml:space="preserve">реконструкцию и модернизацию, в общем объеме инвестиций в основной капитал </w:t>
      </w:r>
      <w:r>
        <w:rPr>
          <w:rFonts w:ascii="Times New Roman" w:hAnsi="Times New Roman" w:cs="Times New Roman"/>
          <w:sz w:val="28"/>
          <w:szCs w:val="28"/>
        </w:rPr>
        <w:t>(рис.1)</w:t>
      </w:r>
      <w:r w:rsidR="00657256">
        <w:rPr>
          <w:rFonts w:ascii="Times New Roman" w:hAnsi="Times New Roman" w:cs="Times New Roman"/>
          <w:sz w:val="28"/>
          <w:szCs w:val="28"/>
        </w:rPr>
        <w:t>,</w:t>
      </w:r>
      <w:r w:rsidRPr="00B0462D">
        <w:rPr>
          <w:rFonts w:ascii="Times New Roman" w:hAnsi="Times New Roman" w:cs="Times New Roman"/>
          <w:sz w:val="28"/>
          <w:szCs w:val="28"/>
        </w:rPr>
        <w:t xml:space="preserve"> так в период с 2005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по 2007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мы можем заметить снижение процента инвестиций на 1,3 %. В 2008 г</w:t>
      </w:r>
      <w:r w:rsidR="00663AD6">
        <w:rPr>
          <w:rFonts w:ascii="Times New Roman" w:hAnsi="Times New Roman" w:cs="Times New Roman"/>
          <w:sz w:val="28"/>
          <w:szCs w:val="28"/>
        </w:rPr>
        <w:t>.</w:t>
      </w:r>
      <w:r w:rsidRPr="00B0462D">
        <w:rPr>
          <w:rFonts w:ascii="Times New Roman" w:hAnsi="Times New Roman" w:cs="Times New Roman"/>
          <w:sz w:val="28"/>
          <w:szCs w:val="28"/>
        </w:rPr>
        <w:t xml:space="preserve"> наблюдался незначительный рост, а в 2009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снова падение количества инвестиций, а с 2010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по 2012</w:t>
      </w:r>
      <w:r w:rsidR="001A50AD">
        <w:rPr>
          <w:rFonts w:ascii="Times New Roman" w:hAnsi="Times New Roman" w:cs="Times New Roman"/>
          <w:sz w:val="28"/>
          <w:szCs w:val="28"/>
        </w:rPr>
        <w:t xml:space="preserve"> г.</w:t>
      </w:r>
      <w:r w:rsidRPr="00B0462D">
        <w:rPr>
          <w:rFonts w:ascii="Times New Roman" w:hAnsi="Times New Roman" w:cs="Times New Roman"/>
          <w:sz w:val="28"/>
          <w:szCs w:val="28"/>
        </w:rPr>
        <w:t xml:space="preserve"> отмечается прирост доли инвестиций на целых 0,7</w:t>
      </w:r>
      <w:r w:rsidR="00663AD6">
        <w:rPr>
          <w:rFonts w:ascii="Times New Roman" w:hAnsi="Times New Roman" w:cs="Times New Roman"/>
          <w:sz w:val="28"/>
          <w:szCs w:val="28"/>
        </w:rPr>
        <w:t> </w:t>
      </w:r>
      <w:r w:rsidRPr="00B0462D">
        <w:rPr>
          <w:rFonts w:ascii="Times New Roman" w:hAnsi="Times New Roman" w:cs="Times New Roman"/>
          <w:sz w:val="28"/>
          <w:szCs w:val="28"/>
        </w:rPr>
        <w:t>%. В 2013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по 2019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наблюдается тенденция снижения количества инвестиций в Российской Федерации, в 2020 г</w:t>
      </w:r>
      <w:r w:rsidR="001A50AD">
        <w:rPr>
          <w:rFonts w:ascii="Times New Roman" w:hAnsi="Times New Roman" w:cs="Times New Roman"/>
          <w:sz w:val="28"/>
          <w:szCs w:val="28"/>
        </w:rPr>
        <w:t>.</w:t>
      </w:r>
      <w:r w:rsidRPr="00B0462D">
        <w:rPr>
          <w:rFonts w:ascii="Times New Roman" w:hAnsi="Times New Roman" w:cs="Times New Roman"/>
          <w:sz w:val="28"/>
          <w:szCs w:val="28"/>
        </w:rPr>
        <w:t xml:space="preserve"> можно заметить незначительный прирост, но с 2021 г</w:t>
      </w:r>
      <w:r w:rsidR="00663AD6">
        <w:rPr>
          <w:rFonts w:ascii="Times New Roman" w:hAnsi="Times New Roman" w:cs="Times New Roman"/>
          <w:sz w:val="28"/>
          <w:szCs w:val="28"/>
        </w:rPr>
        <w:t>.</w:t>
      </w:r>
      <w:r w:rsidRPr="00B0462D">
        <w:rPr>
          <w:rFonts w:ascii="Times New Roman" w:hAnsi="Times New Roman" w:cs="Times New Roman"/>
          <w:sz w:val="28"/>
          <w:szCs w:val="28"/>
        </w:rPr>
        <w:t xml:space="preserve"> процент инвестиций снова снизился до 13,7 %. </w:t>
      </w:r>
    </w:p>
    <w:p w14:paraId="4C443258" w14:textId="77777777" w:rsidR="006B2B3D" w:rsidRDefault="008841DB" w:rsidP="0021551D">
      <w:pPr>
        <w:spacing w:after="0"/>
      </w:pPr>
      <w:r>
        <w:rPr>
          <w:noProof/>
          <w:lang w:eastAsia="ru-RU"/>
        </w:rPr>
        <w:drawing>
          <wp:inline distT="0" distB="0" distL="0" distR="0" wp14:anchorId="495BB30C" wp14:editId="38ED2647">
            <wp:extent cx="6318250" cy="2445328"/>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4C2D36" w14:textId="77777777" w:rsidR="008841DB" w:rsidRDefault="008841DB" w:rsidP="0021551D">
      <w:pPr>
        <w:spacing w:after="0"/>
      </w:pPr>
      <w:r>
        <w:rPr>
          <w:noProof/>
          <w:lang w:eastAsia="ru-RU"/>
        </w:rPr>
        <w:lastRenderedPageBreak/>
        <w:drawing>
          <wp:inline distT="0" distB="0" distL="0" distR="0" wp14:anchorId="72B60BC7" wp14:editId="741F117B">
            <wp:extent cx="6372860" cy="2306782"/>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6F6940" w14:textId="64CABB18" w:rsidR="008841DB" w:rsidRDefault="00F4037B" w:rsidP="0021551D">
      <w:pPr>
        <w:spacing w:after="0"/>
      </w:pPr>
      <w:r>
        <w:rPr>
          <w:noProof/>
          <w:lang w:eastAsia="ru-RU"/>
        </w:rPr>
        <mc:AlternateContent>
          <mc:Choice Requires="wps">
            <w:drawing>
              <wp:anchor distT="0" distB="0" distL="114300" distR="114300" simplePos="0" relativeHeight="251659264" behindDoc="0" locked="0" layoutInCell="1" allowOverlap="1" wp14:anchorId="50787171" wp14:editId="1889690E">
                <wp:simplePos x="0" y="0"/>
                <wp:positionH relativeFrom="column">
                  <wp:posOffset>385249</wp:posOffset>
                </wp:positionH>
                <wp:positionV relativeFrom="paragraph">
                  <wp:posOffset>1303606</wp:posOffset>
                </wp:positionV>
                <wp:extent cx="5826369" cy="0"/>
                <wp:effectExtent l="0" t="0" r="222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82636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9FF439"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35pt,102.65pt" to="489.1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" strokecolor="red" strokeweight="1.5pt">
                <v:stroke joinstyle="miter"/>
              </v:line>
            </w:pict>
          </mc:Fallback>
        </mc:AlternateContent>
      </w:r>
      <w:r w:rsidR="008841DB">
        <w:rPr>
          <w:noProof/>
          <w:lang w:eastAsia="ru-RU"/>
        </w:rPr>
        <w:drawing>
          <wp:inline distT="0" distB="0" distL="0" distR="0" wp14:anchorId="7F5838C8" wp14:editId="3754DADC">
            <wp:extent cx="6355080" cy="2396836"/>
            <wp:effectExtent l="0" t="0" r="762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744569" w14:textId="595D15D9" w:rsidR="000B6D77" w:rsidRPr="00952CEE" w:rsidRDefault="008841DB" w:rsidP="00952CEE">
      <w:pPr>
        <w:spacing w:after="0"/>
        <w:jc w:val="center"/>
        <w:rPr>
          <w:rFonts w:ascii="Times New Roman" w:hAnsi="Times New Roman" w:cs="Times New Roman"/>
          <w:sz w:val="24"/>
        </w:rPr>
      </w:pPr>
      <w:r w:rsidRPr="00952CEE">
        <w:rPr>
          <w:rFonts w:ascii="Times New Roman" w:hAnsi="Times New Roman" w:cs="Times New Roman"/>
          <w:sz w:val="24"/>
        </w:rPr>
        <w:t>Рис.1. Доля инвестиций, направленных на реконструкцию и модернизацию, в общем объеме инвестиций в основной капитал по субъектам Российской Федерации</w:t>
      </w:r>
      <w:r w:rsidR="000B6D77" w:rsidRPr="00952CEE">
        <w:rPr>
          <w:rFonts w:ascii="Times New Roman" w:hAnsi="Times New Roman" w:cs="Times New Roman"/>
          <w:sz w:val="24"/>
        </w:rPr>
        <w:t xml:space="preserve"> (</w:t>
      </w:r>
      <w:r w:rsidR="00F153F8" w:rsidRPr="00952CEE">
        <w:rPr>
          <w:rFonts w:ascii="Times New Roman" w:hAnsi="Times New Roman" w:cs="Times New Roman"/>
          <w:sz w:val="24"/>
        </w:rPr>
        <w:t>в процентах</w:t>
      </w:r>
      <w:r w:rsidR="000B6D77" w:rsidRPr="00952CEE">
        <w:rPr>
          <w:rFonts w:ascii="Times New Roman" w:hAnsi="Times New Roman" w:cs="Times New Roman"/>
          <w:sz w:val="24"/>
        </w:rPr>
        <w:t>)</w:t>
      </w:r>
    </w:p>
    <w:p w14:paraId="0505AF02" w14:textId="7691C28A" w:rsidR="006C1BB9" w:rsidRDefault="00B0462D" w:rsidP="00550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показатели доли инвестиций, направленных на реконструкцию и модернизацию, более детально Южного Федерального округа</w:t>
      </w:r>
      <w:r w:rsidR="009A21AF">
        <w:rPr>
          <w:rFonts w:ascii="Times New Roman" w:hAnsi="Times New Roman" w:cs="Times New Roman"/>
          <w:sz w:val="28"/>
          <w:szCs w:val="28"/>
        </w:rPr>
        <w:t xml:space="preserve"> (рис.1)</w:t>
      </w:r>
      <w:r>
        <w:rPr>
          <w:rFonts w:ascii="Times New Roman" w:hAnsi="Times New Roman" w:cs="Times New Roman"/>
          <w:sz w:val="28"/>
          <w:szCs w:val="28"/>
        </w:rPr>
        <w:t>.</w:t>
      </w:r>
      <w:r w:rsidR="003F7E13">
        <w:rPr>
          <w:rFonts w:ascii="Times New Roman" w:hAnsi="Times New Roman" w:cs="Times New Roman"/>
          <w:sz w:val="28"/>
          <w:szCs w:val="28"/>
        </w:rPr>
        <w:t xml:space="preserve"> В 2005 г</w:t>
      </w:r>
      <w:r w:rsidR="001A50AD">
        <w:rPr>
          <w:rFonts w:ascii="Times New Roman" w:hAnsi="Times New Roman" w:cs="Times New Roman"/>
          <w:sz w:val="28"/>
          <w:szCs w:val="28"/>
        </w:rPr>
        <w:t>.</w:t>
      </w:r>
      <w:r w:rsidR="003F7E13">
        <w:rPr>
          <w:rFonts w:ascii="Times New Roman" w:hAnsi="Times New Roman" w:cs="Times New Roman"/>
          <w:sz w:val="28"/>
          <w:szCs w:val="28"/>
        </w:rPr>
        <w:t xml:space="preserve"> и в 2006 г</w:t>
      </w:r>
      <w:r w:rsidR="001A50AD">
        <w:rPr>
          <w:rFonts w:ascii="Times New Roman" w:hAnsi="Times New Roman" w:cs="Times New Roman"/>
          <w:sz w:val="28"/>
          <w:szCs w:val="28"/>
        </w:rPr>
        <w:t>.</w:t>
      </w:r>
      <w:r w:rsidR="003F7E13">
        <w:rPr>
          <w:rFonts w:ascii="Times New Roman" w:hAnsi="Times New Roman" w:cs="Times New Roman"/>
          <w:sz w:val="28"/>
          <w:szCs w:val="28"/>
        </w:rPr>
        <w:t xml:space="preserve"> процент инвестирования р</w:t>
      </w:r>
      <w:r w:rsidR="00653E38">
        <w:rPr>
          <w:rFonts w:ascii="Times New Roman" w:hAnsi="Times New Roman" w:cs="Times New Roman"/>
          <w:sz w:val="28"/>
          <w:szCs w:val="28"/>
        </w:rPr>
        <w:t>ос, в 2007</w:t>
      </w:r>
      <w:r w:rsidR="003F7E13">
        <w:rPr>
          <w:rFonts w:ascii="Times New Roman" w:hAnsi="Times New Roman" w:cs="Times New Roman"/>
          <w:sz w:val="28"/>
          <w:szCs w:val="28"/>
        </w:rPr>
        <w:t xml:space="preserve"> г</w:t>
      </w:r>
      <w:r w:rsidR="001A50AD">
        <w:rPr>
          <w:rFonts w:ascii="Times New Roman" w:hAnsi="Times New Roman" w:cs="Times New Roman"/>
          <w:sz w:val="28"/>
          <w:szCs w:val="28"/>
        </w:rPr>
        <w:t>.</w:t>
      </w:r>
      <w:r w:rsidR="003F7E13">
        <w:rPr>
          <w:rFonts w:ascii="Times New Roman" w:hAnsi="Times New Roman" w:cs="Times New Roman"/>
          <w:sz w:val="28"/>
          <w:szCs w:val="28"/>
        </w:rPr>
        <w:t xml:space="preserve"> наблюдался н</w:t>
      </w:r>
      <w:r w:rsidR="00653E38">
        <w:rPr>
          <w:rFonts w:ascii="Times New Roman" w:hAnsi="Times New Roman" w:cs="Times New Roman"/>
          <w:sz w:val="28"/>
          <w:szCs w:val="28"/>
        </w:rPr>
        <w:t>ебольшой спад на 0,4 %, а в 2008</w:t>
      </w:r>
      <w:r w:rsidR="003F7E13">
        <w:rPr>
          <w:rFonts w:ascii="Times New Roman" w:hAnsi="Times New Roman" w:cs="Times New Roman"/>
          <w:sz w:val="28"/>
          <w:szCs w:val="28"/>
        </w:rPr>
        <w:t xml:space="preserve"> г</w:t>
      </w:r>
      <w:r w:rsidR="001A50AD">
        <w:rPr>
          <w:rFonts w:ascii="Times New Roman" w:hAnsi="Times New Roman" w:cs="Times New Roman"/>
          <w:sz w:val="28"/>
          <w:szCs w:val="28"/>
        </w:rPr>
        <w:t>.</w:t>
      </w:r>
      <w:r w:rsidR="003F7E13">
        <w:rPr>
          <w:rFonts w:ascii="Times New Roman" w:hAnsi="Times New Roman" w:cs="Times New Roman"/>
          <w:sz w:val="28"/>
          <w:szCs w:val="28"/>
        </w:rPr>
        <w:t xml:space="preserve"> отмечается тенденция роста и доля инвестиций составила 24,2 %,</w:t>
      </w:r>
      <w:r w:rsidR="00653E38">
        <w:rPr>
          <w:rFonts w:ascii="Times New Roman" w:hAnsi="Times New Roman" w:cs="Times New Roman"/>
          <w:sz w:val="28"/>
          <w:szCs w:val="28"/>
        </w:rPr>
        <w:t xml:space="preserve"> в 2009 г</w:t>
      </w:r>
      <w:r w:rsidR="001A50AD">
        <w:rPr>
          <w:rFonts w:ascii="Times New Roman" w:hAnsi="Times New Roman" w:cs="Times New Roman"/>
          <w:sz w:val="28"/>
          <w:szCs w:val="28"/>
        </w:rPr>
        <w:t>.</w:t>
      </w:r>
      <w:r w:rsidR="00653E38">
        <w:rPr>
          <w:rFonts w:ascii="Times New Roman" w:hAnsi="Times New Roman" w:cs="Times New Roman"/>
          <w:sz w:val="28"/>
          <w:szCs w:val="28"/>
        </w:rPr>
        <w:t xml:space="preserve"> произошло уменьшение на целых 7,3 %, с 2010 по 2011 гг</w:t>
      </w:r>
      <w:r w:rsidR="008B53A6">
        <w:rPr>
          <w:rFonts w:ascii="Times New Roman" w:hAnsi="Times New Roman" w:cs="Times New Roman"/>
          <w:sz w:val="28"/>
          <w:szCs w:val="28"/>
        </w:rPr>
        <w:t>.</w:t>
      </w:r>
      <w:r w:rsidR="00653E38">
        <w:rPr>
          <w:rFonts w:ascii="Times New Roman" w:hAnsi="Times New Roman" w:cs="Times New Roman"/>
          <w:sz w:val="28"/>
          <w:szCs w:val="28"/>
        </w:rPr>
        <w:t xml:space="preserve"> мы можем увидеть прирост, а в 2012 г</w:t>
      </w:r>
      <w:r w:rsidR="001A50AD">
        <w:rPr>
          <w:rFonts w:ascii="Times New Roman" w:hAnsi="Times New Roman" w:cs="Times New Roman"/>
          <w:sz w:val="28"/>
          <w:szCs w:val="28"/>
        </w:rPr>
        <w:t>.</w:t>
      </w:r>
      <w:r w:rsidR="00550180">
        <w:rPr>
          <w:rFonts w:ascii="Times New Roman" w:hAnsi="Times New Roman" w:cs="Times New Roman"/>
          <w:sz w:val="28"/>
          <w:szCs w:val="28"/>
        </w:rPr>
        <w:t xml:space="preserve"> вплоть до 2015 </w:t>
      </w:r>
      <w:r w:rsidR="00653E38">
        <w:rPr>
          <w:rFonts w:ascii="Times New Roman" w:hAnsi="Times New Roman" w:cs="Times New Roman"/>
          <w:sz w:val="28"/>
          <w:szCs w:val="28"/>
        </w:rPr>
        <w:t>г</w:t>
      </w:r>
      <w:r w:rsidR="001A50AD">
        <w:rPr>
          <w:rFonts w:ascii="Times New Roman" w:hAnsi="Times New Roman" w:cs="Times New Roman"/>
          <w:sz w:val="28"/>
          <w:szCs w:val="28"/>
        </w:rPr>
        <w:t>.</w:t>
      </w:r>
      <w:r w:rsidR="00653E38">
        <w:rPr>
          <w:rFonts w:ascii="Times New Roman" w:hAnsi="Times New Roman" w:cs="Times New Roman"/>
          <w:sz w:val="28"/>
          <w:szCs w:val="28"/>
        </w:rPr>
        <w:t xml:space="preserve"> наблюдалась тенденция снижения </w:t>
      </w:r>
      <w:r w:rsidR="006C1BB9">
        <w:rPr>
          <w:rFonts w:ascii="Times New Roman" w:hAnsi="Times New Roman" w:cs="Times New Roman"/>
          <w:sz w:val="28"/>
          <w:szCs w:val="28"/>
        </w:rPr>
        <w:t>инвестиций, в 2016 г</w:t>
      </w:r>
      <w:r w:rsidR="001A50AD">
        <w:rPr>
          <w:rFonts w:ascii="Times New Roman" w:hAnsi="Times New Roman" w:cs="Times New Roman"/>
          <w:sz w:val="28"/>
          <w:szCs w:val="28"/>
        </w:rPr>
        <w:t>.</w:t>
      </w:r>
      <w:r w:rsidR="006C1BB9">
        <w:rPr>
          <w:rFonts w:ascii="Times New Roman" w:hAnsi="Times New Roman" w:cs="Times New Roman"/>
          <w:sz w:val="28"/>
          <w:szCs w:val="28"/>
        </w:rPr>
        <w:t xml:space="preserve"> незначительное увеличение на 4,5 %, в 2017 и 2018 </w:t>
      </w:r>
      <w:r w:rsidR="00F153F8">
        <w:rPr>
          <w:rFonts w:ascii="Times New Roman" w:hAnsi="Times New Roman" w:cs="Times New Roman"/>
          <w:sz w:val="28"/>
          <w:szCs w:val="28"/>
        </w:rPr>
        <w:t>гг.</w:t>
      </w:r>
      <w:r w:rsidR="006C1BB9">
        <w:rPr>
          <w:rFonts w:ascii="Times New Roman" w:hAnsi="Times New Roman" w:cs="Times New Roman"/>
          <w:sz w:val="28"/>
          <w:szCs w:val="28"/>
        </w:rPr>
        <w:t xml:space="preserve"> динамика роста </w:t>
      </w:r>
      <w:r w:rsidR="006C1BB9" w:rsidRPr="00F153F8">
        <w:rPr>
          <w:rFonts w:ascii="Times New Roman" w:hAnsi="Times New Roman" w:cs="Times New Roman"/>
          <w:sz w:val="28"/>
          <w:szCs w:val="28"/>
        </w:rPr>
        <w:t xml:space="preserve">финансовых активов </w:t>
      </w:r>
      <w:r w:rsidR="006C1BB9">
        <w:rPr>
          <w:rFonts w:ascii="Times New Roman" w:hAnsi="Times New Roman" w:cs="Times New Roman"/>
          <w:sz w:val="28"/>
          <w:szCs w:val="28"/>
        </w:rPr>
        <w:t xml:space="preserve">стабильна, а с 2019 по 2021 </w:t>
      </w:r>
      <w:r w:rsidR="00F153F8">
        <w:rPr>
          <w:rFonts w:ascii="Times New Roman" w:hAnsi="Times New Roman" w:cs="Times New Roman"/>
          <w:sz w:val="28"/>
          <w:szCs w:val="28"/>
        </w:rPr>
        <w:t>гг.</w:t>
      </w:r>
      <w:r w:rsidR="006C1BB9">
        <w:rPr>
          <w:rFonts w:ascii="Times New Roman" w:hAnsi="Times New Roman" w:cs="Times New Roman"/>
          <w:sz w:val="28"/>
          <w:szCs w:val="28"/>
        </w:rPr>
        <w:t xml:space="preserve"> отмечается рост, но в </w:t>
      </w:r>
      <w:r w:rsidR="00550180">
        <w:rPr>
          <w:rFonts w:ascii="Times New Roman" w:hAnsi="Times New Roman" w:cs="Times New Roman"/>
          <w:sz w:val="28"/>
          <w:szCs w:val="28"/>
        </w:rPr>
        <w:t>2022</w:t>
      </w:r>
      <w:r w:rsidR="006C1BB9">
        <w:rPr>
          <w:rFonts w:ascii="Times New Roman" w:hAnsi="Times New Roman" w:cs="Times New Roman"/>
          <w:sz w:val="28"/>
          <w:szCs w:val="28"/>
        </w:rPr>
        <w:t>г</w:t>
      </w:r>
      <w:r w:rsidR="00550180">
        <w:rPr>
          <w:rFonts w:ascii="Times New Roman" w:hAnsi="Times New Roman" w:cs="Times New Roman"/>
          <w:sz w:val="28"/>
          <w:szCs w:val="28"/>
        </w:rPr>
        <w:t>.</w:t>
      </w:r>
      <w:r w:rsidR="006C1BB9">
        <w:rPr>
          <w:rFonts w:ascii="Times New Roman" w:hAnsi="Times New Roman" w:cs="Times New Roman"/>
          <w:sz w:val="28"/>
          <w:szCs w:val="28"/>
        </w:rPr>
        <w:t xml:space="preserve"> наблюдается снижение процента доли инвестиции.</w:t>
      </w:r>
    </w:p>
    <w:p w14:paraId="46179048" w14:textId="5FF2170F" w:rsidR="006C1BB9" w:rsidRDefault="00B93BC8" w:rsidP="0055018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В К</w:t>
      </w:r>
      <w:r w:rsidR="00326AE8">
        <w:rPr>
          <w:rFonts w:ascii="Times New Roman" w:hAnsi="Times New Roman" w:cs="Times New Roman"/>
          <w:sz w:val="28"/>
          <w:szCs w:val="28"/>
        </w:rPr>
        <w:t>раснодарском</w:t>
      </w:r>
      <w:r>
        <w:rPr>
          <w:rFonts w:ascii="Times New Roman" w:hAnsi="Times New Roman" w:cs="Times New Roman"/>
          <w:sz w:val="28"/>
          <w:szCs w:val="28"/>
        </w:rPr>
        <w:t xml:space="preserve"> крае </w:t>
      </w:r>
      <w:r w:rsidR="00326AE8" w:rsidRPr="00326AE8">
        <w:rPr>
          <w:rFonts w:ascii="Times New Roman" w:hAnsi="Times New Roman" w:cs="Times New Roman"/>
          <w:sz w:val="28"/>
        </w:rPr>
        <w:t>д</w:t>
      </w:r>
      <w:r w:rsidRPr="00326AE8">
        <w:rPr>
          <w:rFonts w:ascii="Times New Roman" w:hAnsi="Times New Roman" w:cs="Times New Roman"/>
          <w:sz w:val="28"/>
        </w:rPr>
        <w:t>оля инвестиций, направленных на реконструкцию и модернизацию, в общем объеме инвестиций в основной капитал по субъектам Российской Федерации</w:t>
      </w:r>
      <w:r w:rsidR="009A21AF">
        <w:rPr>
          <w:rFonts w:ascii="Times New Roman" w:hAnsi="Times New Roman" w:cs="Times New Roman"/>
          <w:sz w:val="28"/>
        </w:rPr>
        <w:t xml:space="preserve"> (рис.1)</w:t>
      </w:r>
      <w:r w:rsidR="00326AE8">
        <w:rPr>
          <w:rFonts w:ascii="Times New Roman" w:hAnsi="Times New Roman" w:cs="Times New Roman"/>
          <w:sz w:val="28"/>
        </w:rPr>
        <w:t xml:space="preserve"> в 2005 г</w:t>
      </w:r>
      <w:r w:rsidR="001A50AD">
        <w:rPr>
          <w:rFonts w:ascii="Times New Roman" w:hAnsi="Times New Roman" w:cs="Times New Roman"/>
          <w:sz w:val="28"/>
        </w:rPr>
        <w:t>.</w:t>
      </w:r>
      <w:r w:rsidR="00550180">
        <w:rPr>
          <w:rFonts w:ascii="Times New Roman" w:hAnsi="Times New Roman" w:cs="Times New Roman"/>
          <w:sz w:val="28"/>
        </w:rPr>
        <w:t xml:space="preserve"> составила </w:t>
      </w:r>
      <w:r w:rsidR="00550180">
        <w:rPr>
          <w:rFonts w:ascii="Times New Roman" w:hAnsi="Times New Roman" w:cs="Times New Roman"/>
          <w:sz w:val="28"/>
        </w:rPr>
        <w:lastRenderedPageBreak/>
        <w:t>25,8</w:t>
      </w:r>
      <w:r w:rsidR="00326AE8">
        <w:rPr>
          <w:rFonts w:ascii="Times New Roman" w:hAnsi="Times New Roman" w:cs="Times New Roman"/>
          <w:sz w:val="28"/>
        </w:rPr>
        <w:t>%, а в 2006 г</w:t>
      </w:r>
      <w:r w:rsidR="001A50AD">
        <w:rPr>
          <w:rFonts w:ascii="Times New Roman" w:hAnsi="Times New Roman" w:cs="Times New Roman"/>
          <w:sz w:val="28"/>
        </w:rPr>
        <w:t>.</w:t>
      </w:r>
      <w:r w:rsidR="00326AE8">
        <w:rPr>
          <w:rFonts w:ascii="Times New Roman" w:hAnsi="Times New Roman" w:cs="Times New Roman"/>
          <w:sz w:val="28"/>
        </w:rPr>
        <w:t xml:space="preserve"> на 3,5 % больше, с 2007 г</w:t>
      </w:r>
      <w:r w:rsidR="001A50AD">
        <w:rPr>
          <w:rFonts w:ascii="Times New Roman" w:hAnsi="Times New Roman" w:cs="Times New Roman"/>
          <w:sz w:val="28"/>
        </w:rPr>
        <w:t>.</w:t>
      </w:r>
      <w:r w:rsidR="00326AE8">
        <w:rPr>
          <w:rFonts w:ascii="Times New Roman" w:hAnsi="Times New Roman" w:cs="Times New Roman"/>
          <w:sz w:val="28"/>
        </w:rPr>
        <w:t xml:space="preserve"> вплоть по 2011 г</w:t>
      </w:r>
      <w:r w:rsidR="001A50AD">
        <w:rPr>
          <w:rFonts w:ascii="Times New Roman" w:hAnsi="Times New Roman" w:cs="Times New Roman"/>
          <w:sz w:val="28"/>
        </w:rPr>
        <w:t>.</w:t>
      </w:r>
      <w:r w:rsidR="00326AE8">
        <w:rPr>
          <w:rFonts w:ascii="Times New Roman" w:hAnsi="Times New Roman" w:cs="Times New Roman"/>
          <w:sz w:val="28"/>
        </w:rPr>
        <w:t xml:space="preserve"> наблюдается тенденция снижения процента инвестиций, в 2012 г</w:t>
      </w:r>
      <w:r w:rsidR="001A50AD">
        <w:rPr>
          <w:rFonts w:ascii="Times New Roman" w:hAnsi="Times New Roman" w:cs="Times New Roman"/>
          <w:sz w:val="28"/>
        </w:rPr>
        <w:t>.</w:t>
      </w:r>
      <w:r w:rsidR="00326AE8">
        <w:rPr>
          <w:rFonts w:ascii="Times New Roman" w:hAnsi="Times New Roman" w:cs="Times New Roman"/>
          <w:sz w:val="28"/>
        </w:rPr>
        <w:t xml:space="preserve"> было небольшое увеличение на 1 %, в 2013 и 2014 </w:t>
      </w:r>
      <w:r w:rsidR="00F153F8">
        <w:rPr>
          <w:rFonts w:ascii="Times New Roman" w:hAnsi="Times New Roman" w:cs="Times New Roman"/>
          <w:sz w:val="28"/>
        </w:rPr>
        <w:t>гг.</w:t>
      </w:r>
      <w:r w:rsidR="00326AE8">
        <w:rPr>
          <w:rFonts w:ascii="Times New Roman" w:hAnsi="Times New Roman" w:cs="Times New Roman"/>
          <w:sz w:val="28"/>
        </w:rPr>
        <w:t xml:space="preserve"> отмечается спад, а с 2015 по 2016 </w:t>
      </w:r>
      <w:r w:rsidR="00F153F8">
        <w:rPr>
          <w:rFonts w:ascii="Times New Roman" w:hAnsi="Times New Roman" w:cs="Times New Roman"/>
          <w:sz w:val="28"/>
        </w:rPr>
        <w:t>гг.</w:t>
      </w:r>
      <w:r w:rsidR="00326AE8">
        <w:rPr>
          <w:rFonts w:ascii="Times New Roman" w:hAnsi="Times New Roman" w:cs="Times New Roman"/>
          <w:sz w:val="28"/>
        </w:rPr>
        <w:t xml:space="preserve"> значительное увеличение на 5,7 %, в 2017 г</w:t>
      </w:r>
      <w:r w:rsidR="001A50AD">
        <w:rPr>
          <w:rFonts w:ascii="Times New Roman" w:hAnsi="Times New Roman" w:cs="Times New Roman"/>
          <w:sz w:val="28"/>
        </w:rPr>
        <w:t>.</w:t>
      </w:r>
      <w:r w:rsidR="00326AE8">
        <w:rPr>
          <w:rFonts w:ascii="Times New Roman" w:hAnsi="Times New Roman" w:cs="Times New Roman"/>
          <w:sz w:val="28"/>
        </w:rPr>
        <w:t xml:space="preserve"> снова уменьшение доли инвестиций, в 2018 и 2019 </w:t>
      </w:r>
      <w:r w:rsidR="00F153F8">
        <w:rPr>
          <w:rFonts w:ascii="Times New Roman" w:hAnsi="Times New Roman" w:cs="Times New Roman"/>
          <w:sz w:val="28"/>
        </w:rPr>
        <w:t>гг.</w:t>
      </w:r>
      <w:r w:rsidR="00326AE8">
        <w:rPr>
          <w:rFonts w:ascii="Times New Roman" w:hAnsi="Times New Roman" w:cs="Times New Roman"/>
          <w:sz w:val="28"/>
        </w:rPr>
        <w:t xml:space="preserve"> наблюдалась тенденция прироста, в 2020 г</w:t>
      </w:r>
      <w:r w:rsidR="001A50AD">
        <w:rPr>
          <w:rFonts w:ascii="Times New Roman" w:hAnsi="Times New Roman" w:cs="Times New Roman"/>
          <w:sz w:val="28"/>
        </w:rPr>
        <w:t>.</w:t>
      </w:r>
      <w:r w:rsidR="00326AE8">
        <w:rPr>
          <w:rFonts w:ascii="Times New Roman" w:hAnsi="Times New Roman" w:cs="Times New Roman"/>
          <w:sz w:val="28"/>
        </w:rPr>
        <w:t xml:space="preserve"> вновь снижение на 0,8 %, в 2021 г</w:t>
      </w:r>
      <w:r w:rsidR="001A50AD">
        <w:rPr>
          <w:rFonts w:ascii="Times New Roman" w:hAnsi="Times New Roman" w:cs="Times New Roman"/>
          <w:sz w:val="28"/>
        </w:rPr>
        <w:t>.</w:t>
      </w:r>
      <w:r w:rsidR="00326AE8">
        <w:rPr>
          <w:rFonts w:ascii="Times New Roman" w:hAnsi="Times New Roman" w:cs="Times New Roman"/>
          <w:sz w:val="28"/>
        </w:rPr>
        <w:t xml:space="preserve"> процент инвестиций вырос до 18,8 %, но в 2022 г</w:t>
      </w:r>
      <w:r w:rsidR="001A50AD">
        <w:rPr>
          <w:rFonts w:ascii="Times New Roman" w:hAnsi="Times New Roman" w:cs="Times New Roman"/>
          <w:sz w:val="28"/>
        </w:rPr>
        <w:t>.</w:t>
      </w:r>
      <w:r w:rsidR="00326AE8">
        <w:rPr>
          <w:rFonts w:ascii="Times New Roman" w:hAnsi="Times New Roman" w:cs="Times New Roman"/>
          <w:sz w:val="28"/>
        </w:rPr>
        <w:t xml:space="preserve"> упал на 2 %.</w:t>
      </w:r>
    </w:p>
    <w:p w14:paraId="7CCD1D42" w14:textId="5183705D" w:rsidR="00291265" w:rsidRPr="00326AE8" w:rsidRDefault="00291265" w:rsidP="0021551D">
      <w:pPr>
        <w:spacing w:after="0" w:line="360" w:lineRule="auto"/>
        <w:ind w:firstLine="709"/>
        <w:jc w:val="both"/>
        <w:rPr>
          <w:rFonts w:ascii="Times New Roman" w:hAnsi="Times New Roman" w:cs="Times New Roman"/>
          <w:sz w:val="32"/>
          <w:szCs w:val="28"/>
        </w:rPr>
      </w:pPr>
      <w:r w:rsidRPr="001F06C2">
        <w:rPr>
          <w:rFonts w:ascii="Times New Roman" w:hAnsi="Times New Roman" w:cs="Times New Roman"/>
          <w:sz w:val="28"/>
        </w:rPr>
        <w:t xml:space="preserve">На данной иллюстрации представлены данные </w:t>
      </w:r>
      <w:r>
        <w:rPr>
          <w:rFonts w:ascii="Times New Roman" w:hAnsi="Times New Roman" w:cs="Times New Roman"/>
          <w:sz w:val="28"/>
        </w:rPr>
        <w:t>о доле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 а именно производство пищевых продуктов и производство напитков (рис.2).</w:t>
      </w:r>
    </w:p>
    <w:p w14:paraId="1106E89C" w14:textId="674D05A6" w:rsidR="001B307D" w:rsidRDefault="00F4037B" w:rsidP="0021551D">
      <w:pPr>
        <w:spacing w:after="0"/>
        <w:rPr>
          <w:rFonts w:ascii="Times New Roman" w:hAnsi="Times New Roman" w:cs="Times New Roman"/>
          <w:sz w:val="24"/>
        </w:rPr>
      </w:pPr>
      <w:r>
        <w:rPr>
          <w:noProof/>
          <w:lang w:eastAsia="ru-RU"/>
        </w:rPr>
        <mc:AlternateContent>
          <mc:Choice Requires="wps">
            <w:drawing>
              <wp:anchor distT="0" distB="0" distL="114300" distR="114300" simplePos="0" relativeHeight="251660288" behindDoc="0" locked="0" layoutInCell="1" allowOverlap="1" wp14:anchorId="10DE9470" wp14:editId="3B21B058">
                <wp:simplePos x="0" y="0"/>
                <wp:positionH relativeFrom="column">
                  <wp:posOffset>402833</wp:posOffset>
                </wp:positionH>
                <wp:positionV relativeFrom="paragraph">
                  <wp:posOffset>801468</wp:posOffset>
                </wp:positionV>
                <wp:extent cx="5679831" cy="5861"/>
                <wp:effectExtent l="0" t="0" r="35560" b="3238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5679831" cy="586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DFCFE" id="Прямая соединительная линия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7pt,63.1pt" to="478.9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" strokecolor="red" strokeweight="1.5pt">
                <v:stroke joinstyle="miter"/>
              </v:line>
            </w:pict>
          </mc:Fallback>
        </mc:AlternateContent>
      </w:r>
      <w:r w:rsidR="00CD194C">
        <w:rPr>
          <w:noProof/>
          <w:lang w:eastAsia="ru-RU"/>
        </w:rPr>
        <w:drawing>
          <wp:inline distT="0" distB="0" distL="0" distR="0" wp14:anchorId="3FBFFF0C" wp14:editId="43A83FE8">
            <wp:extent cx="6256020" cy="2147455"/>
            <wp:effectExtent l="0" t="0" r="0" b="57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D194C">
        <w:rPr>
          <w:noProof/>
          <w:lang w:eastAsia="ru-RU"/>
        </w:rPr>
        <w:t xml:space="preserve"> </w:t>
      </w:r>
    </w:p>
    <w:p w14:paraId="511662F7" w14:textId="77777777" w:rsidR="00CD194C" w:rsidRPr="00952CEE" w:rsidRDefault="006F69B4" w:rsidP="0021551D">
      <w:pPr>
        <w:spacing w:after="0"/>
        <w:jc w:val="center"/>
        <w:rPr>
          <w:rFonts w:ascii="Times New Roman" w:eastAsia="Times New Roman" w:hAnsi="Times New Roman" w:cs="Times New Roman"/>
          <w:bCs/>
          <w:sz w:val="24"/>
          <w:szCs w:val="20"/>
          <w:lang w:eastAsia="ru-RU"/>
        </w:rPr>
      </w:pPr>
      <w:r w:rsidRPr="00952CEE">
        <w:rPr>
          <w:rFonts w:ascii="Times New Roman" w:hAnsi="Times New Roman" w:cs="Times New Roman"/>
          <w:sz w:val="24"/>
        </w:rPr>
        <w:t xml:space="preserve">Рис.2. </w:t>
      </w:r>
      <w:r w:rsidRPr="00952CEE">
        <w:rPr>
          <w:rFonts w:ascii="Times New Roman" w:eastAsia="Times New Roman" w:hAnsi="Times New Roman" w:cs="Times New Roman"/>
          <w:bCs/>
          <w:sz w:val="24"/>
          <w:szCs w:val="20"/>
          <w:lang w:eastAsia="ru-RU"/>
        </w:rPr>
        <w:t xml:space="preserve">Доля инвестиций, направленных на реконструкцию и модернизацию, в </w:t>
      </w:r>
    </w:p>
    <w:p w14:paraId="2FE7CF37" w14:textId="585F0BA7" w:rsidR="00663AD6" w:rsidRPr="00952CEE" w:rsidRDefault="006F69B4" w:rsidP="00952CEE">
      <w:pPr>
        <w:spacing w:after="0"/>
        <w:jc w:val="center"/>
        <w:rPr>
          <w:rFonts w:ascii="Times New Roman" w:hAnsi="Times New Roman" w:cs="Times New Roman"/>
          <w:sz w:val="24"/>
        </w:rPr>
      </w:pPr>
      <w:r w:rsidRPr="00952CEE">
        <w:rPr>
          <w:rFonts w:ascii="Times New Roman" w:eastAsia="Times New Roman" w:hAnsi="Times New Roman" w:cs="Times New Roman"/>
          <w:bCs/>
          <w:sz w:val="24"/>
          <w:szCs w:val="20"/>
          <w:lang w:eastAsia="ru-RU"/>
        </w:rPr>
        <w:t>общем объеме инвестиций в основной капитал по видам экономической деятельности в Российской Федерации</w:t>
      </w:r>
      <w:r w:rsidRPr="00952CEE">
        <w:rPr>
          <w:rFonts w:ascii="Times New Roman" w:eastAsia="Times New Roman" w:hAnsi="Times New Roman" w:cs="Times New Roman"/>
          <w:b/>
          <w:bCs/>
          <w:sz w:val="24"/>
          <w:szCs w:val="20"/>
          <w:lang w:eastAsia="ru-RU"/>
        </w:rPr>
        <w:t xml:space="preserve"> </w:t>
      </w:r>
      <w:r w:rsidRPr="00952CEE">
        <w:rPr>
          <w:rFonts w:ascii="Times New Roman" w:eastAsia="Times New Roman" w:hAnsi="Times New Roman" w:cs="Times New Roman"/>
          <w:bCs/>
          <w:sz w:val="24"/>
          <w:szCs w:val="20"/>
          <w:lang w:eastAsia="ru-RU"/>
        </w:rPr>
        <w:t>(</w:t>
      </w:r>
      <w:r w:rsidRPr="00952CEE">
        <w:rPr>
          <w:rFonts w:ascii="Times New Roman" w:hAnsi="Times New Roman" w:cs="Times New Roman"/>
          <w:sz w:val="24"/>
        </w:rPr>
        <w:t xml:space="preserve">производство пищевых </w:t>
      </w:r>
      <w:r w:rsidR="00F153F8" w:rsidRPr="00952CEE">
        <w:rPr>
          <w:rFonts w:ascii="Times New Roman" w:hAnsi="Times New Roman" w:cs="Times New Roman"/>
          <w:sz w:val="24"/>
        </w:rPr>
        <w:t>продуктов производство</w:t>
      </w:r>
      <w:r w:rsidRPr="00952CEE">
        <w:rPr>
          <w:rFonts w:ascii="Times New Roman" w:hAnsi="Times New Roman" w:cs="Times New Roman"/>
          <w:sz w:val="24"/>
        </w:rPr>
        <w:t xml:space="preserve"> напитков)</w:t>
      </w:r>
      <w:r w:rsidR="00F153F8" w:rsidRPr="00952CEE">
        <w:rPr>
          <w:rFonts w:ascii="Times New Roman" w:hAnsi="Times New Roman" w:cs="Times New Roman"/>
          <w:sz w:val="24"/>
        </w:rPr>
        <w:t xml:space="preserve"> (в процентах)</w:t>
      </w:r>
      <w:r w:rsidRPr="00952CEE">
        <w:rPr>
          <w:rFonts w:ascii="Times New Roman" w:hAnsi="Times New Roman" w:cs="Times New Roman"/>
          <w:sz w:val="24"/>
        </w:rPr>
        <w:t>.</w:t>
      </w:r>
    </w:p>
    <w:p w14:paraId="33CC98C3" w14:textId="066DB74E" w:rsidR="00720F85" w:rsidRDefault="00720F85" w:rsidP="0021551D">
      <w:pPr>
        <w:spacing w:after="0" w:line="360" w:lineRule="auto"/>
        <w:ind w:firstLine="709"/>
        <w:jc w:val="both"/>
        <w:rPr>
          <w:rFonts w:ascii="Times New Roman" w:hAnsi="Times New Roman" w:cs="Times New Roman"/>
          <w:sz w:val="28"/>
        </w:rPr>
      </w:pPr>
      <w:r>
        <w:rPr>
          <w:rFonts w:ascii="Times New Roman" w:hAnsi="Times New Roman" w:cs="Times New Roman"/>
          <w:sz w:val="28"/>
        </w:rPr>
        <w:t>В 2005 г</w:t>
      </w:r>
      <w:r w:rsidR="001A50AD">
        <w:rPr>
          <w:rFonts w:ascii="Times New Roman" w:hAnsi="Times New Roman" w:cs="Times New Roman"/>
          <w:sz w:val="28"/>
        </w:rPr>
        <w:t>.</w:t>
      </w:r>
      <w:r>
        <w:rPr>
          <w:rFonts w:ascii="Times New Roman" w:hAnsi="Times New Roman" w:cs="Times New Roman"/>
          <w:sz w:val="28"/>
        </w:rPr>
        <w:t xml:space="preserve"> доля инвестиций составляла 22,2 </w:t>
      </w:r>
      <w:r w:rsidR="00CD194C">
        <w:rPr>
          <w:rFonts w:ascii="Times New Roman" w:hAnsi="Times New Roman" w:cs="Times New Roman"/>
          <w:sz w:val="28"/>
        </w:rPr>
        <w:t>%,</w:t>
      </w:r>
      <w:r>
        <w:rPr>
          <w:rFonts w:ascii="Times New Roman" w:hAnsi="Times New Roman" w:cs="Times New Roman"/>
          <w:sz w:val="28"/>
        </w:rPr>
        <w:t xml:space="preserve"> в 2006 г</w:t>
      </w:r>
      <w:r w:rsidR="001A50AD">
        <w:rPr>
          <w:rFonts w:ascii="Times New Roman" w:hAnsi="Times New Roman" w:cs="Times New Roman"/>
          <w:sz w:val="28"/>
        </w:rPr>
        <w:t>.</w:t>
      </w:r>
      <w:r>
        <w:rPr>
          <w:rFonts w:ascii="Times New Roman" w:hAnsi="Times New Roman" w:cs="Times New Roman"/>
          <w:sz w:val="28"/>
        </w:rPr>
        <w:t xml:space="preserve"> наблюдался спад на 2,4 %, затем в 2007 г</w:t>
      </w:r>
      <w:r w:rsidR="00D17DEF">
        <w:rPr>
          <w:rFonts w:ascii="Times New Roman" w:hAnsi="Times New Roman" w:cs="Times New Roman"/>
          <w:sz w:val="28"/>
        </w:rPr>
        <w:t>.</w:t>
      </w:r>
      <w:r>
        <w:rPr>
          <w:rFonts w:ascii="Times New Roman" w:hAnsi="Times New Roman" w:cs="Times New Roman"/>
          <w:sz w:val="28"/>
        </w:rPr>
        <w:t xml:space="preserve"> </w:t>
      </w:r>
      <w:r w:rsidR="00CD194C">
        <w:rPr>
          <w:rFonts w:ascii="Times New Roman" w:hAnsi="Times New Roman" w:cs="Times New Roman"/>
          <w:sz w:val="28"/>
        </w:rPr>
        <w:t xml:space="preserve">отмечается прирост, </w:t>
      </w:r>
      <w:r w:rsidR="000E039E">
        <w:rPr>
          <w:rFonts w:ascii="Times New Roman" w:hAnsi="Times New Roman" w:cs="Times New Roman"/>
          <w:sz w:val="28"/>
        </w:rPr>
        <w:t>далее с 2008 г</w:t>
      </w:r>
      <w:r w:rsidR="001A50AD">
        <w:rPr>
          <w:rFonts w:ascii="Times New Roman" w:hAnsi="Times New Roman" w:cs="Times New Roman"/>
          <w:sz w:val="28"/>
        </w:rPr>
        <w:t>.</w:t>
      </w:r>
      <w:r w:rsidR="000E039E">
        <w:rPr>
          <w:rFonts w:ascii="Times New Roman" w:hAnsi="Times New Roman" w:cs="Times New Roman"/>
          <w:sz w:val="28"/>
        </w:rPr>
        <w:t xml:space="preserve"> вплоть по 2012 г</w:t>
      </w:r>
      <w:r w:rsidR="001A50AD">
        <w:rPr>
          <w:rFonts w:ascii="Times New Roman" w:hAnsi="Times New Roman" w:cs="Times New Roman"/>
          <w:sz w:val="28"/>
        </w:rPr>
        <w:t>.</w:t>
      </w:r>
      <w:r w:rsidR="000E039E">
        <w:rPr>
          <w:rFonts w:ascii="Times New Roman" w:hAnsi="Times New Roman" w:cs="Times New Roman"/>
          <w:sz w:val="28"/>
        </w:rPr>
        <w:t xml:space="preserve"> была тенденция снижения инвестиций, в 2013 г</w:t>
      </w:r>
      <w:r w:rsidR="00D17DEF">
        <w:rPr>
          <w:rFonts w:ascii="Times New Roman" w:hAnsi="Times New Roman" w:cs="Times New Roman"/>
          <w:sz w:val="28"/>
        </w:rPr>
        <w:t>.</w:t>
      </w:r>
      <w:r w:rsidR="000E039E">
        <w:rPr>
          <w:rFonts w:ascii="Times New Roman" w:hAnsi="Times New Roman" w:cs="Times New Roman"/>
          <w:sz w:val="28"/>
        </w:rPr>
        <w:t xml:space="preserve"> незначительный рост до 17,4</w:t>
      </w:r>
      <w:r w:rsidR="00663AD6">
        <w:rPr>
          <w:rFonts w:ascii="Times New Roman" w:hAnsi="Times New Roman" w:cs="Times New Roman"/>
          <w:sz w:val="28"/>
        </w:rPr>
        <w:t> </w:t>
      </w:r>
      <w:r w:rsidR="000E039E">
        <w:rPr>
          <w:rFonts w:ascii="Times New Roman" w:hAnsi="Times New Roman" w:cs="Times New Roman"/>
          <w:sz w:val="28"/>
        </w:rPr>
        <w:t>%, в 2014 и 2015 гг</w:t>
      </w:r>
      <w:r w:rsidR="000B6D77">
        <w:rPr>
          <w:rFonts w:ascii="Times New Roman" w:hAnsi="Times New Roman" w:cs="Times New Roman"/>
          <w:sz w:val="28"/>
        </w:rPr>
        <w:t>.</w:t>
      </w:r>
      <w:r w:rsidR="000E039E">
        <w:rPr>
          <w:rFonts w:ascii="Times New Roman" w:hAnsi="Times New Roman" w:cs="Times New Roman"/>
          <w:sz w:val="28"/>
        </w:rPr>
        <w:t xml:space="preserve"> наблюдалось снижение, в 2016 и 2017 </w:t>
      </w:r>
      <w:r w:rsidR="00F153F8">
        <w:rPr>
          <w:rFonts w:ascii="Times New Roman" w:hAnsi="Times New Roman" w:cs="Times New Roman"/>
          <w:sz w:val="28"/>
        </w:rPr>
        <w:t>гг.</w:t>
      </w:r>
      <w:r w:rsidR="000E039E">
        <w:rPr>
          <w:rFonts w:ascii="Times New Roman" w:hAnsi="Times New Roman" w:cs="Times New Roman"/>
          <w:sz w:val="28"/>
        </w:rPr>
        <w:t xml:space="preserve"> был значительный рост на 18,8 %, в 2018 г</w:t>
      </w:r>
      <w:r w:rsidR="00D17DEF">
        <w:rPr>
          <w:rFonts w:ascii="Times New Roman" w:hAnsi="Times New Roman" w:cs="Times New Roman"/>
          <w:sz w:val="28"/>
        </w:rPr>
        <w:t>.</w:t>
      </w:r>
      <w:r w:rsidR="000E039E">
        <w:rPr>
          <w:rFonts w:ascii="Times New Roman" w:hAnsi="Times New Roman" w:cs="Times New Roman"/>
          <w:sz w:val="28"/>
        </w:rPr>
        <w:t xml:space="preserve"> отмечался спад на 11 %,</w:t>
      </w:r>
      <w:r w:rsidR="000F357F">
        <w:rPr>
          <w:rFonts w:ascii="Times New Roman" w:hAnsi="Times New Roman" w:cs="Times New Roman"/>
          <w:sz w:val="28"/>
        </w:rPr>
        <w:t xml:space="preserve"> в 2019 г</w:t>
      </w:r>
      <w:r w:rsidR="00D17DEF">
        <w:rPr>
          <w:rFonts w:ascii="Times New Roman" w:hAnsi="Times New Roman" w:cs="Times New Roman"/>
          <w:sz w:val="28"/>
        </w:rPr>
        <w:t>.</w:t>
      </w:r>
      <w:r w:rsidR="000F357F">
        <w:rPr>
          <w:rFonts w:ascii="Times New Roman" w:hAnsi="Times New Roman" w:cs="Times New Roman"/>
          <w:sz w:val="28"/>
        </w:rPr>
        <w:t xml:space="preserve"> снова увеличилось число инвестиций, а с 2020 по 2022 </w:t>
      </w:r>
      <w:r w:rsidR="00F153F8">
        <w:rPr>
          <w:rFonts w:ascii="Times New Roman" w:hAnsi="Times New Roman" w:cs="Times New Roman"/>
          <w:sz w:val="28"/>
        </w:rPr>
        <w:t>гг.</w:t>
      </w:r>
      <w:r w:rsidR="000F357F">
        <w:rPr>
          <w:rFonts w:ascii="Times New Roman" w:hAnsi="Times New Roman" w:cs="Times New Roman"/>
          <w:sz w:val="28"/>
        </w:rPr>
        <w:t xml:space="preserve"> наблюдалась тенденция снижения доли инвестиций. </w:t>
      </w:r>
    </w:p>
    <w:p w14:paraId="060CC17E" w14:textId="28D035C7" w:rsidR="00291265" w:rsidRPr="00720F85" w:rsidRDefault="00291265" w:rsidP="00291265">
      <w:pPr>
        <w:spacing w:after="0" w:line="360" w:lineRule="auto"/>
        <w:ind w:firstLine="709"/>
        <w:jc w:val="both"/>
        <w:rPr>
          <w:rFonts w:ascii="Times New Roman" w:hAnsi="Times New Roman" w:cs="Times New Roman"/>
          <w:sz w:val="28"/>
        </w:rPr>
      </w:pPr>
      <w:r w:rsidRPr="006969E5">
        <w:rPr>
          <w:rFonts w:ascii="Times New Roman" w:eastAsia="Times New Roman" w:hAnsi="Times New Roman" w:cs="Times New Roman"/>
          <w:bCs/>
          <w:sz w:val="28"/>
          <w:szCs w:val="28"/>
          <w:lang w:eastAsia="ru-RU"/>
        </w:rPr>
        <w:lastRenderedPageBreak/>
        <w:t>Рассмотрим долю инвест</w:t>
      </w:r>
      <w:r>
        <w:rPr>
          <w:rFonts w:ascii="Times New Roman" w:eastAsia="Times New Roman" w:hAnsi="Times New Roman" w:cs="Times New Roman"/>
          <w:bCs/>
          <w:sz w:val="28"/>
          <w:szCs w:val="28"/>
          <w:lang w:eastAsia="ru-RU"/>
        </w:rPr>
        <w:t>иций в текстильном производстве (рис.3), в 2005 г она составляла 34,5 %, в 2006 г</w:t>
      </w:r>
      <w:r w:rsidR="00D17DE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был отмечен небольшой спад, в 2007 г</w:t>
      </w:r>
      <w:r w:rsidR="00D17DE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был прирост на 8 %, затем в 2008 г</w:t>
      </w:r>
      <w:r w:rsidR="00D17DE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значительное уменьшение на 21 %.</w:t>
      </w:r>
    </w:p>
    <w:p w14:paraId="4B0D3ACB" w14:textId="77777777" w:rsidR="001B307D" w:rsidRDefault="001B307D" w:rsidP="001B307D">
      <w:pPr>
        <w:rPr>
          <w:rFonts w:ascii="Times New Roman" w:hAnsi="Times New Roman" w:cs="Times New Roman"/>
          <w:sz w:val="24"/>
        </w:rPr>
      </w:pPr>
      <w:r>
        <w:rPr>
          <w:noProof/>
          <w:lang w:eastAsia="ru-RU"/>
        </w:rPr>
        <w:drawing>
          <wp:inline distT="0" distB="0" distL="0" distR="0" wp14:anchorId="28A88B3D" wp14:editId="368C3B40">
            <wp:extent cx="6382385" cy="196734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95624D" w14:textId="5F22E2C1" w:rsidR="006F69B4" w:rsidRPr="00952CEE" w:rsidRDefault="006F69B4" w:rsidP="006F69B4">
      <w:pPr>
        <w:jc w:val="center"/>
        <w:rPr>
          <w:rFonts w:ascii="Times New Roman" w:hAnsi="Times New Roman" w:cs="Times New Roman"/>
          <w:sz w:val="24"/>
        </w:rPr>
      </w:pPr>
      <w:r w:rsidRPr="00952CEE">
        <w:rPr>
          <w:rFonts w:ascii="Times New Roman" w:hAnsi="Times New Roman" w:cs="Times New Roman"/>
          <w:sz w:val="24"/>
        </w:rPr>
        <w:t xml:space="preserve">Рис.3. </w:t>
      </w:r>
      <w:r w:rsidRPr="00952CEE">
        <w:rPr>
          <w:rFonts w:ascii="Times New Roman" w:eastAsia="Times New Roman" w:hAnsi="Times New Roman" w:cs="Times New Roman"/>
          <w:bCs/>
          <w:sz w:val="24"/>
          <w:szCs w:val="20"/>
          <w:lang w:eastAsia="ru-RU"/>
        </w:rPr>
        <w:t>Доля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w:t>
      </w:r>
      <w:r w:rsidRPr="00952CEE">
        <w:rPr>
          <w:rFonts w:ascii="Times New Roman" w:eastAsia="Times New Roman" w:hAnsi="Times New Roman" w:cs="Times New Roman"/>
          <w:b/>
          <w:bCs/>
          <w:sz w:val="24"/>
          <w:szCs w:val="20"/>
          <w:lang w:eastAsia="ru-RU"/>
        </w:rPr>
        <w:t xml:space="preserve"> </w:t>
      </w:r>
      <w:r w:rsidRPr="00952CEE">
        <w:rPr>
          <w:rFonts w:ascii="Times New Roman" w:eastAsia="Times New Roman" w:hAnsi="Times New Roman" w:cs="Times New Roman"/>
          <w:bCs/>
          <w:sz w:val="24"/>
          <w:szCs w:val="20"/>
          <w:lang w:eastAsia="ru-RU"/>
        </w:rPr>
        <w:t>(</w:t>
      </w:r>
      <w:r w:rsidRPr="00952CEE">
        <w:rPr>
          <w:rFonts w:ascii="Times New Roman" w:hAnsi="Times New Roman" w:cs="Times New Roman"/>
          <w:sz w:val="24"/>
        </w:rPr>
        <w:t>текстильное производство)</w:t>
      </w:r>
      <w:r w:rsidR="00F153F8" w:rsidRPr="00952CEE">
        <w:rPr>
          <w:rFonts w:ascii="Times New Roman" w:hAnsi="Times New Roman" w:cs="Times New Roman"/>
          <w:sz w:val="24"/>
        </w:rPr>
        <w:t xml:space="preserve"> (в процентах)</w:t>
      </w:r>
      <w:r w:rsidRPr="00952CEE">
        <w:rPr>
          <w:rFonts w:ascii="Times New Roman" w:hAnsi="Times New Roman" w:cs="Times New Roman"/>
          <w:sz w:val="24"/>
        </w:rPr>
        <w:t>.</w:t>
      </w:r>
    </w:p>
    <w:p w14:paraId="034F7727" w14:textId="798052A8" w:rsidR="00291265" w:rsidRPr="0010372A" w:rsidRDefault="00291265" w:rsidP="00952CEE">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A76E8C">
        <w:rPr>
          <w:rFonts w:ascii="Times New Roman" w:eastAsia="Times New Roman" w:hAnsi="Times New Roman" w:cs="Times New Roman"/>
          <w:bCs/>
          <w:sz w:val="28"/>
          <w:szCs w:val="28"/>
          <w:lang w:eastAsia="ru-RU"/>
        </w:rPr>
        <w:t xml:space="preserve"> 2009 г и 2010 г наблюдался рост доли инвестиций, в 2011 г</w:t>
      </w:r>
      <w:r w:rsidR="00D17DEF">
        <w:rPr>
          <w:rFonts w:ascii="Times New Roman" w:eastAsia="Times New Roman" w:hAnsi="Times New Roman" w:cs="Times New Roman"/>
          <w:bCs/>
          <w:sz w:val="28"/>
          <w:szCs w:val="28"/>
          <w:lang w:eastAsia="ru-RU"/>
        </w:rPr>
        <w:t>.</w:t>
      </w:r>
      <w:r w:rsidR="00A76E8C">
        <w:rPr>
          <w:rFonts w:ascii="Times New Roman" w:eastAsia="Times New Roman" w:hAnsi="Times New Roman" w:cs="Times New Roman"/>
          <w:bCs/>
          <w:sz w:val="28"/>
          <w:szCs w:val="28"/>
          <w:lang w:eastAsia="ru-RU"/>
        </w:rPr>
        <w:t xml:space="preserve"> произошло уменьшение на 10 %, в 2012 г</w:t>
      </w:r>
      <w:r w:rsidR="00D17DEF">
        <w:rPr>
          <w:rFonts w:ascii="Times New Roman" w:eastAsia="Times New Roman" w:hAnsi="Times New Roman" w:cs="Times New Roman"/>
          <w:bCs/>
          <w:sz w:val="28"/>
          <w:szCs w:val="28"/>
          <w:lang w:eastAsia="ru-RU"/>
        </w:rPr>
        <w:t>.</w:t>
      </w:r>
      <w:r w:rsidR="00A76E8C">
        <w:rPr>
          <w:rFonts w:ascii="Times New Roman" w:eastAsia="Times New Roman" w:hAnsi="Times New Roman" w:cs="Times New Roman"/>
          <w:bCs/>
          <w:sz w:val="28"/>
          <w:szCs w:val="28"/>
          <w:lang w:eastAsia="ru-RU"/>
        </w:rPr>
        <w:t xml:space="preserve"> отмечался прирост, в 2013 г</w:t>
      </w:r>
      <w:r w:rsidR="00D17DEF">
        <w:rPr>
          <w:rFonts w:ascii="Times New Roman" w:eastAsia="Times New Roman" w:hAnsi="Times New Roman" w:cs="Times New Roman"/>
          <w:bCs/>
          <w:sz w:val="28"/>
          <w:szCs w:val="28"/>
          <w:lang w:eastAsia="ru-RU"/>
        </w:rPr>
        <w:t>.</w:t>
      </w:r>
      <w:r w:rsidR="00550180">
        <w:rPr>
          <w:rFonts w:ascii="Times New Roman" w:eastAsia="Times New Roman" w:hAnsi="Times New Roman" w:cs="Times New Roman"/>
          <w:bCs/>
          <w:sz w:val="28"/>
          <w:szCs w:val="28"/>
          <w:lang w:eastAsia="ru-RU"/>
        </w:rPr>
        <w:t xml:space="preserve"> снижение, в 2014</w:t>
      </w:r>
      <w:r w:rsidR="00A76E8C">
        <w:rPr>
          <w:rFonts w:ascii="Times New Roman" w:eastAsia="Times New Roman" w:hAnsi="Times New Roman" w:cs="Times New Roman"/>
          <w:bCs/>
          <w:sz w:val="28"/>
          <w:szCs w:val="28"/>
          <w:lang w:eastAsia="ru-RU"/>
        </w:rPr>
        <w:t>г</w:t>
      </w:r>
      <w:r w:rsidR="00D17DEF">
        <w:rPr>
          <w:rFonts w:ascii="Times New Roman" w:eastAsia="Times New Roman" w:hAnsi="Times New Roman" w:cs="Times New Roman"/>
          <w:bCs/>
          <w:sz w:val="28"/>
          <w:szCs w:val="28"/>
          <w:lang w:eastAsia="ru-RU"/>
        </w:rPr>
        <w:t>.</w:t>
      </w:r>
      <w:r w:rsidR="00A76E8C">
        <w:rPr>
          <w:rFonts w:ascii="Times New Roman" w:eastAsia="Times New Roman" w:hAnsi="Times New Roman" w:cs="Times New Roman"/>
          <w:bCs/>
          <w:sz w:val="28"/>
          <w:szCs w:val="28"/>
          <w:lang w:eastAsia="ru-RU"/>
        </w:rPr>
        <w:t xml:space="preserve"> </w:t>
      </w:r>
      <w:r w:rsidR="007905D9">
        <w:rPr>
          <w:rFonts w:ascii="Times New Roman" w:eastAsia="Times New Roman" w:hAnsi="Times New Roman" w:cs="Times New Roman"/>
          <w:bCs/>
          <w:sz w:val="28"/>
          <w:szCs w:val="28"/>
          <w:lang w:eastAsia="ru-RU"/>
        </w:rPr>
        <w:t>отмечался прирост, в 2015 г</w:t>
      </w:r>
      <w:r w:rsidR="00D17DEF">
        <w:rPr>
          <w:rFonts w:ascii="Times New Roman" w:eastAsia="Times New Roman" w:hAnsi="Times New Roman" w:cs="Times New Roman"/>
          <w:bCs/>
          <w:sz w:val="28"/>
          <w:szCs w:val="28"/>
          <w:lang w:eastAsia="ru-RU"/>
        </w:rPr>
        <w:t>.</w:t>
      </w:r>
      <w:r w:rsidR="007905D9">
        <w:rPr>
          <w:rFonts w:ascii="Times New Roman" w:eastAsia="Times New Roman" w:hAnsi="Times New Roman" w:cs="Times New Roman"/>
          <w:bCs/>
          <w:sz w:val="28"/>
          <w:szCs w:val="28"/>
          <w:lang w:eastAsia="ru-RU"/>
        </w:rPr>
        <w:t xml:space="preserve"> снижение, в 2016 г</w:t>
      </w:r>
      <w:r w:rsidR="00D17DEF">
        <w:rPr>
          <w:rFonts w:ascii="Times New Roman" w:eastAsia="Times New Roman" w:hAnsi="Times New Roman" w:cs="Times New Roman"/>
          <w:bCs/>
          <w:sz w:val="28"/>
          <w:szCs w:val="28"/>
          <w:lang w:eastAsia="ru-RU"/>
        </w:rPr>
        <w:t>.</w:t>
      </w:r>
      <w:r w:rsidR="007905D9">
        <w:rPr>
          <w:rFonts w:ascii="Times New Roman" w:eastAsia="Times New Roman" w:hAnsi="Times New Roman" w:cs="Times New Roman"/>
          <w:bCs/>
          <w:sz w:val="28"/>
          <w:szCs w:val="28"/>
          <w:lang w:eastAsia="ru-RU"/>
        </w:rPr>
        <w:t xml:space="preserve"> резкий прирост доли инвестиций, а в 2017 и 2018 </w:t>
      </w:r>
      <w:r w:rsidR="00F153F8">
        <w:rPr>
          <w:rFonts w:ascii="Times New Roman" w:eastAsia="Times New Roman" w:hAnsi="Times New Roman" w:cs="Times New Roman"/>
          <w:bCs/>
          <w:sz w:val="28"/>
          <w:szCs w:val="28"/>
          <w:lang w:eastAsia="ru-RU"/>
        </w:rPr>
        <w:t>гг.</w:t>
      </w:r>
      <w:r w:rsidR="007905D9">
        <w:rPr>
          <w:rFonts w:ascii="Times New Roman" w:eastAsia="Times New Roman" w:hAnsi="Times New Roman" w:cs="Times New Roman"/>
          <w:bCs/>
          <w:sz w:val="28"/>
          <w:szCs w:val="28"/>
          <w:lang w:eastAsia="ru-RU"/>
        </w:rPr>
        <w:t xml:space="preserve"> резкий спад на целых 24 %, в 2019 г</w:t>
      </w:r>
      <w:r w:rsidR="00D17DEF">
        <w:rPr>
          <w:rFonts w:ascii="Times New Roman" w:eastAsia="Times New Roman" w:hAnsi="Times New Roman" w:cs="Times New Roman"/>
          <w:bCs/>
          <w:sz w:val="28"/>
          <w:szCs w:val="28"/>
          <w:lang w:eastAsia="ru-RU"/>
        </w:rPr>
        <w:t>.</w:t>
      </w:r>
      <w:r w:rsidR="0010372A">
        <w:rPr>
          <w:rFonts w:ascii="Times New Roman" w:eastAsia="Times New Roman" w:hAnsi="Times New Roman" w:cs="Times New Roman"/>
          <w:bCs/>
          <w:sz w:val="28"/>
          <w:szCs w:val="28"/>
          <w:lang w:eastAsia="ru-RU"/>
        </w:rPr>
        <w:t xml:space="preserve"> незначительный рост на 0,6 %, а с 2020 г</w:t>
      </w:r>
      <w:r w:rsidR="00D17DEF">
        <w:rPr>
          <w:rFonts w:ascii="Times New Roman" w:eastAsia="Times New Roman" w:hAnsi="Times New Roman" w:cs="Times New Roman"/>
          <w:bCs/>
          <w:sz w:val="28"/>
          <w:szCs w:val="28"/>
          <w:lang w:eastAsia="ru-RU"/>
        </w:rPr>
        <w:t>.</w:t>
      </w:r>
      <w:r w:rsidR="0010372A">
        <w:rPr>
          <w:rFonts w:ascii="Times New Roman" w:eastAsia="Times New Roman" w:hAnsi="Times New Roman" w:cs="Times New Roman"/>
          <w:bCs/>
          <w:sz w:val="28"/>
          <w:szCs w:val="28"/>
          <w:lang w:eastAsia="ru-RU"/>
        </w:rPr>
        <w:t xml:space="preserve"> по 2022 г</w:t>
      </w:r>
      <w:r w:rsidR="00D17DEF">
        <w:rPr>
          <w:rFonts w:ascii="Times New Roman" w:eastAsia="Times New Roman" w:hAnsi="Times New Roman" w:cs="Times New Roman"/>
          <w:bCs/>
          <w:sz w:val="28"/>
          <w:szCs w:val="28"/>
          <w:lang w:eastAsia="ru-RU"/>
        </w:rPr>
        <w:t>.</w:t>
      </w:r>
      <w:r w:rsidR="0010372A">
        <w:rPr>
          <w:rFonts w:ascii="Times New Roman" w:eastAsia="Times New Roman" w:hAnsi="Times New Roman" w:cs="Times New Roman"/>
          <w:bCs/>
          <w:sz w:val="28"/>
          <w:szCs w:val="28"/>
          <w:lang w:eastAsia="ru-RU"/>
        </w:rPr>
        <w:t xml:space="preserve"> наблюдалась тенденция снижения процента инвестиций.</w:t>
      </w:r>
    </w:p>
    <w:p w14:paraId="29FF3604" w14:textId="78616EB5" w:rsidR="001B307D" w:rsidRDefault="001F06C2" w:rsidP="001B307D">
      <w:pPr>
        <w:rPr>
          <w:rFonts w:ascii="Times New Roman" w:hAnsi="Times New Roman" w:cs="Times New Roman"/>
          <w:sz w:val="24"/>
        </w:rPr>
      </w:pPr>
      <w:r>
        <w:rPr>
          <w:noProof/>
          <w:lang w:eastAsia="ru-RU"/>
        </w:rPr>
        <mc:AlternateContent>
          <mc:Choice Requires="wps">
            <w:drawing>
              <wp:anchor distT="0" distB="0" distL="114300" distR="114300" simplePos="0" relativeHeight="251661312" behindDoc="0" locked="0" layoutInCell="1" allowOverlap="1" wp14:anchorId="4CE10A44" wp14:editId="04BD2EDC">
                <wp:simplePos x="0" y="0"/>
                <wp:positionH relativeFrom="column">
                  <wp:posOffset>391111</wp:posOffset>
                </wp:positionH>
                <wp:positionV relativeFrom="paragraph">
                  <wp:posOffset>721848</wp:posOffset>
                </wp:positionV>
                <wp:extent cx="5814646" cy="5862"/>
                <wp:effectExtent l="0" t="0" r="34290" b="3238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5814646" cy="586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094905" id="Прямая соединительная линия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8pt,56.85pt" to="488.6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" strokecolor="red" strokeweight="1.5pt">
                <v:stroke joinstyle="miter"/>
              </v:line>
            </w:pict>
          </mc:Fallback>
        </mc:AlternateContent>
      </w:r>
      <w:r w:rsidR="001B307D">
        <w:rPr>
          <w:noProof/>
          <w:lang w:eastAsia="ru-RU"/>
        </w:rPr>
        <w:drawing>
          <wp:inline distT="0" distB="0" distL="0" distR="0" wp14:anchorId="41B8A874" wp14:editId="228A734E">
            <wp:extent cx="6355080" cy="1925782"/>
            <wp:effectExtent l="0" t="0" r="762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C7EE87" w14:textId="12C7CE81" w:rsidR="006F69B4" w:rsidRPr="00952CEE" w:rsidRDefault="006F69B4" w:rsidP="006F69B4">
      <w:pPr>
        <w:jc w:val="center"/>
        <w:rPr>
          <w:rFonts w:ascii="Times New Roman" w:hAnsi="Times New Roman" w:cs="Times New Roman"/>
          <w:sz w:val="24"/>
        </w:rPr>
      </w:pPr>
      <w:r w:rsidRPr="00952CEE">
        <w:rPr>
          <w:rFonts w:ascii="Times New Roman" w:hAnsi="Times New Roman" w:cs="Times New Roman"/>
          <w:sz w:val="24"/>
        </w:rPr>
        <w:t xml:space="preserve">Рис.4. </w:t>
      </w:r>
      <w:r w:rsidRPr="00952CEE">
        <w:rPr>
          <w:rFonts w:ascii="Times New Roman" w:eastAsia="Times New Roman" w:hAnsi="Times New Roman" w:cs="Times New Roman"/>
          <w:bCs/>
          <w:sz w:val="24"/>
          <w:szCs w:val="20"/>
          <w:lang w:eastAsia="ru-RU"/>
        </w:rPr>
        <w:t>Доля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w:t>
      </w:r>
      <w:r w:rsidRPr="00952CEE">
        <w:rPr>
          <w:rFonts w:ascii="Times New Roman" w:eastAsia="Times New Roman" w:hAnsi="Times New Roman" w:cs="Times New Roman"/>
          <w:b/>
          <w:bCs/>
          <w:sz w:val="24"/>
          <w:szCs w:val="20"/>
          <w:lang w:eastAsia="ru-RU"/>
        </w:rPr>
        <w:t xml:space="preserve"> </w:t>
      </w:r>
      <w:r w:rsidRPr="00952CEE">
        <w:rPr>
          <w:rFonts w:ascii="Times New Roman" w:eastAsia="Times New Roman" w:hAnsi="Times New Roman" w:cs="Times New Roman"/>
          <w:bCs/>
          <w:sz w:val="24"/>
          <w:szCs w:val="20"/>
          <w:lang w:eastAsia="ru-RU"/>
        </w:rPr>
        <w:t>(</w:t>
      </w:r>
      <w:r w:rsidRPr="00952CEE">
        <w:rPr>
          <w:rFonts w:ascii="Times New Roman" w:hAnsi="Times New Roman" w:cs="Times New Roman"/>
          <w:sz w:val="24"/>
        </w:rPr>
        <w:t>растениеводство и животноводство, охота и предоставление соответствующих услуг в этих областях).</w:t>
      </w:r>
    </w:p>
    <w:p w14:paraId="1649DB7F" w14:textId="31EA8231" w:rsidR="00952CEE" w:rsidRPr="00952CEE" w:rsidRDefault="00952CEE" w:rsidP="00952CEE">
      <w:pPr>
        <w:spacing w:after="0" w:line="360" w:lineRule="auto"/>
        <w:ind w:firstLine="709"/>
        <w:jc w:val="both"/>
        <w:rPr>
          <w:rFonts w:ascii="Arial CYR" w:eastAsia="Times New Roman" w:hAnsi="Arial CYR" w:cs="Arial CYR"/>
          <w:b/>
          <w:bCs/>
          <w:szCs w:val="20"/>
          <w:lang w:eastAsia="ru-RU"/>
        </w:rPr>
      </w:pPr>
      <w:r>
        <w:rPr>
          <w:rFonts w:ascii="Times New Roman" w:hAnsi="Times New Roman" w:cs="Times New Roman"/>
          <w:sz w:val="28"/>
        </w:rPr>
        <w:t>Сопоставим процент инвестиций в отрасли растениеводства и животноводства, охоты и предоставления соответствующ</w:t>
      </w:r>
      <w:r>
        <w:rPr>
          <w:rFonts w:ascii="Times New Roman" w:hAnsi="Times New Roman" w:cs="Times New Roman"/>
          <w:sz w:val="28"/>
        </w:rPr>
        <w:t>их услуг в этих областях</w:t>
      </w:r>
      <w:r>
        <w:rPr>
          <w:rFonts w:ascii="Times New Roman" w:hAnsi="Times New Roman" w:cs="Times New Roman"/>
          <w:sz w:val="28"/>
        </w:rPr>
        <w:t xml:space="preserve">. В 2005 г. показатель был максимальным и достиг отметки 15,8 %, </w:t>
      </w:r>
      <w:r>
        <w:rPr>
          <w:rFonts w:ascii="Times New Roman" w:hAnsi="Times New Roman" w:cs="Times New Roman"/>
          <w:sz w:val="28"/>
        </w:rPr>
        <w:lastRenderedPageBreak/>
        <w:t>затем с 2006 г по 2008 г. наблюдался спад, с 2009 по 2010 отмечался рост, в 2011 было уменьшение на 4 %, в 2012 г. был незначительный рост на 0,5 %, в 2013 и 2014 гг. наблюдалась тенденция снижения доли инвестиций, с 2015 вплоть по 2017 гг. можно увидеть неб</w:t>
      </w:r>
      <w:r>
        <w:rPr>
          <w:rFonts w:ascii="Times New Roman" w:hAnsi="Times New Roman" w:cs="Times New Roman"/>
          <w:sz w:val="28"/>
        </w:rPr>
        <w:t>ольшой рост, а</w:t>
      </w:r>
      <w:r>
        <w:rPr>
          <w:rFonts w:ascii="Times New Roman" w:hAnsi="Times New Roman" w:cs="Times New Roman"/>
          <w:sz w:val="28"/>
        </w:rPr>
        <w:t xml:space="preserve"> с 2019 г. по 2020 г. показатели вновь снизились, в 2021 и 2022 гг. доля инвестиций стала возрастать, но не значительно.</w:t>
      </w:r>
    </w:p>
    <w:p w14:paraId="5403927E" w14:textId="7F25590A" w:rsidR="001B307D" w:rsidRDefault="001F06C2" w:rsidP="001B307D">
      <w:pPr>
        <w:rPr>
          <w:rFonts w:ascii="Times New Roman" w:hAnsi="Times New Roman" w:cs="Times New Roman"/>
          <w:sz w:val="24"/>
        </w:rPr>
      </w:pPr>
      <w:r>
        <w:rPr>
          <w:noProof/>
          <w:lang w:eastAsia="ru-RU"/>
        </w:rPr>
        <mc:AlternateContent>
          <mc:Choice Requires="wps">
            <w:drawing>
              <wp:anchor distT="0" distB="0" distL="114300" distR="114300" simplePos="0" relativeHeight="251662336" behindDoc="0" locked="0" layoutInCell="1" allowOverlap="1" wp14:anchorId="56D5E146" wp14:editId="52C81E16">
                <wp:simplePos x="0" y="0"/>
                <wp:positionH relativeFrom="column">
                  <wp:posOffset>402833</wp:posOffset>
                </wp:positionH>
                <wp:positionV relativeFrom="paragraph">
                  <wp:posOffset>1147640</wp:posOffset>
                </wp:positionV>
                <wp:extent cx="5703277" cy="5862"/>
                <wp:effectExtent l="0" t="0" r="31115" b="3238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5703277" cy="586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410489" id="Прямая соединительная линия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7pt,90.35pt" to="480.8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" strokecolor="red" strokeweight="1.5pt">
                <v:stroke joinstyle="miter"/>
              </v:line>
            </w:pict>
          </mc:Fallback>
        </mc:AlternateContent>
      </w:r>
      <w:r w:rsidR="001B307D">
        <w:rPr>
          <w:noProof/>
          <w:lang w:eastAsia="ru-RU"/>
        </w:rPr>
        <w:drawing>
          <wp:inline distT="0" distB="0" distL="0" distR="0" wp14:anchorId="380AC4D2" wp14:editId="102D8B14">
            <wp:extent cx="6254115" cy="2202873"/>
            <wp:effectExtent l="0" t="0" r="0"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17CBFC" w14:textId="0D614D78" w:rsidR="006F69B4" w:rsidRPr="00952CEE" w:rsidRDefault="000F357F" w:rsidP="006F69B4">
      <w:pPr>
        <w:jc w:val="center"/>
        <w:rPr>
          <w:rFonts w:ascii="Times New Roman" w:hAnsi="Times New Roman" w:cs="Times New Roman"/>
          <w:sz w:val="24"/>
        </w:rPr>
      </w:pPr>
      <w:r w:rsidRPr="00952CEE">
        <w:rPr>
          <w:rFonts w:ascii="Times New Roman" w:hAnsi="Times New Roman" w:cs="Times New Roman"/>
          <w:sz w:val="24"/>
        </w:rPr>
        <w:t>Рис.5</w:t>
      </w:r>
      <w:r w:rsidR="006F69B4" w:rsidRPr="00952CEE">
        <w:rPr>
          <w:rFonts w:ascii="Times New Roman" w:hAnsi="Times New Roman" w:cs="Times New Roman"/>
          <w:sz w:val="24"/>
        </w:rPr>
        <w:t xml:space="preserve">. </w:t>
      </w:r>
      <w:r w:rsidR="006F69B4" w:rsidRPr="00952CEE">
        <w:rPr>
          <w:rFonts w:ascii="Times New Roman" w:hAnsi="Times New Roman" w:cs="Times New Roman"/>
          <w:bCs/>
          <w:sz w:val="24"/>
        </w:rPr>
        <w:t>Доля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w:t>
      </w:r>
      <w:r w:rsidR="006F69B4" w:rsidRPr="00952CEE">
        <w:rPr>
          <w:rFonts w:ascii="Times New Roman" w:hAnsi="Times New Roman" w:cs="Times New Roman"/>
          <w:b/>
          <w:bCs/>
          <w:sz w:val="24"/>
        </w:rPr>
        <w:t xml:space="preserve"> </w:t>
      </w:r>
      <w:r w:rsidR="006F69B4" w:rsidRPr="00952CEE">
        <w:rPr>
          <w:rFonts w:ascii="Times New Roman" w:hAnsi="Times New Roman" w:cs="Times New Roman"/>
          <w:bCs/>
          <w:sz w:val="24"/>
        </w:rPr>
        <w:t>(</w:t>
      </w:r>
      <w:r w:rsidR="006F69B4" w:rsidRPr="00952CEE">
        <w:rPr>
          <w:rFonts w:ascii="Times New Roman" w:hAnsi="Times New Roman" w:cs="Times New Roman"/>
          <w:sz w:val="24"/>
        </w:rPr>
        <w:t>строительство)</w:t>
      </w:r>
      <w:r w:rsidR="00F153F8" w:rsidRPr="00952CEE">
        <w:rPr>
          <w:rFonts w:ascii="Times New Roman" w:hAnsi="Times New Roman" w:cs="Times New Roman"/>
          <w:sz w:val="24"/>
        </w:rPr>
        <w:t xml:space="preserve"> (в процентах)</w:t>
      </w:r>
      <w:r w:rsidR="006F69B4" w:rsidRPr="00952CEE">
        <w:rPr>
          <w:rFonts w:ascii="Times New Roman" w:hAnsi="Times New Roman" w:cs="Times New Roman"/>
          <w:sz w:val="24"/>
        </w:rPr>
        <w:t>.</w:t>
      </w:r>
    </w:p>
    <w:p w14:paraId="33F93EB7" w14:textId="47EC7A2E" w:rsidR="003C2668" w:rsidRDefault="00291265" w:rsidP="0021551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Сравним </w:t>
      </w:r>
      <w:r w:rsidR="0021551D" w:rsidRPr="00A9449F">
        <w:rPr>
          <w:rFonts w:ascii="Times New Roman" w:hAnsi="Times New Roman" w:cs="Times New Roman"/>
          <w:sz w:val="28"/>
        </w:rPr>
        <w:t>данные</w:t>
      </w:r>
      <w:r>
        <w:rPr>
          <w:rFonts w:ascii="Times New Roman" w:hAnsi="Times New Roman" w:cs="Times New Roman"/>
          <w:sz w:val="28"/>
        </w:rPr>
        <w:t xml:space="preserve"> доли инвестиций в отрасли</w:t>
      </w:r>
      <w:r w:rsidR="0021551D">
        <w:rPr>
          <w:rFonts w:ascii="Times New Roman" w:hAnsi="Times New Roman" w:cs="Times New Roman"/>
          <w:sz w:val="28"/>
        </w:rPr>
        <w:t xml:space="preserve"> строительства. В 2005 г</w:t>
      </w:r>
      <w:r w:rsidR="00D17DEF">
        <w:rPr>
          <w:rFonts w:ascii="Times New Roman" w:hAnsi="Times New Roman" w:cs="Times New Roman"/>
          <w:sz w:val="28"/>
        </w:rPr>
        <w:t>.</w:t>
      </w:r>
      <w:r w:rsidR="0021551D">
        <w:rPr>
          <w:rFonts w:ascii="Times New Roman" w:hAnsi="Times New Roman" w:cs="Times New Roman"/>
          <w:sz w:val="28"/>
        </w:rPr>
        <w:t xml:space="preserve"> инвестиции в данное направление были весьма небольшими всего 9,5 %, затем с 2006 г по 2008 г наблюдался рост до 16,6 %, в 2009 г</w:t>
      </w:r>
      <w:r w:rsidR="00D17DEF">
        <w:rPr>
          <w:rFonts w:ascii="Times New Roman" w:hAnsi="Times New Roman" w:cs="Times New Roman"/>
          <w:sz w:val="28"/>
        </w:rPr>
        <w:t>.</w:t>
      </w:r>
      <w:r w:rsidR="0021551D">
        <w:rPr>
          <w:rFonts w:ascii="Times New Roman" w:hAnsi="Times New Roman" w:cs="Times New Roman"/>
          <w:sz w:val="28"/>
        </w:rPr>
        <w:t xml:space="preserve"> было уменьшение доли инвестиций, а с 2010 г</w:t>
      </w:r>
      <w:r w:rsidR="00D17DEF">
        <w:rPr>
          <w:rFonts w:ascii="Times New Roman" w:hAnsi="Times New Roman" w:cs="Times New Roman"/>
          <w:sz w:val="28"/>
        </w:rPr>
        <w:t>.</w:t>
      </w:r>
      <w:r w:rsidR="0021551D">
        <w:rPr>
          <w:rFonts w:ascii="Times New Roman" w:hAnsi="Times New Roman" w:cs="Times New Roman"/>
          <w:sz w:val="28"/>
        </w:rPr>
        <w:t xml:space="preserve"> по 2012 г</w:t>
      </w:r>
      <w:r w:rsidR="00D17DEF">
        <w:rPr>
          <w:rFonts w:ascii="Times New Roman" w:hAnsi="Times New Roman" w:cs="Times New Roman"/>
          <w:sz w:val="28"/>
        </w:rPr>
        <w:t>.</w:t>
      </w:r>
      <w:r w:rsidR="0021551D">
        <w:rPr>
          <w:rFonts w:ascii="Times New Roman" w:hAnsi="Times New Roman" w:cs="Times New Roman"/>
          <w:sz w:val="28"/>
        </w:rPr>
        <w:t xml:space="preserve"> отмечался прирост до 14,6 %, далее в 2013 и 2014 </w:t>
      </w:r>
      <w:r w:rsidR="00F153F8">
        <w:rPr>
          <w:rFonts w:ascii="Times New Roman" w:hAnsi="Times New Roman" w:cs="Times New Roman"/>
          <w:sz w:val="28"/>
        </w:rPr>
        <w:t>гг.</w:t>
      </w:r>
      <w:r w:rsidR="0021551D">
        <w:rPr>
          <w:rFonts w:ascii="Times New Roman" w:hAnsi="Times New Roman" w:cs="Times New Roman"/>
          <w:sz w:val="28"/>
        </w:rPr>
        <w:t xml:space="preserve"> вновь н</w:t>
      </w:r>
      <w:r w:rsidR="00AC0897">
        <w:rPr>
          <w:rFonts w:ascii="Times New Roman" w:hAnsi="Times New Roman" w:cs="Times New Roman"/>
          <w:sz w:val="28"/>
        </w:rPr>
        <w:t>аблюдается тенденция уменьшения в инвестициях, с 2015 г по 2017 г</w:t>
      </w:r>
      <w:r w:rsidR="00D17DEF">
        <w:rPr>
          <w:rFonts w:ascii="Times New Roman" w:hAnsi="Times New Roman" w:cs="Times New Roman"/>
          <w:sz w:val="28"/>
        </w:rPr>
        <w:t>.</w:t>
      </w:r>
      <w:r w:rsidR="00AC0897">
        <w:rPr>
          <w:rFonts w:ascii="Times New Roman" w:hAnsi="Times New Roman" w:cs="Times New Roman"/>
          <w:sz w:val="28"/>
        </w:rPr>
        <w:t xml:space="preserve"> можно заметить значительный рост </w:t>
      </w:r>
      <w:r w:rsidR="00AC0897" w:rsidRPr="00F153F8">
        <w:rPr>
          <w:rFonts w:ascii="Times New Roman" w:hAnsi="Times New Roman" w:cs="Times New Roman"/>
          <w:sz w:val="28"/>
        </w:rPr>
        <w:t xml:space="preserve">на рынке </w:t>
      </w:r>
      <w:r w:rsidR="00AC0897">
        <w:rPr>
          <w:rFonts w:ascii="Times New Roman" w:hAnsi="Times New Roman" w:cs="Times New Roman"/>
          <w:sz w:val="28"/>
        </w:rPr>
        <w:t>до 26,9 %, в 2018 г</w:t>
      </w:r>
      <w:r w:rsidR="00D17DEF">
        <w:rPr>
          <w:rFonts w:ascii="Times New Roman" w:hAnsi="Times New Roman" w:cs="Times New Roman"/>
          <w:sz w:val="28"/>
        </w:rPr>
        <w:t>.</w:t>
      </w:r>
      <w:r w:rsidR="00AC0897">
        <w:rPr>
          <w:rFonts w:ascii="Times New Roman" w:hAnsi="Times New Roman" w:cs="Times New Roman"/>
          <w:sz w:val="28"/>
        </w:rPr>
        <w:t xml:space="preserve"> резкое падение до 7,3 %, а в 2019 г</w:t>
      </w:r>
      <w:r w:rsidR="00D17DEF">
        <w:rPr>
          <w:rFonts w:ascii="Times New Roman" w:hAnsi="Times New Roman" w:cs="Times New Roman"/>
          <w:sz w:val="28"/>
        </w:rPr>
        <w:t>.</w:t>
      </w:r>
      <w:r w:rsidR="00AC0897">
        <w:rPr>
          <w:rFonts w:ascii="Times New Roman" w:hAnsi="Times New Roman" w:cs="Times New Roman"/>
          <w:sz w:val="28"/>
        </w:rPr>
        <w:t xml:space="preserve"> отмечается прирост до 19,9 %, затем в 2020</w:t>
      </w:r>
      <w:r w:rsidR="00D17DEF">
        <w:rPr>
          <w:rFonts w:ascii="Times New Roman" w:hAnsi="Times New Roman" w:cs="Times New Roman"/>
          <w:sz w:val="28"/>
        </w:rPr>
        <w:t xml:space="preserve"> г.</w:t>
      </w:r>
      <w:r w:rsidR="00AC0897">
        <w:rPr>
          <w:rFonts w:ascii="Times New Roman" w:hAnsi="Times New Roman" w:cs="Times New Roman"/>
          <w:sz w:val="28"/>
        </w:rPr>
        <w:t xml:space="preserve"> снова спрос снизился, в 2021 г</w:t>
      </w:r>
      <w:r w:rsidR="00D17DEF">
        <w:rPr>
          <w:rFonts w:ascii="Times New Roman" w:hAnsi="Times New Roman" w:cs="Times New Roman"/>
          <w:sz w:val="28"/>
        </w:rPr>
        <w:t>.</w:t>
      </w:r>
      <w:r w:rsidR="00AC0897">
        <w:rPr>
          <w:rFonts w:ascii="Times New Roman" w:hAnsi="Times New Roman" w:cs="Times New Roman"/>
          <w:sz w:val="28"/>
        </w:rPr>
        <w:t xml:space="preserve"> не значительное увеличение процента инвестиций на 0,6 %, в 2022 г</w:t>
      </w:r>
      <w:r w:rsidR="00D17DEF">
        <w:rPr>
          <w:rFonts w:ascii="Times New Roman" w:hAnsi="Times New Roman" w:cs="Times New Roman"/>
          <w:sz w:val="28"/>
        </w:rPr>
        <w:t>.</w:t>
      </w:r>
      <w:r w:rsidR="00AC0897">
        <w:rPr>
          <w:rFonts w:ascii="Times New Roman" w:hAnsi="Times New Roman" w:cs="Times New Roman"/>
          <w:sz w:val="28"/>
        </w:rPr>
        <w:t xml:space="preserve"> наблюдается снижение.</w:t>
      </w:r>
    </w:p>
    <w:p w14:paraId="561824EE" w14:textId="66CBD138" w:rsidR="00952CEE" w:rsidRDefault="00952CEE" w:rsidP="00952C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процент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 а именно </w:t>
      </w:r>
      <w:r w:rsidRPr="00F153F8">
        <w:rPr>
          <w:rFonts w:ascii="Times New Roman" w:hAnsi="Times New Roman" w:cs="Times New Roman"/>
          <w:sz w:val="28"/>
        </w:rPr>
        <w:t>сферу</w:t>
      </w:r>
      <w:r>
        <w:rPr>
          <w:rFonts w:ascii="Times New Roman" w:hAnsi="Times New Roman" w:cs="Times New Roman"/>
          <w:sz w:val="28"/>
        </w:rPr>
        <w:t xml:space="preserve"> образования</w:t>
      </w:r>
      <w:r>
        <w:rPr>
          <w:rFonts w:ascii="Times New Roman" w:hAnsi="Times New Roman" w:cs="Times New Roman"/>
          <w:sz w:val="28"/>
        </w:rPr>
        <w:t xml:space="preserve"> (рис. 6)</w:t>
      </w:r>
      <w:r>
        <w:rPr>
          <w:rFonts w:ascii="Times New Roman" w:hAnsi="Times New Roman" w:cs="Times New Roman"/>
          <w:sz w:val="28"/>
        </w:rPr>
        <w:t>.</w:t>
      </w:r>
      <w:r w:rsidRPr="00952CEE">
        <w:rPr>
          <w:rFonts w:ascii="Times New Roman" w:hAnsi="Times New Roman" w:cs="Times New Roman"/>
          <w:sz w:val="28"/>
        </w:rPr>
        <w:t xml:space="preserve"> </w:t>
      </w:r>
      <w:r>
        <w:rPr>
          <w:rFonts w:ascii="Times New Roman" w:hAnsi="Times New Roman" w:cs="Times New Roman"/>
          <w:sz w:val="28"/>
        </w:rPr>
        <w:t xml:space="preserve">В 2005 г. показатели были не высокими всего 10,6 %, в 2006 г. отмечался спад, с 2007 г. по 2011 г. наблюдалась тенденция роста и </w:t>
      </w:r>
      <w:r>
        <w:rPr>
          <w:rFonts w:ascii="Times New Roman" w:hAnsi="Times New Roman" w:cs="Times New Roman"/>
          <w:sz w:val="28"/>
        </w:rPr>
        <w:lastRenderedPageBreak/>
        <w:t>показатели достигли максимальной отметки 16,4 %, но в 2012 г.</w:t>
      </w:r>
      <w:r>
        <w:rPr>
          <w:rFonts w:ascii="Times New Roman" w:hAnsi="Times New Roman" w:cs="Times New Roman"/>
          <w:sz w:val="28"/>
        </w:rPr>
        <w:t xml:space="preserve"> спрос снизился.</w:t>
      </w:r>
    </w:p>
    <w:p w14:paraId="7BE7C6D9" w14:textId="75F2EEDB" w:rsidR="006F69B4" w:rsidRDefault="001F06C2" w:rsidP="006F69B4">
      <w:pPr>
        <w:rPr>
          <w:rFonts w:ascii="Times New Roman" w:hAnsi="Times New Roman" w:cs="Times New Roman"/>
          <w:b/>
          <w:bCs/>
          <w:sz w:val="28"/>
        </w:rPr>
      </w:pPr>
      <w:r>
        <w:rPr>
          <w:noProof/>
          <w:lang w:eastAsia="ru-RU"/>
        </w:rPr>
        <mc:AlternateContent>
          <mc:Choice Requires="wps">
            <w:drawing>
              <wp:anchor distT="0" distB="0" distL="114300" distR="114300" simplePos="0" relativeHeight="251663360" behindDoc="0" locked="0" layoutInCell="1" allowOverlap="1" wp14:anchorId="03C248F7" wp14:editId="4FBDD6F1">
                <wp:simplePos x="0" y="0"/>
                <wp:positionH relativeFrom="column">
                  <wp:posOffset>402833</wp:posOffset>
                </wp:positionH>
                <wp:positionV relativeFrom="paragraph">
                  <wp:posOffset>855052</wp:posOffset>
                </wp:positionV>
                <wp:extent cx="5533293" cy="5861"/>
                <wp:effectExtent l="0" t="0" r="29845" b="3238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5533293" cy="586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38CFD" id="Прямая соединительная линия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7pt,67.35pt" to="467.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" strokecolor="red" strokeweight="1.5pt">
                <v:stroke joinstyle="miter"/>
              </v:line>
            </w:pict>
          </mc:Fallback>
        </mc:AlternateContent>
      </w:r>
      <w:r w:rsidR="006F69B4">
        <w:rPr>
          <w:noProof/>
          <w:lang w:eastAsia="ru-RU"/>
        </w:rPr>
        <w:drawing>
          <wp:inline distT="0" distB="0" distL="0" distR="0" wp14:anchorId="3E3D2920" wp14:editId="4B5F8691">
            <wp:extent cx="6098540" cy="2299855"/>
            <wp:effectExtent l="0" t="0" r="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C460E8" w14:textId="6C8CBA4D" w:rsidR="006F69B4" w:rsidRPr="00952CEE" w:rsidRDefault="000F357F" w:rsidP="006F69B4">
      <w:pPr>
        <w:jc w:val="center"/>
        <w:rPr>
          <w:rFonts w:ascii="Times New Roman" w:hAnsi="Times New Roman" w:cs="Times New Roman"/>
          <w:sz w:val="24"/>
        </w:rPr>
      </w:pPr>
      <w:r w:rsidRPr="00952CEE">
        <w:rPr>
          <w:rFonts w:ascii="Times New Roman" w:hAnsi="Times New Roman" w:cs="Times New Roman"/>
          <w:sz w:val="24"/>
        </w:rPr>
        <w:t>Рис.6</w:t>
      </w:r>
      <w:r w:rsidR="006F69B4" w:rsidRPr="00952CEE">
        <w:rPr>
          <w:rFonts w:ascii="Times New Roman" w:hAnsi="Times New Roman" w:cs="Times New Roman"/>
          <w:sz w:val="24"/>
        </w:rPr>
        <w:t xml:space="preserve">. </w:t>
      </w:r>
      <w:r w:rsidR="006F69B4" w:rsidRPr="00952CEE">
        <w:rPr>
          <w:rFonts w:ascii="Times New Roman" w:hAnsi="Times New Roman" w:cs="Times New Roman"/>
          <w:bCs/>
          <w:sz w:val="24"/>
        </w:rPr>
        <w:t>Доля инвестиций, направленных на реконструкцию и модернизацию, в общем объеме инвестиций в основной капитал по видам экономической деятельности в Российской Федерации</w:t>
      </w:r>
      <w:r w:rsidR="006F69B4" w:rsidRPr="00952CEE">
        <w:rPr>
          <w:rFonts w:ascii="Times New Roman" w:hAnsi="Times New Roman" w:cs="Times New Roman"/>
          <w:b/>
          <w:bCs/>
          <w:sz w:val="24"/>
        </w:rPr>
        <w:t xml:space="preserve"> </w:t>
      </w:r>
      <w:r w:rsidR="006F69B4" w:rsidRPr="00952CEE">
        <w:rPr>
          <w:rFonts w:ascii="Times New Roman" w:hAnsi="Times New Roman" w:cs="Times New Roman"/>
          <w:bCs/>
          <w:sz w:val="24"/>
        </w:rPr>
        <w:t>(</w:t>
      </w:r>
      <w:r w:rsidR="006F69B4" w:rsidRPr="00952CEE">
        <w:rPr>
          <w:rFonts w:ascii="Times New Roman" w:hAnsi="Times New Roman" w:cs="Times New Roman"/>
          <w:sz w:val="24"/>
        </w:rPr>
        <w:t>образование)</w:t>
      </w:r>
      <w:r w:rsidR="00F153F8" w:rsidRPr="00952CEE">
        <w:rPr>
          <w:rFonts w:ascii="Times New Roman" w:hAnsi="Times New Roman" w:cs="Times New Roman"/>
          <w:sz w:val="24"/>
        </w:rPr>
        <w:t xml:space="preserve"> (в процентах)</w:t>
      </w:r>
      <w:r w:rsidR="006F69B4" w:rsidRPr="00952CEE">
        <w:rPr>
          <w:rFonts w:ascii="Times New Roman" w:hAnsi="Times New Roman" w:cs="Times New Roman"/>
          <w:sz w:val="24"/>
        </w:rPr>
        <w:t>.</w:t>
      </w:r>
    </w:p>
    <w:p w14:paraId="59C65150" w14:textId="5048CFAE" w:rsidR="00ED5254" w:rsidRDefault="00952CEE" w:rsidP="00AC0897">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614702">
        <w:rPr>
          <w:rFonts w:ascii="Times New Roman" w:hAnsi="Times New Roman" w:cs="Times New Roman"/>
          <w:sz w:val="28"/>
        </w:rPr>
        <w:t xml:space="preserve"> 2013 г</w:t>
      </w:r>
      <w:r w:rsidR="00D17DEF">
        <w:rPr>
          <w:rFonts w:ascii="Times New Roman" w:hAnsi="Times New Roman" w:cs="Times New Roman"/>
          <w:sz w:val="28"/>
        </w:rPr>
        <w:t>.</w:t>
      </w:r>
      <w:r w:rsidR="00614702">
        <w:rPr>
          <w:rFonts w:ascii="Times New Roman" w:hAnsi="Times New Roman" w:cs="Times New Roman"/>
          <w:sz w:val="28"/>
        </w:rPr>
        <w:t xml:space="preserve"> был небольшой прирост на 2,6 %, с 2014 г</w:t>
      </w:r>
      <w:r w:rsidR="00D17DEF">
        <w:rPr>
          <w:rFonts w:ascii="Times New Roman" w:hAnsi="Times New Roman" w:cs="Times New Roman"/>
          <w:sz w:val="28"/>
        </w:rPr>
        <w:t>.</w:t>
      </w:r>
      <w:r w:rsidR="00614702">
        <w:rPr>
          <w:rFonts w:ascii="Times New Roman" w:hAnsi="Times New Roman" w:cs="Times New Roman"/>
          <w:sz w:val="28"/>
        </w:rPr>
        <w:t xml:space="preserve"> по 2015 г</w:t>
      </w:r>
      <w:r w:rsidR="00D17DEF">
        <w:rPr>
          <w:rFonts w:ascii="Times New Roman" w:hAnsi="Times New Roman" w:cs="Times New Roman"/>
          <w:sz w:val="28"/>
        </w:rPr>
        <w:t>.</w:t>
      </w:r>
      <w:r w:rsidR="00614702">
        <w:rPr>
          <w:rFonts w:ascii="Times New Roman" w:hAnsi="Times New Roman" w:cs="Times New Roman"/>
          <w:sz w:val="28"/>
        </w:rPr>
        <w:t xml:space="preserve"> наблюдается уменьшение, </w:t>
      </w:r>
      <w:r w:rsidR="007A732B">
        <w:rPr>
          <w:rFonts w:ascii="Times New Roman" w:hAnsi="Times New Roman" w:cs="Times New Roman"/>
          <w:sz w:val="28"/>
        </w:rPr>
        <w:t>в 2016 и 2017 г</w:t>
      </w:r>
      <w:r w:rsidR="00D17DEF">
        <w:rPr>
          <w:rFonts w:ascii="Times New Roman" w:hAnsi="Times New Roman" w:cs="Times New Roman"/>
          <w:sz w:val="28"/>
        </w:rPr>
        <w:t>г.</w:t>
      </w:r>
      <w:r w:rsidR="007A732B">
        <w:rPr>
          <w:rFonts w:ascii="Times New Roman" w:hAnsi="Times New Roman" w:cs="Times New Roman"/>
          <w:sz w:val="28"/>
        </w:rPr>
        <w:t xml:space="preserve"> отмечается рост до 13,3 %, с 2018 г</w:t>
      </w:r>
      <w:r w:rsidR="00D17DEF">
        <w:rPr>
          <w:rFonts w:ascii="Times New Roman" w:hAnsi="Times New Roman" w:cs="Times New Roman"/>
          <w:sz w:val="28"/>
        </w:rPr>
        <w:t>.</w:t>
      </w:r>
      <w:r w:rsidR="007A732B">
        <w:rPr>
          <w:rFonts w:ascii="Times New Roman" w:hAnsi="Times New Roman" w:cs="Times New Roman"/>
          <w:sz w:val="28"/>
        </w:rPr>
        <w:t xml:space="preserve"> по 2020 </w:t>
      </w:r>
      <w:r w:rsidR="00D17DEF">
        <w:rPr>
          <w:rFonts w:ascii="Times New Roman" w:hAnsi="Times New Roman" w:cs="Times New Roman"/>
          <w:sz w:val="28"/>
        </w:rPr>
        <w:t xml:space="preserve">г. </w:t>
      </w:r>
      <w:r w:rsidR="007A732B">
        <w:rPr>
          <w:rFonts w:ascii="Times New Roman" w:hAnsi="Times New Roman" w:cs="Times New Roman"/>
          <w:sz w:val="28"/>
        </w:rPr>
        <w:t>показатели падали и достигли своего минима</w:t>
      </w:r>
      <w:r>
        <w:rPr>
          <w:rFonts w:ascii="Times New Roman" w:hAnsi="Times New Roman" w:cs="Times New Roman"/>
          <w:sz w:val="28"/>
        </w:rPr>
        <w:t>льного значения 5,2 %, а с 2021</w:t>
      </w:r>
      <w:r w:rsidR="007A732B">
        <w:rPr>
          <w:rFonts w:ascii="Times New Roman" w:hAnsi="Times New Roman" w:cs="Times New Roman"/>
          <w:sz w:val="28"/>
        </w:rPr>
        <w:t>г</w:t>
      </w:r>
      <w:r w:rsidR="00D17DEF">
        <w:rPr>
          <w:rFonts w:ascii="Times New Roman" w:hAnsi="Times New Roman" w:cs="Times New Roman"/>
          <w:sz w:val="28"/>
        </w:rPr>
        <w:t>.</w:t>
      </w:r>
      <w:r w:rsidR="007A732B">
        <w:rPr>
          <w:rFonts w:ascii="Times New Roman" w:hAnsi="Times New Roman" w:cs="Times New Roman"/>
          <w:sz w:val="28"/>
        </w:rPr>
        <w:t xml:space="preserve"> по 2022 г</w:t>
      </w:r>
      <w:r w:rsidR="00D17DEF">
        <w:rPr>
          <w:rFonts w:ascii="Times New Roman" w:hAnsi="Times New Roman" w:cs="Times New Roman"/>
          <w:sz w:val="28"/>
        </w:rPr>
        <w:t>.</w:t>
      </w:r>
      <w:r w:rsidR="007A732B">
        <w:rPr>
          <w:rFonts w:ascii="Times New Roman" w:hAnsi="Times New Roman" w:cs="Times New Roman"/>
          <w:sz w:val="28"/>
        </w:rPr>
        <w:t xml:space="preserve"> доля инвестиций в образование увеличивалась.</w:t>
      </w:r>
    </w:p>
    <w:p w14:paraId="34D99288" w14:textId="763DE7C2" w:rsidR="00291265" w:rsidRDefault="00291265" w:rsidP="00E137D2">
      <w:pPr>
        <w:spacing w:after="0" w:line="360" w:lineRule="auto"/>
        <w:ind w:firstLine="709"/>
        <w:jc w:val="both"/>
        <w:rPr>
          <w:rFonts w:ascii="Times New Roman" w:hAnsi="Times New Roman" w:cs="Times New Roman"/>
          <w:sz w:val="28"/>
        </w:rPr>
      </w:pPr>
      <w:r w:rsidRPr="00E137D2">
        <w:rPr>
          <w:rFonts w:ascii="Times New Roman" w:hAnsi="Times New Roman" w:cs="Times New Roman"/>
          <w:sz w:val="28"/>
          <w:szCs w:val="24"/>
        </w:rPr>
        <w:t xml:space="preserve">Подводя итог, хотелось бы отметить, что </w:t>
      </w:r>
      <w:r w:rsidR="00E137D2" w:rsidRPr="00E137D2">
        <w:rPr>
          <w:rFonts w:ascii="Times New Roman" w:hAnsi="Times New Roman" w:cs="Times New Roman"/>
          <w:sz w:val="28"/>
          <w:szCs w:val="24"/>
        </w:rPr>
        <w:t>доля</w:t>
      </w:r>
      <w:r w:rsidR="00E137D2" w:rsidRPr="00E137D2">
        <w:rPr>
          <w:rFonts w:ascii="Times New Roman" w:hAnsi="Times New Roman" w:cs="Times New Roman"/>
          <w:sz w:val="28"/>
        </w:rPr>
        <w:t xml:space="preserve"> инвестиций, направленных на реконструкцию и модернизацию, в общем объеме инвестиций в основной капитал в Российской Федерации достигла максимума только в 2005 г., а минимума в 2022 г., в Южном Федеральном округе максимальное значение было достигнуто в 2008 г., а минимальное в 2015 г., Краснодарский край достиг максимума в инвестициях в 2009 г. – минимума в 2014 г. </w:t>
      </w:r>
      <w:r w:rsidR="00663AD6">
        <w:rPr>
          <w:rFonts w:ascii="Times New Roman" w:hAnsi="Times New Roman" w:cs="Times New Roman"/>
          <w:sz w:val="28"/>
        </w:rPr>
        <w:t>Д</w:t>
      </w:r>
      <w:r w:rsidR="00E137D2" w:rsidRPr="00E137D2">
        <w:rPr>
          <w:rFonts w:ascii="Times New Roman" w:hAnsi="Times New Roman" w:cs="Times New Roman"/>
          <w:sz w:val="28"/>
          <w:szCs w:val="24"/>
        </w:rPr>
        <w:t>ол</w:t>
      </w:r>
      <w:r w:rsidR="00663AD6">
        <w:rPr>
          <w:rFonts w:ascii="Times New Roman" w:hAnsi="Times New Roman" w:cs="Times New Roman"/>
          <w:sz w:val="28"/>
          <w:szCs w:val="24"/>
        </w:rPr>
        <w:t>я</w:t>
      </w:r>
      <w:r w:rsidR="00E137D2" w:rsidRPr="00E137D2">
        <w:rPr>
          <w:rFonts w:ascii="Times New Roman" w:hAnsi="Times New Roman" w:cs="Times New Roman"/>
          <w:sz w:val="28"/>
        </w:rPr>
        <w:t xml:space="preserve"> инвестиций, направленных на реконструкцию и модернизацию</w:t>
      </w:r>
      <w:r w:rsidR="00663AD6">
        <w:rPr>
          <w:rFonts w:ascii="Times New Roman" w:hAnsi="Times New Roman" w:cs="Times New Roman"/>
          <w:sz w:val="28"/>
        </w:rPr>
        <w:t xml:space="preserve"> в отрасли</w:t>
      </w:r>
      <w:r w:rsidR="00E137D2" w:rsidRPr="00E137D2">
        <w:rPr>
          <w:rFonts w:ascii="Times New Roman" w:hAnsi="Times New Roman" w:cs="Times New Roman"/>
          <w:sz w:val="28"/>
        </w:rPr>
        <w:t xml:space="preserve"> производств</w:t>
      </w:r>
      <w:r w:rsidR="00663AD6">
        <w:rPr>
          <w:rFonts w:ascii="Times New Roman" w:hAnsi="Times New Roman" w:cs="Times New Roman"/>
          <w:sz w:val="28"/>
        </w:rPr>
        <w:t>а</w:t>
      </w:r>
      <w:r w:rsidR="00E137D2" w:rsidRPr="00E137D2">
        <w:rPr>
          <w:rFonts w:ascii="Times New Roman" w:hAnsi="Times New Roman" w:cs="Times New Roman"/>
          <w:sz w:val="28"/>
        </w:rPr>
        <w:t xml:space="preserve"> пищевых продуктов</w:t>
      </w:r>
      <w:r w:rsidR="00663AD6">
        <w:rPr>
          <w:rFonts w:ascii="Times New Roman" w:hAnsi="Times New Roman" w:cs="Times New Roman"/>
          <w:sz w:val="28"/>
        </w:rPr>
        <w:t xml:space="preserve"> и</w:t>
      </w:r>
      <w:r w:rsidR="00E137D2" w:rsidRPr="00E137D2">
        <w:rPr>
          <w:rFonts w:ascii="Times New Roman" w:hAnsi="Times New Roman" w:cs="Times New Roman"/>
          <w:sz w:val="28"/>
        </w:rPr>
        <w:t xml:space="preserve"> напитков достигло максимума в 2017 г., а минимума в 2015 г., в текстильном производстве наивысший процент инвестирования был достигнут в 2016 г., а наименьший в 2022 г., </w:t>
      </w:r>
      <w:r w:rsidR="00057CC2">
        <w:rPr>
          <w:rFonts w:ascii="Times New Roman" w:hAnsi="Times New Roman" w:cs="Times New Roman"/>
          <w:sz w:val="28"/>
        </w:rPr>
        <w:t xml:space="preserve">в отрасли растениеводства и животноводства, охоты и предоставления соответствующих услуг максимум был достигнут в 2005 г., а минимум в 2020 г., далее сфера строительства, наибольший процент инвестирования был достигнут в 2017 г. – наименьший в 2018 г., в образовании же </w:t>
      </w:r>
      <w:r w:rsidR="00663AD6">
        <w:rPr>
          <w:rFonts w:ascii="Times New Roman" w:hAnsi="Times New Roman" w:cs="Times New Roman"/>
          <w:sz w:val="28"/>
        </w:rPr>
        <w:t xml:space="preserve">наибольший </w:t>
      </w:r>
      <w:r w:rsidR="00663AD6">
        <w:rPr>
          <w:rFonts w:ascii="Times New Roman" w:hAnsi="Times New Roman" w:cs="Times New Roman"/>
          <w:sz w:val="28"/>
        </w:rPr>
        <w:lastRenderedPageBreak/>
        <w:t xml:space="preserve">объем инвестиций, </w:t>
      </w:r>
      <w:r w:rsidR="00663AD6" w:rsidRPr="00E137D2">
        <w:rPr>
          <w:rFonts w:ascii="Times New Roman" w:hAnsi="Times New Roman" w:cs="Times New Roman"/>
          <w:sz w:val="28"/>
        </w:rPr>
        <w:t>направленных на реконструкцию и модернизацию</w:t>
      </w:r>
      <w:r w:rsidR="00663AD6">
        <w:rPr>
          <w:rFonts w:ascii="Times New Roman" w:hAnsi="Times New Roman" w:cs="Times New Roman"/>
          <w:sz w:val="28"/>
        </w:rPr>
        <w:t xml:space="preserve"> был </w:t>
      </w:r>
      <w:r w:rsidR="00057CC2">
        <w:rPr>
          <w:rFonts w:ascii="Times New Roman" w:hAnsi="Times New Roman" w:cs="Times New Roman"/>
          <w:sz w:val="28"/>
        </w:rPr>
        <w:t>в 2011 г., а минимум в 2020 г.</w:t>
      </w:r>
    </w:p>
    <w:p w14:paraId="3263F145" w14:textId="77777777" w:rsidR="00B51E2E" w:rsidRDefault="00057CC2" w:rsidP="00B51E2E">
      <w:pPr>
        <w:spacing w:after="0" w:line="360" w:lineRule="auto"/>
        <w:ind w:firstLine="709"/>
        <w:jc w:val="both"/>
        <w:rPr>
          <w:rFonts w:ascii="Times New Roman" w:hAnsi="Times New Roman" w:cs="Times New Roman"/>
          <w:sz w:val="28"/>
        </w:rPr>
      </w:pPr>
      <w:r>
        <w:rPr>
          <w:rFonts w:ascii="Times New Roman" w:hAnsi="Times New Roman" w:cs="Times New Roman"/>
          <w:sz w:val="28"/>
        </w:rPr>
        <w:t>За исследуемый период мы видим, что поток инвестиций в разных отраслях неравномерный</w:t>
      </w:r>
      <w:r w:rsidR="00663AD6">
        <w:rPr>
          <w:rFonts w:ascii="Times New Roman" w:hAnsi="Times New Roman" w:cs="Times New Roman"/>
          <w:sz w:val="28"/>
        </w:rPr>
        <w:t>:</w:t>
      </w:r>
      <w:r>
        <w:rPr>
          <w:rFonts w:ascii="Times New Roman" w:hAnsi="Times New Roman" w:cs="Times New Roman"/>
          <w:sz w:val="28"/>
        </w:rPr>
        <w:t xml:space="preserve"> наибольшее количество инвестиций </w:t>
      </w:r>
      <w:r w:rsidR="00663AD6">
        <w:rPr>
          <w:rFonts w:ascii="Times New Roman" w:hAnsi="Times New Roman" w:cs="Times New Roman"/>
          <w:sz w:val="28"/>
        </w:rPr>
        <w:t xml:space="preserve">наблюдается </w:t>
      </w:r>
      <w:r>
        <w:rPr>
          <w:rFonts w:ascii="Times New Roman" w:hAnsi="Times New Roman" w:cs="Times New Roman"/>
          <w:sz w:val="28"/>
        </w:rPr>
        <w:t>в отрасли текстильного производства</w:t>
      </w:r>
      <w:r w:rsidR="00B51E2E">
        <w:rPr>
          <w:rFonts w:ascii="Times New Roman" w:hAnsi="Times New Roman" w:cs="Times New Roman"/>
          <w:sz w:val="28"/>
        </w:rPr>
        <w:t xml:space="preserve">, где </w:t>
      </w:r>
      <w:r>
        <w:rPr>
          <w:rFonts w:ascii="Times New Roman" w:hAnsi="Times New Roman" w:cs="Times New Roman"/>
          <w:sz w:val="28"/>
        </w:rPr>
        <w:t>средн</w:t>
      </w:r>
      <w:r w:rsidR="00663AD6">
        <w:rPr>
          <w:rFonts w:ascii="Times New Roman" w:hAnsi="Times New Roman" w:cs="Times New Roman"/>
          <w:sz w:val="28"/>
        </w:rPr>
        <w:t>яя доля за 2005-2022 гг.</w:t>
      </w:r>
      <w:r>
        <w:rPr>
          <w:rFonts w:ascii="Times New Roman" w:hAnsi="Times New Roman" w:cs="Times New Roman"/>
          <w:sz w:val="28"/>
        </w:rPr>
        <w:t xml:space="preserve"> составляет 23,9 %</w:t>
      </w:r>
      <w:r w:rsidR="001A3F86">
        <w:rPr>
          <w:rFonts w:ascii="Times New Roman" w:hAnsi="Times New Roman" w:cs="Times New Roman"/>
          <w:sz w:val="28"/>
        </w:rPr>
        <w:t xml:space="preserve">, на втором месте </w:t>
      </w:r>
      <w:r w:rsidR="001A3F86" w:rsidRPr="00E137D2">
        <w:rPr>
          <w:rFonts w:ascii="Times New Roman" w:hAnsi="Times New Roman" w:cs="Times New Roman"/>
          <w:sz w:val="28"/>
        </w:rPr>
        <w:t xml:space="preserve">производство пищевых продуктов, </w:t>
      </w:r>
      <w:r w:rsidR="00663AD6">
        <w:rPr>
          <w:rFonts w:ascii="Times New Roman" w:hAnsi="Times New Roman" w:cs="Times New Roman"/>
          <w:sz w:val="28"/>
        </w:rPr>
        <w:t xml:space="preserve">и </w:t>
      </w:r>
      <w:r w:rsidR="001A3F86" w:rsidRPr="00E137D2">
        <w:rPr>
          <w:rFonts w:ascii="Times New Roman" w:hAnsi="Times New Roman" w:cs="Times New Roman"/>
          <w:sz w:val="28"/>
        </w:rPr>
        <w:t>напитков</w:t>
      </w:r>
      <w:r w:rsidR="00246CDD">
        <w:rPr>
          <w:rFonts w:ascii="Times New Roman" w:hAnsi="Times New Roman" w:cs="Times New Roman"/>
          <w:sz w:val="28"/>
        </w:rPr>
        <w:t>, где</w:t>
      </w:r>
      <w:r w:rsidR="00D17DEF">
        <w:rPr>
          <w:rFonts w:ascii="Times New Roman" w:hAnsi="Times New Roman" w:cs="Times New Roman"/>
          <w:sz w:val="28"/>
        </w:rPr>
        <w:t xml:space="preserve"> средний процент – </w:t>
      </w:r>
      <w:r w:rsidR="001A3F86">
        <w:rPr>
          <w:rFonts w:ascii="Times New Roman" w:hAnsi="Times New Roman" w:cs="Times New Roman"/>
          <w:sz w:val="28"/>
        </w:rPr>
        <w:t xml:space="preserve">21,5 %, </w:t>
      </w:r>
      <w:r w:rsidR="00B51E2E">
        <w:rPr>
          <w:rFonts w:ascii="Times New Roman" w:hAnsi="Times New Roman" w:cs="Times New Roman"/>
          <w:sz w:val="28"/>
        </w:rPr>
        <w:t>3</w:t>
      </w:r>
      <w:r w:rsidR="001A3F86">
        <w:rPr>
          <w:rFonts w:ascii="Times New Roman" w:hAnsi="Times New Roman" w:cs="Times New Roman"/>
          <w:sz w:val="28"/>
        </w:rPr>
        <w:t xml:space="preserve"> место занимает отрасль строительства</w:t>
      </w:r>
      <w:r w:rsidR="00B51E2E">
        <w:rPr>
          <w:rFonts w:ascii="Times New Roman" w:hAnsi="Times New Roman" w:cs="Times New Roman"/>
          <w:sz w:val="28"/>
        </w:rPr>
        <w:t>,</w:t>
      </w:r>
      <w:r w:rsidR="001A3F86">
        <w:rPr>
          <w:rFonts w:ascii="Times New Roman" w:hAnsi="Times New Roman" w:cs="Times New Roman"/>
          <w:sz w:val="28"/>
        </w:rPr>
        <w:t xml:space="preserve"> инвестирование в эту область в среднем</w:t>
      </w:r>
      <w:r w:rsidR="00B51E2E">
        <w:rPr>
          <w:rFonts w:ascii="Times New Roman" w:hAnsi="Times New Roman" w:cs="Times New Roman"/>
          <w:sz w:val="28"/>
        </w:rPr>
        <w:t xml:space="preserve"> достигает величины 13,8 %, на 4</w:t>
      </w:r>
      <w:r w:rsidR="001A3F86">
        <w:rPr>
          <w:rFonts w:ascii="Times New Roman" w:hAnsi="Times New Roman" w:cs="Times New Roman"/>
          <w:sz w:val="28"/>
        </w:rPr>
        <w:t xml:space="preserve"> месте </w:t>
      </w:r>
      <w:r w:rsidR="0060725C">
        <w:rPr>
          <w:rFonts w:ascii="Times New Roman" w:hAnsi="Times New Roman" w:cs="Times New Roman"/>
          <w:sz w:val="28"/>
        </w:rPr>
        <w:t xml:space="preserve">отрасль </w:t>
      </w:r>
      <w:r w:rsidR="001A3F86">
        <w:rPr>
          <w:rFonts w:ascii="Times New Roman" w:hAnsi="Times New Roman" w:cs="Times New Roman"/>
          <w:sz w:val="28"/>
        </w:rPr>
        <w:t>растениеводства и животноводства, охоты и предоставления соответствующих услуг в этих областях</w:t>
      </w:r>
      <w:r w:rsidR="0060725C">
        <w:rPr>
          <w:rFonts w:ascii="Times New Roman" w:hAnsi="Times New Roman" w:cs="Times New Roman"/>
          <w:sz w:val="28"/>
        </w:rPr>
        <w:t xml:space="preserve"> </w:t>
      </w:r>
      <w:r w:rsidR="00B51E2E">
        <w:rPr>
          <w:rFonts w:ascii="Times New Roman" w:hAnsi="Times New Roman" w:cs="Times New Roman"/>
          <w:sz w:val="28"/>
        </w:rPr>
        <w:t xml:space="preserve">со средним </w:t>
      </w:r>
      <w:r w:rsidR="0060725C">
        <w:rPr>
          <w:rFonts w:ascii="Times New Roman" w:hAnsi="Times New Roman" w:cs="Times New Roman"/>
          <w:sz w:val="28"/>
        </w:rPr>
        <w:t>значение</w:t>
      </w:r>
      <w:r w:rsidR="00B51E2E">
        <w:rPr>
          <w:rFonts w:ascii="Times New Roman" w:hAnsi="Times New Roman" w:cs="Times New Roman"/>
          <w:sz w:val="28"/>
        </w:rPr>
        <w:t>м 10,7 % и последнее место, к сожалению, занимает образование, где средний процент инвестирования за исследуемый период составил всего 10,6</w:t>
      </w:r>
      <w:r w:rsidR="0060725C">
        <w:rPr>
          <w:rFonts w:ascii="Times New Roman" w:hAnsi="Times New Roman" w:cs="Times New Roman"/>
          <w:sz w:val="28"/>
        </w:rPr>
        <w:t>%.</w:t>
      </w:r>
      <w:r w:rsidR="00D17DEF">
        <w:rPr>
          <w:rFonts w:ascii="Times New Roman" w:hAnsi="Times New Roman" w:cs="Times New Roman"/>
          <w:sz w:val="28"/>
        </w:rPr>
        <w:t xml:space="preserve"> </w:t>
      </w:r>
      <w:r w:rsidR="00B51E2E">
        <w:rPr>
          <w:rFonts w:ascii="Times New Roman" w:hAnsi="Times New Roman" w:cs="Times New Roman"/>
          <w:sz w:val="28"/>
        </w:rPr>
        <w:t xml:space="preserve"> </w:t>
      </w:r>
    </w:p>
    <w:p w14:paraId="3BC4C065" w14:textId="2A7B7BDA" w:rsidR="0060725C" w:rsidRDefault="00B51E2E" w:rsidP="00D12B33">
      <w:pPr>
        <w:spacing w:after="0" w:line="360" w:lineRule="auto"/>
        <w:ind w:firstLine="709"/>
        <w:jc w:val="both"/>
        <w:rPr>
          <w:rFonts w:ascii="Times New Roman" w:hAnsi="Times New Roman" w:cs="Times New Roman"/>
          <w:sz w:val="28"/>
        </w:rPr>
      </w:pPr>
      <w:r w:rsidRPr="00D12B33">
        <w:rPr>
          <w:rFonts w:ascii="Times New Roman" w:hAnsi="Times New Roman" w:cs="Times New Roman"/>
          <w:sz w:val="28"/>
        </w:rPr>
        <w:t xml:space="preserve">Общий объем инвестиций в Российской Федерации </w:t>
      </w:r>
      <w:r w:rsidR="00D12B33">
        <w:rPr>
          <w:rFonts w:ascii="Times New Roman" w:hAnsi="Times New Roman" w:cs="Times New Roman"/>
          <w:sz w:val="28"/>
        </w:rPr>
        <w:t xml:space="preserve">в среднем </w:t>
      </w:r>
      <w:r w:rsidRPr="00D12B33">
        <w:rPr>
          <w:rFonts w:ascii="Times New Roman" w:hAnsi="Times New Roman" w:cs="Times New Roman"/>
          <w:sz w:val="28"/>
        </w:rPr>
        <w:t xml:space="preserve">составил </w:t>
      </w:r>
      <w:r w:rsidRPr="00D12B33">
        <w:rPr>
          <w:rFonts w:ascii="Times New Roman" w:hAnsi="Times New Roman" w:cs="Times New Roman"/>
          <w:sz w:val="28"/>
        </w:rPr>
        <w:t>17,8 %</w:t>
      </w:r>
      <w:r w:rsidRPr="00D12B33">
        <w:rPr>
          <w:rFonts w:ascii="Times New Roman" w:hAnsi="Times New Roman" w:cs="Times New Roman"/>
          <w:sz w:val="28"/>
        </w:rPr>
        <w:t xml:space="preserve">, при этом в Южном Федеральном округе этот показатель выше </w:t>
      </w:r>
      <w:r w:rsidR="00D12B33" w:rsidRPr="00D12B33">
        <w:rPr>
          <w:rFonts w:ascii="Times New Roman" w:hAnsi="Times New Roman" w:cs="Times New Roman"/>
          <w:sz w:val="28"/>
        </w:rPr>
        <w:t>18,5 %,</w:t>
      </w:r>
      <w:r w:rsidR="00D12B33" w:rsidRPr="00D12B33">
        <w:rPr>
          <w:rFonts w:ascii="Times New Roman" w:hAnsi="Times New Roman" w:cs="Times New Roman"/>
          <w:sz w:val="28"/>
        </w:rPr>
        <w:t xml:space="preserve"> а конкретно в Краснодарском крае </w:t>
      </w:r>
      <w:r w:rsidR="00D12B33">
        <w:rPr>
          <w:rFonts w:ascii="Times New Roman" w:hAnsi="Times New Roman" w:cs="Times New Roman"/>
          <w:sz w:val="28"/>
        </w:rPr>
        <w:t xml:space="preserve">сопоставим с показателем Южного Федерального округа и </w:t>
      </w:r>
      <w:r w:rsidR="00D12B33" w:rsidRPr="00D12B33">
        <w:rPr>
          <w:rFonts w:ascii="Times New Roman" w:hAnsi="Times New Roman" w:cs="Times New Roman"/>
          <w:sz w:val="28"/>
        </w:rPr>
        <w:t>составляет 17,3 %.</w:t>
      </w:r>
    </w:p>
    <w:p w14:paraId="5E4B2E0A" w14:textId="77777777" w:rsidR="00D12B33" w:rsidRPr="00D12B33" w:rsidRDefault="00D12B33" w:rsidP="00D12B33">
      <w:pPr>
        <w:spacing w:after="0" w:line="360" w:lineRule="auto"/>
        <w:ind w:firstLine="709"/>
        <w:jc w:val="both"/>
        <w:rPr>
          <w:rFonts w:ascii="Times New Roman" w:hAnsi="Times New Roman" w:cs="Times New Roman"/>
          <w:sz w:val="28"/>
        </w:rPr>
      </w:pPr>
    </w:p>
    <w:p w14:paraId="37F4F165" w14:textId="754524A0" w:rsidR="00ED5254" w:rsidRPr="00952CEE" w:rsidRDefault="00ED5254" w:rsidP="00952CEE">
      <w:pPr>
        <w:spacing w:after="0" w:line="360" w:lineRule="auto"/>
        <w:jc w:val="center"/>
        <w:rPr>
          <w:rFonts w:ascii="Times New Roman" w:eastAsia="Times New Roman" w:hAnsi="Times New Roman" w:cs="Times New Roman"/>
          <w:b/>
          <w:bCs/>
          <w:sz w:val="28"/>
          <w:szCs w:val="28"/>
          <w:lang w:eastAsia="ru-RU"/>
        </w:rPr>
      </w:pPr>
      <w:r w:rsidRPr="00895990">
        <w:rPr>
          <w:rFonts w:ascii="Times New Roman" w:eastAsia="Times New Roman" w:hAnsi="Times New Roman" w:cs="Times New Roman"/>
          <w:b/>
          <w:bCs/>
          <w:sz w:val="28"/>
          <w:szCs w:val="28"/>
          <w:lang w:eastAsia="ru-RU"/>
        </w:rPr>
        <w:t>Список источников:</w:t>
      </w:r>
    </w:p>
    <w:p w14:paraId="4ADD80B0" w14:textId="7DB7603B" w:rsidR="007A732B" w:rsidRPr="00D12B33" w:rsidRDefault="007A732B" w:rsidP="007A732B">
      <w:pPr>
        <w:spacing w:after="0" w:line="360" w:lineRule="auto"/>
        <w:ind w:firstLine="709"/>
        <w:jc w:val="both"/>
        <w:rPr>
          <w:rFonts w:ascii="Times New Roman" w:hAnsi="Times New Roman" w:cs="Times New Roman"/>
          <w:bCs/>
          <w:sz w:val="28"/>
          <w:szCs w:val="28"/>
        </w:rPr>
      </w:pPr>
      <w:r w:rsidRPr="00D12B33">
        <w:rPr>
          <w:rFonts w:ascii="Times New Roman" w:hAnsi="Times New Roman" w:cs="Times New Roman"/>
          <w:bCs/>
          <w:sz w:val="28"/>
          <w:szCs w:val="28"/>
        </w:rPr>
        <w:t>1. Федеральный закон от 25.02.1999 № 39-ФЗ (ред. от 26.07.2017) «Об инвестиционной деятельности в Российской Федерации, осуществляемой в форме капитальных вложений» [Электронный ресурс] // Режим до</w:t>
      </w:r>
      <w:r w:rsidR="0060725C" w:rsidRPr="00D12B33">
        <w:rPr>
          <w:rFonts w:ascii="Times New Roman" w:hAnsi="Times New Roman" w:cs="Times New Roman"/>
          <w:bCs/>
          <w:sz w:val="28"/>
          <w:szCs w:val="28"/>
        </w:rPr>
        <w:t>ступа: http://www.consultant.ru</w:t>
      </w:r>
      <w:r w:rsidRPr="00D12B33">
        <w:rPr>
          <w:rFonts w:ascii="Times New Roman" w:hAnsi="Times New Roman" w:cs="Times New Roman"/>
          <w:bCs/>
          <w:sz w:val="28"/>
          <w:szCs w:val="28"/>
        </w:rPr>
        <w:t xml:space="preserve"> </w:t>
      </w:r>
      <w:r w:rsidR="0060725C" w:rsidRPr="00D12B33">
        <w:rPr>
          <w:rFonts w:ascii="Times New Roman" w:hAnsi="Times New Roman" w:cs="Times New Roman"/>
          <w:bCs/>
          <w:sz w:val="28"/>
          <w:szCs w:val="28"/>
        </w:rPr>
        <w:t>(д</w:t>
      </w:r>
      <w:r w:rsidRPr="00D12B33">
        <w:rPr>
          <w:rFonts w:ascii="Times New Roman" w:hAnsi="Times New Roman" w:cs="Times New Roman"/>
          <w:bCs/>
          <w:sz w:val="28"/>
          <w:szCs w:val="28"/>
        </w:rPr>
        <w:t>ата обращения: 25.10.2023</w:t>
      </w:r>
      <w:r w:rsidR="0060725C" w:rsidRPr="00D12B33">
        <w:rPr>
          <w:rFonts w:ascii="Times New Roman" w:hAnsi="Times New Roman" w:cs="Times New Roman"/>
          <w:bCs/>
          <w:sz w:val="28"/>
          <w:szCs w:val="28"/>
        </w:rPr>
        <w:t>)</w:t>
      </w:r>
      <w:r w:rsidRPr="00D12B33">
        <w:rPr>
          <w:rFonts w:ascii="Times New Roman" w:hAnsi="Times New Roman" w:cs="Times New Roman"/>
          <w:bCs/>
          <w:sz w:val="28"/>
          <w:szCs w:val="28"/>
        </w:rPr>
        <w:t>.</w:t>
      </w:r>
    </w:p>
    <w:p w14:paraId="1C52218F" w14:textId="4DD96F05" w:rsidR="007A732B" w:rsidRPr="00D12B33" w:rsidRDefault="0060725C" w:rsidP="007A732B">
      <w:pPr>
        <w:spacing w:after="0" w:line="360" w:lineRule="auto"/>
        <w:ind w:firstLine="709"/>
        <w:jc w:val="both"/>
        <w:rPr>
          <w:rFonts w:ascii="Times New Roman" w:hAnsi="Times New Roman" w:cs="Times New Roman"/>
          <w:bCs/>
          <w:sz w:val="28"/>
          <w:szCs w:val="28"/>
        </w:rPr>
      </w:pPr>
      <w:r w:rsidRPr="00D12B33">
        <w:rPr>
          <w:rFonts w:ascii="Times New Roman" w:hAnsi="Times New Roman" w:cs="Times New Roman"/>
          <w:bCs/>
          <w:sz w:val="28"/>
          <w:szCs w:val="28"/>
        </w:rPr>
        <w:t>2</w:t>
      </w:r>
      <w:r w:rsidR="007A732B" w:rsidRPr="00D12B33">
        <w:rPr>
          <w:rFonts w:ascii="Times New Roman" w:hAnsi="Times New Roman" w:cs="Times New Roman"/>
          <w:bCs/>
          <w:sz w:val="28"/>
          <w:szCs w:val="28"/>
        </w:rPr>
        <w:t>.</w:t>
      </w:r>
      <w:r w:rsidRPr="00D12B33">
        <w:rPr>
          <w:rFonts w:ascii="Times New Roman" w:hAnsi="Times New Roman" w:cs="Times New Roman"/>
          <w:sz w:val="28"/>
          <w:szCs w:val="28"/>
        </w:rPr>
        <w:t xml:space="preserve"> </w:t>
      </w:r>
      <w:r w:rsidRPr="00D12B33">
        <w:rPr>
          <w:rFonts w:ascii="Times New Roman" w:hAnsi="Times New Roman" w:cs="Times New Roman"/>
          <w:bCs/>
          <w:sz w:val="28"/>
          <w:szCs w:val="28"/>
        </w:rPr>
        <w:t>Корпоративный м</w:t>
      </w:r>
      <w:r w:rsidR="00D12B33">
        <w:rPr>
          <w:rFonts w:ascii="Times New Roman" w:hAnsi="Times New Roman" w:cs="Times New Roman"/>
          <w:bCs/>
          <w:sz w:val="28"/>
          <w:szCs w:val="28"/>
        </w:rPr>
        <w:t>енеджмент [Электронный ресурс] // Р</w:t>
      </w:r>
      <w:r w:rsidRPr="00D12B33">
        <w:rPr>
          <w:rFonts w:ascii="Times New Roman" w:hAnsi="Times New Roman" w:cs="Times New Roman"/>
          <w:bCs/>
          <w:sz w:val="28"/>
          <w:szCs w:val="28"/>
        </w:rPr>
        <w:t>ежим доступа: https://www.cfin.ru/finanalysis/invest/inv_monitoring.shtml (дата обращения 25.10.2023)</w:t>
      </w:r>
      <w:r w:rsidRPr="00D12B33">
        <w:rPr>
          <w:rFonts w:ascii="Times New Roman" w:hAnsi="Times New Roman" w:cs="Times New Roman"/>
          <w:sz w:val="28"/>
          <w:szCs w:val="28"/>
        </w:rPr>
        <w:t>.</w:t>
      </w:r>
    </w:p>
    <w:p w14:paraId="15DE3355" w14:textId="73DC55F2" w:rsidR="007A732B" w:rsidRPr="00D12B33" w:rsidRDefault="00952CEE" w:rsidP="0054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3A34" w:rsidRPr="00D12B33">
        <w:rPr>
          <w:rFonts w:ascii="Times New Roman" w:hAnsi="Times New Roman" w:cs="Times New Roman"/>
          <w:sz w:val="28"/>
          <w:szCs w:val="28"/>
        </w:rPr>
        <w:t xml:space="preserve">. Борисова, О. В.  Инвестиции </w:t>
      </w:r>
      <w:r w:rsidR="00547C2A" w:rsidRPr="00D12B33">
        <w:rPr>
          <w:rFonts w:ascii="Times New Roman" w:hAnsi="Times New Roman" w:cs="Times New Roman"/>
          <w:sz w:val="28"/>
          <w:szCs w:val="28"/>
        </w:rPr>
        <w:t>/ О. В. Борисова,</w:t>
      </w:r>
      <w:r w:rsidR="00843A34" w:rsidRPr="00D12B33">
        <w:rPr>
          <w:rFonts w:ascii="Times New Roman" w:hAnsi="Times New Roman" w:cs="Times New Roman"/>
          <w:sz w:val="28"/>
          <w:szCs w:val="28"/>
        </w:rPr>
        <w:t xml:space="preserve"> Н. И. Малых, Л. В. </w:t>
      </w:r>
      <w:proofErr w:type="spellStart"/>
      <w:r w:rsidR="00843A34" w:rsidRPr="00D12B33">
        <w:rPr>
          <w:rFonts w:ascii="Times New Roman" w:hAnsi="Times New Roman" w:cs="Times New Roman"/>
          <w:sz w:val="28"/>
          <w:szCs w:val="28"/>
        </w:rPr>
        <w:t>Овешникова</w:t>
      </w:r>
      <w:proofErr w:type="spellEnd"/>
      <w:r w:rsidR="00843A34" w:rsidRPr="00D12B33">
        <w:rPr>
          <w:rFonts w:ascii="Times New Roman" w:hAnsi="Times New Roman" w:cs="Times New Roman"/>
          <w:sz w:val="28"/>
          <w:szCs w:val="28"/>
        </w:rPr>
        <w:t xml:space="preserve">., 2023.  - </w:t>
      </w:r>
      <w:r w:rsidR="00547C2A" w:rsidRPr="00D12B33">
        <w:rPr>
          <w:rFonts w:ascii="Times New Roman" w:hAnsi="Times New Roman" w:cs="Times New Roman"/>
          <w:sz w:val="28"/>
          <w:szCs w:val="28"/>
        </w:rPr>
        <w:t>482 с. URL: https://urait.ru/bcode/532896 (дата обращения: 25.10.2023).</w:t>
      </w:r>
    </w:p>
    <w:p w14:paraId="08640931" w14:textId="5C725C93" w:rsidR="00547C2A" w:rsidRPr="00D12B33" w:rsidRDefault="00952CEE" w:rsidP="0054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47C2A" w:rsidRPr="00D12B33">
        <w:rPr>
          <w:rFonts w:ascii="Times New Roman" w:hAnsi="Times New Roman" w:cs="Times New Roman"/>
          <w:sz w:val="28"/>
          <w:szCs w:val="28"/>
        </w:rPr>
        <w:t>. Бычков</w:t>
      </w:r>
      <w:r w:rsidR="00843A34" w:rsidRPr="00D12B33">
        <w:rPr>
          <w:rFonts w:ascii="Times New Roman" w:hAnsi="Times New Roman" w:cs="Times New Roman"/>
          <w:sz w:val="28"/>
          <w:szCs w:val="28"/>
        </w:rPr>
        <w:t xml:space="preserve">а, С. Г.  Статистика инвестиций </w:t>
      </w:r>
      <w:r w:rsidR="00547C2A" w:rsidRPr="00D12B33">
        <w:rPr>
          <w:rFonts w:ascii="Times New Roman" w:hAnsi="Times New Roman" w:cs="Times New Roman"/>
          <w:sz w:val="28"/>
          <w:szCs w:val="28"/>
        </w:rPr>
        <w:t>/ С</w:t>
      </w:r>
      <w:r w:rsidR="00843A34" w:rsidRPr="00D12B33">
        <w:rPr>
          <w:rFonts w:ascii="Times New Roman" w:hAnsi="Times New Roman" w:cs="Times New Roman"/>
          <w:sz w:val="28"/>
          <w:szCs w:val="28"/>
        </w:rPr>
        <w:t>. Г. Бычкова, Л. С. </w:t>
      </w:r>
      <w:proofErr w:type="spellStart"/>
      <w:r w:rsidR="00843A34" w:rsidRPr="00D12B33">
        <w:rPr>
          <w:rFonts w:ascii="Times New Roman" w:hAnsi="Times New Roman" w:cs="Times New Roman"/>
          <w:sz w:val="28"/>
          <w:szCs w:val="28"/>
        </w:rPr>
        <w:t>Паршинцева</w:t>
      </w:r>
      <w:proofErr w:type="spellEnd"/>
      <w:r w:rsidR="00547C2A" w:rsidRPr="00D12B33">
        <w:rPr>
          <w:rFonts w:ascii="Times New Roman" w:hAnsi="Times New Roman" w:cs="Times New Roman"/>
          <w:sz w:val="28"/>
          <w:szCs w:val="28"/>
        </w:rPr>
        <w:t>, 2</w:t>
      </w:r>
      <w:r w:rsidR="00843A34" w:rsidRPr="00D12B33">
        <w:rPr>
          <w:rFonts w:ascii="Times New Roman" w:hAnsi="Times New Roman" w:cs="Times New Roman"/>
          <w:sz w:val="28"/>
          <w:szCs w:val="28"/>
        </w:rPr>
        <w:t>023. -</w:t>
      </w:r>
      <w:r w:rsidR="00547C2A" w:rsidRPr="00D12B33">
        <w:rPr>
          <w:rFonts w:ascii="Times New Roman" w:hAnsi="Times New Roman" w:cs="Times New Roman"/>
          <w:sz w:val="28"/>
          <w:szCs w:val="28"/>
        </w:rPr>
        <w:t xml:space="preserve"> 55 с. </w:t>
      </w:r>
      <w:r w:rsidR="00843A34" w:rsidRPr="00D12B33">
        <w:rPr>
          <w:rFonts w:ascii="Times New Roman" w:hAnsi="Times New Roman" w:cs="Times New Roman"/>
          <w:sz w:val="28"/>
          <w:szCs w:val="28"/>
        </w:rPr>
        <w:t xml:space="preserve"> -</w:t>
      </w:r>
      <w:r w:rsidR="00547C2A" w:rsidRPr="00D12B33">
        <w:rPr>
          <w:rFonts w:ascii="Times New Roman" w:hAnsi="Times New Roman" w:cs="Times New Roman"/>
          <w:sz w:val="28"/>
          <w:szCs w:val="28"/>
        </w:rPr>
        <w:t xml:space="preserve"> URL: https://urait.ru/bcode/533917 (дата обращения: 25.10.2023).</w:t>
      </w:r>
    </w:p>
    <w:p w14:paraId="00C150F4" w14:textId="7879E5ED" w:rsidR="00547C2A" w:rsidRPr="00D12B33" w:rsidRDefault="00952CEE" w:rsidP="0054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7C2A" w:rsidRPr="00D12B33">
        <w:rPr>
          <w:rFonts w:ascii="Times New Roman" w:hAnsi="Times New Roman" w:cs="Times New Roman"/>
          <w:sz w:val="28"/>
          <w:szCs w:val="28"/>
        </w:rPr>
        <w:t>. Касьяненко, Т. Г.  </w:t>
      </w:r>
      <w:r w:rsidR="00843A34" w:rsidRPr="00D12B33">
        <w:rPr>
          <w:rFonts w:ascii="Times New Roman" w:hAnsi="Times New Roman" w:cs="Times New Roman"/>
          <w:sz w:val="28"/>
          <w:szCs w:val="28"/>
        </w:rPr>
        <w:t>Экономическая оценка инвестиций</w:t>
      </w:r>
      <w:r w:rsidR="00547C2A" w:rsidRPr="00D12B33">
        <w:rPr>
          <w:rFonts w:ascii="Times New Roman" w:hAnsi="Times New Roman" w:cs="Times New Roman"/>
          <w:sz w:val="28"/>
          <w:szCs w:val="28"/>
        </w:rPr>
        <w:t> / Т. Г</w:t>
      </w:r>
      <w:r w:rsidR="00843A34" w:rsidRPr="00D12B33">
        <w:rPr>
          <w:rFonts w:ascii="Times New Roman" w:hAnsi="Times New Roman" w:cs="Times New Roman"/>
          <w:sz w:val="28"/>
          <w:szCs w:val="28"/>
        </w:rPr>
        <w:t xml:space="preserve">. Касьяненко, Г. А. Маховикова, 2023. - </w:t>
      </w:r>
      <w:r w:rsidR="00547C2A" w:rsidRPr="00D12B33">
        <w:rPr>
          <w:rFonts w:ascii="Times New Roman" w:hAnsi="Times New Roman" w:cs="Times New Roman"/>
          <w:sz w:val="28"/>
          <w:szCs w:val="28"/>
        </w:rPr>
        <w:t>559 с. </w:t>
      </w:r>
      <w:r w:rsidR="00843A34" w:rsidRPr="00D12B33">
        <w:rPr>
          <w:rFonts w:ascii="Times New Roman" w:hAnsi="Times New Roman" w:cs="Times New Roman"/>
          <w:sz w:val="28"/>
          <w:szCs w:val="28"/>
        </w:rPr>
        <w:t>-</w:t>
      </w:r>
      <w:r w:rsidR="00547C2A" w:rsidRPr="00D12B33">
        <w:rPr>
          <w:rFonts w:ascii="Times New Roman" w:hAnsi="Times New Roman" w:cs="Times New Roman"/>
          <w:sz w:val="28"/>
          <w:szCs w:val="28"/>
        </w:rPr>
        <w:t xml:space="preserve"> URL: https://urait.ru/bcode/533059 (дата обращения: 25.10.2023).</w:t>
      </w:r>
    </w:p>
    <w:p w14:paraId="134B644E" w14:textId="789AF2D3" w:rsidR="00547C2A" w:rsidRDefault="00952CEE" w:rsidP="00547C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47C2A" w:rsidRPr="00D12B33">
        <w:rPr>
          <w:rFonts w:ascii="Times New Roman" w:hAnsi="Times New Roman" w:cs="Times New Roman"/>
          <w:sz w:val="28"/>
          <w:szCs w:val="28"/>
        </w:rPr>
        <w:t>. Уланов, В. Л.  Организационное развитие компаний энергетического и сырьевого секторов эконом</w:t>
      </w:r>
      <w:r w:rsidR="00843A34" w:rsidRPr="00D12B33">
        <w:rPr>
          <w:rFonts w:ascii="Times New Roman" w:hAnsi="Times New Roman" w:cs="Times New Roman"/>
          <w:sz w:val="28"/>
          <w:szCs w:val="28"/>
        </w:rPr>
        <w:t>ики / В. Л. Уланов, 2023. -</w:t>
      </w:r>
      <w:r w:rsidR="00547C2A" w:rsidRPr="00D12B33">
        <w:rPr>
          <w:rFonts w:ascii="Times New Roman" w:hAnsi="Times New Roman" w:cs="Times New Roman"/>
          <w:sz w:val="28"/>
          <w:szCs w:val="28"/>
        </w:rPr>
        <w:t xml:space="preserve"> 312 с. </w:t>
      </w:r>
      <w:r w:rsidR="00843A34" w:rsidRPr="00D12B33">
        <w:rPr>
          <w:rFonts w:ascii="Times New Roman" w:hAnsi="Times New Roman" w:cs="Times New Roman"/>
          <w:sz w:val="28"/>
          <w:szCs w:val="28"/>
        </w:rPr>
        <w:t>-</w:t>
      </w:r>
      <w:r w:rsidR="00547C2A" w:rsidRPr="00D12B33">
        <w:rPr>
          <w:rFonts w:ascii="Times New Roman" w:hAnsi="Times New Roman" w:cs="Times New Roman"/>
          <w:sz w:val="28"/>
          <w:szCs w:val="28"/>
        </w:rPr>
        <w:t xml:space="preserve"> URL: https://urait.ru/bcode/520490 (дата обращения: 25.10.2023).</w:t>
      </w:r>
    </w:p>
    <w:p w14:paraId="480C4054" w14:textId="53EE9B66" w:rsidR="00952CEE" w:rsidRPr="00952CEE" w:rsidRDefault="00952CEE" w:rsidP="00952CEE">
      <w:pPr>
        <w:spacing w:after="0" w:line="360" w:lineRule="auto"/>
        <w:ind w:firstLine="709"/>
        <w:jc w:val="center"/>
        <w:rPr>
          <w:rFonts w:ascii="Times New Roman" w:hAnsi="Times New Roman" w:cs="Times New Roman"/>
          <w:b/>
          <w:sz w:val="28"/>
          <w:szCs w:val="28"/>
          <w:lang w:val="en-US"/>
        </w:rPr>
      </w:pPr>
      <w:r w:rsidRPr="00952CEE">
        <w:rPr>
          <w:rFonts w:ascii="Times New Roman" w:hAnsi="Times New Roman" w:cs="Times New Roman"/>
          <w:b/>
          <w:sz w:val="28"/>
          <w:szCs w:val="28"/>
          <w:lang w:val="en-US"/>
        </w:rPr>
        <w:t>LIST OF SOURCES:</w:t>
      </w:r>
    </w:p>
    <w:p w14:paraId="190CA5CB" w14:textId="77777777"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1. Federal Law No. 39-FZ of 25.02.1999 (as amended on 26.07.2017) "On Investment activities in the Russian Federation carried out in the form of capital investments" [Electronic resource] // Access mode: http://www.consultant.ru (accessed: 10/25/2023).</w:t>
      </w:r>
    </w:p>
    <w:p w14:paraId="154116F8" w14:textId="77777777"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2. Corporate management [Electronic resource] // Access mode: https://www.cfin.ru/finanalysis/invest/inv_monitoring.shtml (accessed 10/25/2023).</w:t>
      </w:r>
    </w:p>
    <w:p w14:paraId="7D1AE0BC" w14:textId="77777777"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 xml:space="preserve">3. </w:t>
      </w:r>
      <w:proofErr w:type="spellStart"/>
      <w:r w:rsidRPr="00952CEE">
        <w:rPr>
          <w:rFonts w:ascii="Times New Roman" w:hAnsi="Times New Roman" w:cs="Times New Roman"/>
          <w:sz w:val="28"/>
          <w:szCs w:val="28"/>
          <w:lang w:val="en-US"/>
        </w:rPr>
        <w:t>Borisova</w:t>
      </w:r>
      <w:proofErr w:type="spellEnd"/>
      <w:r w:rsidRPr="00952CEE">
        <w:rPr>
          <w:rFonts w:ascii="Times New Roman" w:hAnsi="Times New Roman" w:cs="Times New Roman"/>
          <w:sz w:val="28"/>
          <w:szCs w:val="28"/>
          <w:lang w:val="en-US"/>
        </w:rPr>
        <w:t xml:space="preserve">, O. V. Investments / O. V. </w:t>
      </w:r>
      <w:proofErr w:type="spellStart"/>
      <w:r w:rsidRPr="00952CEE">
        <w:rPr>
          <w:rFonts w:ascii="Times New Roman" w:hAnsi="Times New Roman" w:cs="Times New Roman"/>
          <w:sz w:val="28"/>
          <w:szCs w:val="28"/>
          <w:lang w:val="en-US"/>
        </w:rPr>
        <w:t>Borisova</w:t>
      </w:r>
      <w:proofErr w:type="spellEnd"/>
      <w:r w:rsidRPr="00952CEE">
        <w:rPr>
          <w:rFonts w:ascii="Times New Roman" w:hAnsi="Times New Roman" w:cs="Times New Roman"/>
          <w:sz w:val="28"/>
          <w:szCs w:val="28"/>
          <w:lang w:val="en-US"/>
        </w:rPr>
        <w:t xml:space="preserve">, N. I. </w:t>
      </w:r>
      <w:proofErr w:type="spellStart"/>
      <w:r w:rsidRPr="00952CEE">
        <w:rPr>
          <w:rFonts w:ascii="Times New Roman" w:hAnsi="Times New Roman" w:cs="Times New Roman"/>
          <w:sz w:val="28"/>
          <w:szCs w:val="28"/>
          <w:lang w:val="en-US"/>
        </w:rPr>
        <w:t>Malykh</w:t>
      </w:r>
      <w:proofErr w:type="spellEnd"/>
      <w:r w:rsidRPr="00952CEE">
        <w:rPr>
          <w:rFonts w:ascii="Times New Roman" w:hAnsi="Times New Roman" w:cs="Times New Roman"/>
          <w:sz w:val="28"/>
          <w:szCs w:val="28"/>
          <w:lang w:val="en-US"/>
        </w:rPr>
        <w:t xml:space="preserve">, L. V. </w:t>
      </w:r>
      <w:proofErr w:type="spellStart"/>
      <w:r w:rsidRPr="00952CEE">
        <w:rPr>
          <w:rFonts w:ascii="Times New Roman" w:hAnsi="Times New Roman" w:cs="Times New Roman"/>
          <w:sz w:val="28"/>
          <w:szCs w:val="28"/>
          <w:lang w:val="en-US"/>
        </w:rPr>
        <w:t>Oveshnikova</w:t>
      </w:r>
      <w:proofErr w:type="spellEnd"/>
      <w:r w:rsidRPr="00952CEE">
        <w:rPr>
          <w:rFonts w:ascii="Times New Roman" w:hAnsi="Times New Roman" w:cs="Times New Roman"/>
          <w:sz w:val="28"/>
          <w:szCs w:val="28"/>
          <w:lang w:val="en-US"/>
        </w:rPr>
        <w:t>., 2023. - 482 p. URL: https://urait.ru/bcode/532896 (accessed: 10/25/2023).</w:t>
      </w:r>
    </w:p>
    <w:p w14:paraId="0B2C98CA" w14:textId="77777777"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 xml:space="preserve">4. </w:t>
      </w:r>
      <w:proofErr w:type="spellStart"/>
      <w:r w:rsidRPr="00952CEE">
        <w:rPr>
          <w:rFonts w:ascii="Times New Roman" w:hAnsi="Times New Roman" w:cs="Times New Roman"/>
          <w:sz w:val="28"/>
          <w:szCs w:val="28"/>
          <w:lang w:val="en-US"/>
        </w:rPr>
        <w:t>Bychkova</w:t>
      </w:r>
      <w:proofErr w:type="spellEnd"/>
      <w:r w:rsidRPr="00952CEE">
        <w:rPr>
          <w:rFonts w:ascii="Times New Roman" w:hAnsi="Times New Roman" w:cs="Times New Roman"/>
          <w:sz w:val="28"/>
          <w:szCs w:val="28"/>
          <w:lang w:val="en-US"/>
        </w:rPr>
        <w:t xml:space="preserve">, S. G. Investment statistics / S. G. </w:t>
      </w:r>
      <w:proofErr w:type="spellStart"/>
      <w:r w:rsidRPr="00952CEE">
        <w:rPr>
          <w:rFonts w:ascii="Times New Roman" w:hAnsi="Times New Roman" w:cs="Times New Roman"/>
          <w:sz w:val="28"/>
          <w:szCs w:val="28"/>
          <w:lang w:val="en-US"/>
        </w:rPr>
        <w:t>Bychkova</w:t>
      </w:r>
      <w:proofErr w:type="spellEnd"/>
      <w:r w:rsidRPr="00952CEE">
        <w:rPr>
          <w:rFonts w:ascii="Times New Roman" w:hAnsi="Times New Roman" w:cs="Times New Roman"/>
          <w:sz w:val="28"/>
          <w:szCs w:val="28"/>
          <w:lang w:val="en-US"/>
        </w:rPr>
        <w:t xml:space="preserve">, L. S. </w:t>
      </w:r>
      <w:proofErr w:type="spellStart"/>
      <w:r w:rsidRPr="00952CEE">
        <w:rPr>
          <w:rFonts w:ascii="Times New Roman" w:hAnsi="Times New Roman" w:cs="Times New Roman"/>
          <w:sz w:val="28"/>
          <w:szCs w:val="28"/>
          <w:lang w:val="en-US"/>
        </w:rPr>
        <w:t>Parshintseva</w:t>
      </w:r>
      <w:proofErr w:type="spellEnd"/>
      <w:r w:rsidRPr="00952CEE">
        <w:rPr>
          <w:rFonts w:ascii="Times New Roman" w:hAnsi="Times New Roman" w:cs="Times New Roman"/>
          <w:sz w:val="28"/>
          <w:szCs w:val="28"/>
          <w:lang w:val="en-US"/>
        </w:rPr>
        <w:t>, 2023. - 55 p.  - URL: https://urait.ru/bcode/533917 (accessed: 10/25/2023).</w:t>
      </w:r>
    </w:p>
    <w:p w14:paraId="48EE4709" w14:textId="77777777"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 xml:space="preserve">5. </w:t>
      </w:r>
      <w:proofErr w:type="spellStart"/>
      <w:r w:rsidRPr="00952CEE">
        <w:rPr>
          <w:rFonts w:ascii="Times New Roman" w:hAnsi="Times New Roman" w:cs="Times New Roman"/>
          <w:sz w:val="28"/>
          <w:szCs w:val="28"/>
          <w:lang w:val="en-US"/>
        </w:rPr>
        <w:t>Kasyanenko</w:t>
      </w:r>
      <w:proofErr w:type="spellEnd"/>
      <w:r w:rsidRPr="00952CEE">
        <w:rPr>
          <w:rFonts w:ascii="Times New Roman" w:hAnsi="Times New Roman" w:cs="Times New Roman"/>
          <w:sz w:val="28"/>
          <w:szCs w:val="28"/>
          <w:lang w:val="en-US"/>
        </w:rPr>
        <w:t xml:space="preserve">, T. G. Economic assessment of investments / T. G. </w:t>
      </w:r>
      <w:proofErr w:type="spellStart"/>
      <w:r w:rsidRPr="00952CEE">
        <w:rPr>
          <w:rFonts w:ascii="Times New Roman" w:hAnsi="Times New Roman" w:cs="Times New Roman"/>
          <w:sz w:val="28"/>
          <w:szCs w:val="28"/>
          <w:lang w:val="en-US"/>
        </w:rPr>
        <w:t>Kasyanenko</w:t>
      </w:r>
      <w:proofErr w:type="spellEnd"/>
      <w:r w:rsidRPr="00952CEE">
        <w:rPr>
          <w:rFonts w:ascii="Times New Roman" w:hAnsi="Times New Roman" w:cs="Times New Roman"/>
          <w:sz w:val="28"/>
          <w:szCs w:val="28"/>
          <w:lang w:val="en-US"/>
        </w:rPr>
        <w:t xml:space="preserve">, G. A. </w:t>
      </w:r>
      <w:proofErr w:type="spellStart"/>
      <w:r w:rsidRPr="00952CEE">
        <w:rPr>
          <w:rFonts w:ascii="Times New Roman" w:hAnsi="Times New Roman" w:cs="Times New Roman"/>
          <w:sz w:val="28"/>
          <w:szCs w:val="28"/>
          <w:lang w:val="en-US"/>
        </w:rPr>
        <w:t>Makhovikova</w:t>
      </w:r>
      <w:proofErr w:type="spellEnd"/>
      <w:r w:rsidRPr="00952CEE">
        <w:rPr>
          <w:rFonts w:ascii="Times New Roman" w:hAnsi="Times New Roman" w:cs="Times New Roman"/>
          <w:sz w:val="28"/>
          <w:szCs w:val="28"/>
          <w:lang w:val="en-US"/>
        </w:rPr>
        <w:t>, 2023. - 559 p. - URL: https://urait.ru/bcode/533059 (accessed: 10/25/2023).</w:t>
      </w:r>
    </w:p>
    <w:p w14:paraId="6B628DA6" w14:textId="7828134F" w:rsidR="00952CEE" w:rsidRPr="00952CEE" w:rsidRDefault="00952CEE" w:rsidP="00952CEE">
      <w:pPr>
        <w:spacing w:after="0" w:line="360" w:lineRule="auto"/>
        <w:ind w:firstLine="709"/>
        <w:jc w:val="both"/>
        <w:rPr>
          <w:rFonts w:ascii="Times New Roman" w:hAnsi="Times New Roman" w:cs="Times New Roman"/>
          <w:sz w:val="28"/>
          <w:szCs w:val="28"/>
          <w:lang w:val="en-US"/>
        </w:rPr>
      </w:pPr>
      <w:r w:rsidRPr="00952CEE">
        <w:rPr>
          <w:rFonts w:ascii="Times New Roman" w:hAnsi="Times New Roman" w:cs="Times New Roman"/>
          <w:sz w:val="28"/>
          <w:szCs w:val="28"/>
          <w:lang w:val="en-US"/>
        </w:rPr>
        <w:t xml:space="preserve">6. </w:t>
      </w:r>
      <w:proofErr w:type="spellStart"/>
      <w:r w:rsidRPr="00952CEE">
        <w:rPr>
          <w:rFonts w:ascii="Times New Roman" w:hAnsi="Times New Roman" w:cs="Times New Roman"/>
          <w:sz w:val="28"/>
          <w:szCs w:val="28"/>
          <w:lang w:val="en-US"/>
        </w:rPr>
        <w:t>Ulanov</w:t>
      </w:r>
      <w:proofErr w:type="spellEnd"/>
      <w:r w:rsidRPr="00952CEE">
        <w:rPr>
          <w:rFonts w:ascii="Times New Roman" w:hAnsi="Times New Roman" w:cs="Times New Roman"/>
          <w:sz w:val="28"/>
          <w:szCs w:val="28"/>
          <w:lang w:val="en-US"/>
        </w:rPr>
        <w:t xml:space="preserve">, V. L. Organizational development of companies in the energy and raw materials sectors of the economy / V. L. </w:t>
      </w:r>
      <w:proofErr w:type="spellStart"/>
      <w:r w:rsidRPr="00952CEE">
        <w:rPr>
          <w:rFonts w:ascii="Times New Roman" w:hAnsi="Times New Roman" w:cs="Times New Roman"/>
          <w:sz w:val="28"/>
          <w:szCs w:val="28"/>
          <w:lang w:val="en-US"/>
        </w:rPr>
        <w:t>Ulanov</w:t>
      </w:r>
      <w:proofErr w:type="spellEnd"/>
      <w:r w:rsidRPr="00952CEE">
        <w:rPr>
          <w:rFonts w:ascii="Times New Roman" w:hAnsi="Times New Roman" w:cs="Times New Roman"/>
          <w:sz w:val="28"/>
          <w:szCs w:val="28"/>
          <w:lang w:val="en-US"/>
        </w:rPr>
        <w:t>, 2023. - 312 p. - URL: https://urait.ru/bcode/520490 (accessed: 10/25/2023).</w:t>
      </w:r>
    </w:p>
    <w:p w14:paraId="4E53B8A3" w14:textId="77777777" w:rsidR="007A732B" w:rsidRPr="00952CEE" w:rsidRDefault="007A732B" w:rsidP="007A732B">
      <w:pPr>
        <w:rPr>
          <w:rFonts w:ascii="Times New Roman" w:hAnsi="Times New Roman" w:cs="Times New Roman"/>
          <w:b/>
          <w:bCs/>
          <w:sz w:val="28"/>
          <w:lang w:val="en-US"/>
        </w:rPr>
      </w:pPr>
    </w:p>
    <w:p w14:paraId="1734382C" w14:textId="342646E8" w:rsidR="008841DB" w:rsidRPr="00952CEE" w:rsidRDefault="008841DB" w:rsidP="008841DB">
      <w:pPr>
        <w:rPr>
          <w:rFonts w:ascii="Times New Roman" w:hAnsi="Times New Roman" w:cs="Times New Roman"/>
          <w:sz w:val="24"/>
          <w:lang w:val="en-US"/>
        </w:rPr>
      </w:pPr>
      <w:bookmarkStart w:id="0" w:name="_GoBack"/>
      <w:bookmarkEnd w:id="0"/>
    </w:p>
    <w:sectPr w:rsidR="008841DB" w:rsidRPr="00952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ans-serif">
    <w:altName w:val="Segoe Print"/>
    <w:charset w:val="00"/>
    <w:family w:val="auto"/>
    <w:pitch w:val="default"/>
    <w:sig w:usb0="00000000" w:usb1="00000000" w:usb2="00000000"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A93"/>
    <w:multiLevelType w:val="hybridMultilevel"/>
    <w:tmpl w:val="93B65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41EA2"/>
    <w:multiLevelType w:val="multilevel"/>
    <w:tmpl w:val="D46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D3242"/>
    <w:multiLevelType w:val="hybridMultilevel"/>
    <w:tmpl w:val="FF74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05D7E"/>
    <w:multiLevelType w:val="hybridMultilevel"/>
    <w:tmpl w:val="6F56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407ED1"/>
    <w:multiLevelType w:val="hybridMultilevel"/>
    <w:tmpl w:val="0E16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DB"/>
    <w:rsid w:val="00057CC2"/>
    <w:rsid w:val="000B6D77"/>
    <w:rsid w:val="000C2247"/>
    <w:rsid w:val="000E039E"/>
    <w:rsid w:val="000F357F"/>
    <w:rsid w:val="0010372A"/>
    <w:rsid w:val="001A3F86"/>
    <w:rsid w:val="001A50AD"/>
    <w:rsid w:val="001B307D"/>
    <w:rsid w:val="001D4401"/>
    <w:rsid w:val="001F06C2"/>
    <w:rsid w:val="0021551D"/>
    <w:rsid w:val="00246CDD"/>
    <w:rsid w:val="00291265"/>
    <w:rsid w:val="002F35FE"/>
    <w:rsid w:val="00326AE8"/>
    <w:rsid w:val="00360CD9"/>
    <w:rsid w:val="003C2668"/>
    <w:rsid w:val="003D751C"/>
    <w:rsid w:val="003E7193"/>
    <w:rsid w:val="003F7E13"/>
    <w:rsid w:val="00547C2A"/>
    <w:rsid w:val="00550180"/>
    <w:rsid w:val="0060725C"/>
    <w:rsid w:val="00614702"/>
    <w:rsid w:val="00653E38"/>
    <w:rsid w:val="00657256"/>
    <w:rsid w:val="00663AD6"/>
    <w:rsid w:val="006969E5"/>
    <w:rsid w:val="006B2B3D"/>
    <w:rsid w:val="006C1BB9"/>
    <w:rsid w:val="006F69B4"/>
    <w:rsid w:val="00720F85"/>
    <w:rsid w:val="007905D9"/>
    <w:rsid w:val="007A732B"/>
    <w:rsid w:val="00843A34"/>
    <w:rsid w:val="008841DB"/>
    <w:rsid w:val="008B53A6"/>
    <w:rsid w:val="00952CEE"/>
    <w:rsid w:val="009A21AF"/>
    <w:rsid w:val="00A76E8C"/>
    <w:rsid w:val="00AC0897"/>
    <w:rsid w:val="00B0462D"/>
    <w:rsid w:val="00B108B4"/>
    <w:rsid w:val="00B51E2E"/>
    <w:rsid w:val="00B93BC8"/>
    <w:rsid w:val="00BE68FA"/>
    <w:rsid w:val="00CD194C"/>
    <w:rsid w:val="00D12B33"/>
    <w:rsid w:val="00D17DEF"/>
    <w:rsid w:val="00D86681"/>
    <w:rsid w:val="00E137D2"/>
    <w:rsid w:val="00ED5254"/>
    <w:rsid w:val="00F153F8"/>
    <w:rsid w:val="00F4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2DD0"/>
  <w15:chartTrackingRefBased/>
  <w15:docId w15:val="{DE9A0DEF-4357-4229-B631-830807E5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CD9"/>
    <w:rPr>
      <w:rFonts w:ascii="Times New Roman" w:hAnsi="Times New Roman" w:cs="Times New Roman"/>
      <w:sz w:val="24"/>
      <w:szCs w:val="24"/>
    </w:rPr>
  </w:style>
  <w:style w:type="paragraph" w:styleId="a4">
    <w:name w:val="List Paragraph"/>
    <w:basedOn w:val="a"/>
    <w:uiPriority w:val="34"/>
    <w:qFormat/>
    <w:rsid w:val="007A732B"/>
    <w:pPr>
      <w:ind w:left="720"/>
      <w:contextualSpacing/>
    </w:pPr>
  </w:style>
  <w:style w:type="character" w:styleId="a5">
    <w:name w:val="Hyperlink"/>
    <w:basedOn w:val="a0"/>
    <w:uiPriority w:val="99"/>
    <w:unhideWhenUsed/>
    <w:rsid w:val="007A732B"/>
    <w:rPr>
      <w:color w:val="0563C1" w:themeColor="hyperlink"/>
      <w:u w:val="single"/>
    </w:rPr>
  </w:style>
  <w:style w:type="character" w:styleId="a6">
    <w:name w:val="FollowedHyperlink"/>
    <w:basedOn w:val="a0"/>
    <w:uiPriority w:val="99"/>
    <w:semiHidden/>
    <w:unhideWhenUsed/>
    <w:rsid w:val="00607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56806">
      <w:bodyDiv w:val="1"/>
      <w:marLeft w:val="0"/>
      <w:marRight w:val="0"/>
      <w:marTop w:val="0"/>
      <w:marBottom w:val="0"/>
      <w:divBdr>
        <w:top w:val="none" w:sz="0" w:space="0" w:color="auto"/>
        <w:left w:val="none" w:sz="0" w:space="0" w:color="auto"/>
        <w:bottom w:val="none" w:sz="0" w:space="0" w:color="auto"/>
        <w:right w:val="none" w:sz="0" w:space="0" w:color="auto"/>
      </w:divBdr>
    </w:div>
    <w:div w:id="15852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0;&#1073;&#1086;&#1073;&#1091;&#1089;\Downloads\Inv2-1%20(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40;&#1073;&#1086;&#1073;&#1091;&#1089;\Downloads\Inv2-1%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3;&#1086;&#1073;&#1091;&#1089;\Downloads\Inv2-1%20(1).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73;&#1086;&#1073;&#1091;&#1089;\Downloads\inv2-2%20(1)%20(2)%20(&#1040;&#1074;&#1090;&#1086;&#1089;&#1086;&#1093;&#1088;&#1072;&#1085;&#1077;&#1085;&#1085;&#1099;&#1081;)%20&#1080;&#1089;&#1087;&#1088;.xls"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73;&#1086;&#1073;&#1091;&#1089;\AppData\Roaming\Microsoft\Excel\inv2-2%20(1)%20(2)%20(version%201).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73;&#1086;&#1073;&#1091;&#1089;\AppData\Roaming\Microsoft\Excel\inv2-2%20(1)%20(2)%20(version%201).xls"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0;&#1073;&#1086;&#1073;&#1091;&#1089;\AppData\Roaming\Microsoft\Excel\inv2-2%20(1)%20(2)%20(version%201).xls"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0;&#1073;&#1086;&#1073;&#1091;&#1089;\AppData\Roaming\Microsoft\Excel\inv2-2%20(1)%20(2)%20(version%201).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Российсская</a:t>
            </a:r>
            <a:r>
              <a:rPr lang="ru-RU" b="1" baseline="0">
                <a:solidFill>
                  <a:sysClr val="windowText" lastClr="000000"/>
                </a:solidFill>
              </a:rPr>
              <a:t> Федерация</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территории!$B$111:$S$111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территории!$B$112:$S$112</c:f>
              <c:numCache>
                <c:formatCode>0.0</c:formatCode>
                <c:ptCount val="18"/>
                <c:pt idx="0">
                  <c:v>21.7</c:v>
                </c:pt>
                <c:pt idx="1">
                  <c:v>21</c:v>
                </c:pt>
                <c:pt idx="2">
                  <c:v>20.409619462607914</c:v>
                </c:pt>
                <c:pt idx="3">
                  <c:v>21.152629382379835</c:v>
                </c:pt>
                <c:pt idx="4">
                  <c:v>18.394605968868362</c:v>
                </c:pt>
                <c:pt idx="5">
                  <c:v>18.789947417628547</c:v>
                </c:pt>
                <c:pt idx="6">
                  <c:v>19.342805948703415</c:v>
                </c:pt>
                <c:pt idx="7">
                  <c:v>19.47929112011882</c:v>
                </c:pt>
                <c:pt idx="8">
                  <c:v>18.76014210692151</c:v>
                </c:pt>
                <c:pt idx="9">
                  <c:v>17.399999999999999</c:v>
                </c:pt>
                <c:pt idx="10" formatCode="General">
                  <c:v>17.3</c:v>
                </c:pt>
                <c:pt idx="11" formatCode="General">
                  <c:v>16.3</c:v>
                </c:pt>
                <c:pt idx="12">
                  <c:v>16.100000000000001</c:v>
                </c:pt>
                <c:pt idx="13">
                  <c:v>15.5</c:v>
                </c:pt>
                <c:pt idx="14">
                  <c:v>14.7</c:v>
                </c:pt>
                <c:pt idx="15">
                  <c:v>15.7</c:v>
                </c:pt>
                <c:pt idx="16">
                  <c:v>14.568211327021755</c:v>
                </c:pt>
                <c:pt idx="17">
                  <c:v>13.681637684595957</c:v>
                </c:pt>
              </c:numCache>
            </c:numRef>
          </c:val>
          <c:extLst>
            <c:ext xmlns:c16="http://schemas.microsoft.com/office/drawing/2014/chart" uri="{C3380CC4-5D6E-409C-BE32-E72D297353CC}">
              <c16:uniqueId val="{00000000-087D-4AD8-9375-9A2CE84BA911}"/>
            </c:ext>
          </c:extLst>
        </c:ser>
        <c:dLbls>
          <c:showLegendKey val="0"/>
          <c:showVal val="0"/>
          <c:showCatName val="0"/>
          <c:showSerName val="0"/>
          <c:showPercent val="0"/>
          <c:showBubbleSize val="0"/>
        </c:dLbls>
        <c:gapWidth val="44"/>
        <c:overlap val="-27"/>
        <c:axId val="263003072"/>
        <c:axId val="1"/>
      </c:barChart>
      <c:catAx>
        <c:axId val="26300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300307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Южный Федеральный округ</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территории!$B$133:$S$133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территории!$B$134:$S$134</c:f>
              <c:numCache>
                <c:formatCode>0.0</c:formatCode>
                <c:ptCount val="18"/>
                <c:pt idx="0">
                  <c:v>22.527964506621426</c:v>
                </c:pt>
                <c:pt idx="1">
                  <c:v>23.230115244118505</c:v>
                </c:pt>
                <c:pt idx="2">
                  <c:v>22.825153214505889</c:v>
                </c:pt>
                <c:pt idx="3">
                  <c:v>24.172602725239283</c:v>
                </c:pt>
                <c:pt idx="4">
                  <c:v>16.880593436923171</c:v>
                </c:pt>
                <c:pt idx="5">
                  <c:v>19.425414920034459</c:v>
                </c:pt>
                <c:pt idx="6">
                  <c:v>19.938777442259131</c:v>
                </c:pt>
                <c:pt idx="7">
                  <c:v>19.328794716339548</c:v>
                </c:pt>
                <c:pt idx="8">
                  <c:v>15.566094535767549</c:v>
                </c:pt>
                <c:pt idx="9">
                  <c:v>14.8</c:v>
                </c:pt>
                <c:pt idx="10" formatCode="General">
                  <c:v>14.1</c:v>
                </c:pt>
                <c:pt idx="11" formatCode="General">
                  <c:v>18.600000000000001</c:v>
                </c:pt>
                <c:pt idx="12">
                  <c:v>16.100000000000001</c:v>
                </c:pt>
                <c:pt idx="13">
                  <c:v>16.100000000000001</c:v>
                </c:pt>
                <c:pt idx="14">
                  <c:v>17</c:v>
                </c:pt>
                <c:pt idx="15">
                  <c:v>17.2</c:v>
                </c:pt>
                <c:pt idx="16">
                  <c:v>18.838626461215007</c:v>
                </c:pt>
                <c:pt idx="17">
                  <c:v>16.772097021671385</c:v>
                </c:pt>
              </c:numCache>
            </c:numRef>
          </c:val>
          <c:extLst>
            <c:ext xmlns:c16="http://schemas.microsoft.com/office/drawing/2014/chart" uri="{C3380CC4-5D6E-409C-BE32-E72D297353CC}">
              <c16:uniqueId val="{00000000-EC73-408B-B5C8-D1D7473FDF53}"/>
            </c:ext>
          </c:extLst>
        </c:ser>
        <c:dLbls>
          <c:showLegendKey val="0"/>
          <c:showVal val="0"/>
          <c:showCatName val="0"/>
          <c:showSerName val="0"/>
          <c:showPercent val="0"/>
          <c:showBubbleSize val="0"/>
        </c:dLbls>
        <c:gapWidth val="44"/>
        <c:overlap val="-27"/>
        <c:axId val="263007992"/>
        <c:axId val="1"/>
      </c:barChart>
      <c:catAx>
        <c:axId val="26300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300799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Краснодарский край</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территории!$B$152:$S$152</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территории!$B$153:$S$153</c:f>
              <c:numCache>
                <c:formatCode>0.0</c:formatCode>
                <c:ptCount val="18"/>
                <c:pt idx="0">
                  <c:v>25.816406015983322</c:v>
                </c:pt>
                <c:pt idx="1">
                  <c:v>29.3</c:v>
                </c:pt>
                <c:pt idx="2">
                  <c:v>21.799574832921561</c:v>
                </c:pt>
                <c:pt idx="3">
                  <c:v>20.015917842607177</c:v>
                </c:pt>
                <c:pt idx="4">
                  <c:v>15.654805777641867</c:v>
                </c:pt>
                <c:pt idx="5">
                  <c:v>15.445928011801172</c:v>
                </c:pt>
                <c:pt idx="6">
                  <c:v>15.381791490203728</c:v>
                </c:pt>
                <c:pt idx="7">
                  <c:v>16.385717632996485</c:v>
                </c:pt>
                <c:pt idx="8">
                  <c:v>12.872124748014341</c:v>
                </c:pt>
                <c:pt idx="9">
                  <c:v>11.3</c:v>
                </c:pt>
                <c:pt idx="10" formatCode="General">
                  <c:v>12.1</c:v>
                </c:pt>
                <c:pt idx="11" formatCode="General">
                  <c:v>17.8</c:v>
                </c:pt>
                <c:pt idx="12">
                  <c:v>14.9</c:v>
                </c:pt>
                <c:pt idx="13">
                  <c:v>16.2</c:v>
                </c:pt>
                <c:pt idx="14">
                  <c:v>17.7</c:v>
                </c:pt>
                <c:pt idx="15">
                  <c:v>16.899999999999999</c:v>
                </c:pt>
                <c:pt idx="16">
                  <c:v>17.998823991780561</c:v>
                </c:pt>
                <c:pt idx="17">
                  <c:v>14.235986216605275</c:v>
                </c:pt>
              </c:numCache>
            </c:numRef>
          </c:val>
          <c:extLst>
            <c:ext xmlns:c16="http://schemas.microsoft.com/office/drawing/2014/chart" uri="{C3380CC4-5D6E-409C-BE32-E72D297353CC}">
              <c16:uniqueId val="{00000000-6D7E-4335-B11C-2ECEABEE9340}"/>
            </c:ext>
          </c:extLst>
        </c:ser>
        <c:dLbls>
          <c:showLegendKey val="0"/>
          <c:showVal val="0"/>
          <c:showCatName val="0"/>
          <c:showSerName val="0"/>
          <c:showPercent val="0"/>
          <c:showBubbleSize val="0"/>
        </c:dLbls>
        <c:gapWidth val="44"/>
        <c:overlap val="-27"/>
        <c:axId val="316016688"/>
        <c:axId val="1"/>
      </c:barChart>
      <c:catAx>
        <c:axId val="31601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1601668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оквэд!$E$72:$V$72</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оквэд!$E$73:$V$73</c:f>
              <c:numCache>
                <c:formatCode>0.0</c:formatCode>
                <c:ptCount val="18"/>
                <c:pt idx="0">
                  <c:v>22.202279798745717</c:v>
                </c:pt>
                <c:pt idx="1">
                  <c:v>19.8</c:v>
                </c:pt>
                <c:pt idx="2">
                  <c:v>20.656074412885705</c:v>
                </c:pt>
                <c:pt idx="3">
                  <c:v>18.934356180167423</c:v>
                </c:pt>
                <c:pt idx="4">
                  <c:v>17.800034097099076</c:v>
                </c:pt>
                <c:pt idx="5">
                  <c:v>17.020544157264098</c:v>
                </c:pt>
                <c:pt idx="6">
                  <c:v>16.940466297934162</c:v>
                </c:pt>
                <c:pt idx="7">
                  <c:v>14.509987964574684</c:v>
                </c:pt>
                <c:pt idx="8">
                  <c:v>17.378514101919667</c:v>
                </c:pt>
                <c:pt idx="9">
                  <c:v>15.855928669137317</c:v>
                </c:pt>
                <c:pt idx="10">
                  <c:v>14.343622529044445</c:v>
                </c:pt>
                <c:pt idx="11">
                  <c:v>16.937234681202789</c:v>
                </c:pt>
                <c:pt idx="12" formatCode="General">
                  <c:v>33.1</c:v>
                </c:pt>
                <c:pt idx="13">
                  <c:v>23.4</c:v>
                </c:pt>
                <c:pt idx="14" formatCode="General">
                  <c:v>31.3</c:v>
                </c:pt>
                <c:pt idx="15">
                  <c:v>29.6</c:v>
                </c:pt>
                <c:pt idx="16">
                  <c:v>28.4</c:v>
                </c:pt>
                <c:pt idx="17">
                  <c:v>28.5</c:v>
                </c:pt>
              </c:numCache>
            </c:numRef>
          </c:val>
          <c:extLst>
            <c:ext xmlns:c16="http://schemas.microsoft.com/office/drawing/2014/chart" uri="{C3380CC4-5D6E-409C-BE32-E72D297353CC}">
              <c16:uniqueId val="{00000000-E4A8-4CAD-BC17-4DA290F0AA01}"/>
            </c:ext>
          </c:extLst>
        </c:ser>
        <c:dLbls>
          <c:showLegendKey val="0"/>
          <c:showVal val="0"/>
          <c:showCatName val="0"/>
          <c:showSerName val="0"/>
          <c:showPercent val="0"/>
          <c:showBubbleSize val="0"/>
        </c:dLbls>
        <c:gapWidth val="44"/>
        <c:overlap val="-27"/>
        <c:axId val="400394304"/>
        <c:axId val="400395288"/>
      </c:barChart>
      <c:catAx>
        <c:axId val="4003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00395288"/>
        <c:crosses val="autoZero"/>
        <c:auto val="1"/>
        <c:lblAlgn val="ctr"/>
        <c:lblOffset val="100"/>
        <c:noMultiLvlLbl val="0"/>
      </c:catAx>
      <c:valAx>
        <c:axId val="400395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00394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оквэд!$B$85:$S$85</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оквэд!$B$86:$S$86</c:f>
              <c:numCache>
                <c:formatCode>0.0</c:formatCode>
                <c:ptCount val="18"/>
                <c:pt idx="0">
                  <c:v>34.549773908718727</c:v>
                </c:pt>
                <c:pt idx="1">
                  <c:v>32.799999999999997</c:v>
                </c:pt>
                <c:pt idx="2">
                  <c:v>40.788507875402317</c:v>
                </c:pt>
                <c:pt idx="3">
                  <c:v>19.130029279553128</c:v>
                </c:pt>
                <c:pt idx="4">
                  <c:v>31.768842197024416</c:v>
                </c:pt>
                <c:pt idx="5">
                  <c:v>35.063312718383429</c:v>
                </c:pt>
                <c:pt idx="6">
                  <c:v>24.964533798728226</c:v>
                </c:pt>
                <c:pt idx="7">
                  <c:v>28.767547580076702</c:v>
                </c:pt>
                <c:pt idx="8">
                  <c:v>23.38659284033762</c:v>
                </c:pt>
                <c:pt idx="9">
                  <c:v>36.939912872026319</c:v>
                </c:pt>
                <c:pt idx="10">
                  <c:v>24.813050902683699</c:v>
                </c:pt>
                <c:pt idx="11">
                  <c:v>53.254464443649539</c:v>
                </c:pt>
                <c:pt idx="12">
                  <c:v>21.2</c:v>
                </c:pt>
                <c:pt idx="13" formatCode="General">
                  <c:v>8.4</c:v>
                </c:pt>
                <c:pt idx="14">
                  <c:v>9</c:v>
                </c:pt>
                <c:pt idx="15">
                  <c:v>2.8</c:v>
                </c:pt>
                <c:pt idx="16">
                  <c:v>1.9</c:v>
                </c:pt>
                <c:pt idx="17">
                  <c:v>1.3</c:v>
                </c:pt>
              </c:numCache>
            </c:numRef>
          </c:val>
          <c:extLst>
            <c:ext xmlns:c16="http://schemas.microsoft.com/office/drawing/2014/chart" uri="{C3380CC4-5D6E-409C-BE32-E72D297353CC}">
              <c16:uniqueId val="{00000000-64BA-4AFE-9B04-BAEF40C58182}"/>
            </c:ext>
          </c:extLst>
        </c:ser>
        <c:dLbls>
          <c:showLegendKey val="0"/>
          <c:showVal val="0"/>
          <c:showCatName val="0"/>
          <c:showSerName val="0"/>
          <c:showPercent val="0"/>
          <c:showBubbleSize val="0"/>
        </c:dLbls>
        <c:gapWidth val="44"/>
        <c:overlap val="-27"/>
        <c:axId val="410897264"/>
        <c:axId val="410906448"/>
      </c:barChart>
      <c:catAx>
        <c:axId val="41089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0906448"/>
        <c:crosses val="autoZero"/>
        <c:auto val="1"/>
        <c:lblAlgn val="ctr"/>
        <c:lblOffset val="100"/>
        <c:noMultiLvlLbl val="0"/>
      </c:catAx>
      <c:valAx>
        <c:axId val="410906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089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оквэд!$B$78:$S$78</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оквэд!$B$79:$S$79</c:f>
              <c:numCache>
                <c:formatCode>0.0</c:formatCode>
                <c:ptCount val="18"/>
                <c:pt idx="0">
                  <c:v>15.769492782658734</c:v>
                </c:pt>
                <c:pt idx="1">
                  <c:v>15.1</c:v>
                </c:pt>
                <c:pt idx="2">
                  <c:v>14.624579200228968</c:v>
                </c:pt>
                <c:pt idx="3">
                  <c:v>13.304672970181159</c:v>
                </c:pt>
                <c:pt idx="4">
                  <c:v>14.207374859306732</c:v>
                </c:pt>
                <c:pt idx="5">
                  <c:v>15.518652227645088</c:v>
                </c:pt>
                <c:pt idx="6">
                  <c:v>11.41932705079212</c:v>
                </c:pt>
                <c:pt idx="7">
                  <c:v>11.928613161940955</c:v>
                </c:pt>
                <c:pt idx="8">
                  <c:v>8.6737497700337247</c:v>
                </c:pt>
                <c:pt idx="9">
                  <c:v>8.4124051960978559</c:v>
                </c:pt>
                <c:pt idx="10">
                  <c:v>8.6471454432634278</c:v>
                </c:pt>
                <c:pt idx="11">
                  <c:v>8.8749386455425725</c:v>
                </c:pt>
                <c:pt idx="12">
                  <c:v>10.3</c:v>
                </c:pt>
                <c:pt idx="13" formatCode="General">
                  <c:v>9.1999999999999993</c:v>
                </c:pt>
                <c:pt idx="14">
                  <c:v>6.3</c:v>
                </c:pt>
                <c:pt idx="15">
                  <c:v>6</c:v>
                </c:pt>
                <c:pt idx="16">
                  <c:v>7.1</c:v>
                </c:pt>
                <c:pt idx="17">
                  <c:v>7.3</c:v>
                </c:pt>
              </c:numCache>
            </c:numRef>
          </c:val>
          <c:extLst>
            <c:ext xmlns:c16="http://schemas.microsoft.com/office/drawing/2014/chart" uri="{C3380CC4-5D6E-409C-BE32-E72D297353CC}">
              <c16:uniqueId val="{00000000-8EE5-4522-9F58-DD939CDD9CD6}"/>
            </c:ext>
          </c:extLst>
        </c:ser>
        <c:dLbls>
          <c:showLegendKey val="0"/>
          <c:showVal val="0"/>
          <c:showCatName val="0"/>
          <c:showSerName val="0"/>
          <c:showPercent val="0"/>
          <c:showBubbleSize val="0"/>
        </c:dLbls>
        <c:gapWidth val="44"/>
        <c:overlap val="-27"/>
        <c:axId val="410920224"/>
        <c:axId val="410920552"/>
      </c:barChart>
      <c:catAx>
        <c:axId val="41092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0920552"/>
        <c:crosses val="autoZero"/>
        <c:auto val="1"/>
        <c:lblAlgn val="ctr"/>
        <c:lblOffset val="100"/>
        <c:noMultiLvlLbl val="0"/>
      </c:catAx>
      <c:valAx>
        <c:axId val="410920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0920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оквэд!$B$89:$S$89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оквэд!$B$90:$S$90</c:f>
              <c:numCache>
                <c:formatCode>0.0</c:formatCode>
                <c:ptCount val="18"/>
                <c:pt idx="0">
                  <c:v>9.4898675750445562</c:v>
                </c:pt>
                <c:pt idx="1">
                  <c:v>14</c:v>
                </c:pt>
                <c:pt idx="2">
                  <c:v>15.827174596783442</c:v>
                </c:pt>
                <c:pt idx="3">
                  <c:v>16.598742362068737</c:v>
                </c:pt>
                <c:pt idx="4">
                  <c:v>9.4888437039674329</c:v>
                </c:pt>
                <c:pt idx="5">
                  <c:v>9.5872230506003042</c:v>
                </c:pt>
                <c:pt idx="6">
                  <c:v>10.707091143435278</c:v>
                </c:pt>
                <c:pt idx="7">
                  <c:v>14.557750159696162</c:v>
                </c:pt>
                <c:pt idx="8">
                  <c:v>12.11288910564876</c:v>
                </c:pt>
                <c:pt idx="9">
                  <c:v>10.007016646836771</c:v>
                </c:pt>
                <c:pt idx="10">
                  <c:v>11.366488849101323</c:v>
                </c:pt>
                <c:pt idx="11">
                  <c:v>11.763134944706458</c:v>
                </c:pt>
                <c:pt idx="12">
                  <c:v>26.9</c:v>
                </c:pt>
                <c:pt idx="13" formatCode="General">
                  <c:v>7.3</c:v>
                </c:pt>
                <c:pt idx="14">
                  <c:v>19.899999999999999</c:v>
                </c:pt>
                <c:pt idx="15">
                  <c:v>16.100000000000001</c:v>
                </c:pt>
                <c:pt idx="16">
                  <c:v>16.7</c:v>
                </c:pt>
                <c:pt idx="17">
                  <c:v>15.9</c:v>
                </c:pt>
              </c:numCache>
            </c:numRef>
          </c:val>
          <c:extLst>
            <c:ext xmlns:c16="http://schemas.microsoft.com/office/drawing/2014/chart" uri="{C3380CC4-5D6E-409C-BE32-E72D297353CC}">
              <c16:uniqueId val="{00000000-4440-4A98-AC03-3BC532B2AE03}"/>
            </c:ext>
          </c:extLst>
        </c:ser>
        <c:dLbls>
          <c:showLegendKey val="0"/>
          <c:showVal val="0"/>
          <c:showCatName val="0"/>
          <c:showSerName val="0"/>
          <c:showPercent val="0"/>
          <c:showBubbleSize val="0"/>
        </c:dLbls>
        <c:gapWidth val="44"/>
        <c:overlap val="-27"/>
        <c:axId val="415122312"/>
        <c:axId val="415116080"/>
      </c:barChart>
      <c:catAx>
        <c:axId val="41512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5116080"/>
        <c:crosses val="autoZero"/>
        <c:auto val="1"/>
        <c:lblAlgn val="ctr"/>
        <c:lblOffset val="100"/>
        <c:noMultiLvlLbl val="0"/>
      </c:catAx>
      <c:valAx>
        <c:axId val="415116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5122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оквэд!$B$81:$S$81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оквэд!$B$82:$S$82</c:f>
              <c:numCache>
                <c:formatCode>0.0</c:formatCode>
                <c:ptCount val="18"/>
                <c:pt idx="0">
                  <c:v>10.592153971964295</c:v>
                </c:pt>
                <c:pt idx="1">
                  <c:v>7.1</c:v>
                </c:pt>
                <c:pt idx="2">
                  <c:v>7.3966007723565639</c:v>
                </c:pt>
                <c:pt idx="3">
                  <c:v>7.8873349113135527</c:v>
                </c:pt>
                <c:pt idx="4">
                  <c:v>9.8762825534157805</c:v>
                </c:pt>
                <c:pt idx="5">
                  <c:v>15.429811797460985</c:v>
                </c:pt>
                <c:pt idx="6">
                  <c:v>16.406527172432629</c:v>
                </c:pt>
                <c:pt idx="7">
                  <c:v>13.128506946895502</c:v>
                </c:pt>
                <c:pt idx="8">
                  <c:v>15.712419985535108</c:v>
                </c:pt>
                <c:pt idx="9">
                  <c:v>13.671061880464025</c:v>
                </c:pt>
                <c:pt idx="10">
                  <c:v>10.657079862414861</c:v>
                </c:pt>
                <c:pt idx="11">
                  <c:v>11.994115611133203</c:v>
                </c:pt>
                <c:pt idx="12" formatCode="General">
                  <c:v>13.3</c:v>
                </c:pt>
                <c:pt idx="13" formatCode="General">
                  <c:v>8.6</c:v>
                </c:pt>
                <c:pt idx="14">
                  <c:v>8.1999999999999993</c:v>
                </c:pt>
                <c:pt idx="15">
                  <c:v>5.2</c:v>
                </c:pt>
                <c:pt idx="16">
                  <c:v>7.2</c:v>
                </c:pt>
                <c:pt idx="17">
                  <c:v>8.8000000000000007</c:v>
                </c:pt>
              </c:numCache>
            </c:numRef>
          </c:val>
          <c:extLst>
            <c:ext xmlns:c16="http://schemas.microsoft.com/office/drawing/2014/chart" uri="{C3380CC4-5D6E-409C-BE32-E72D297353CC}">
              <c16:uniqueId val="{00000000-E479-42D0-89E5-5F8A223A70FF}"/>
            </c:ext>
          </c:extLst>
        </c:ser>
        <c:dLbls>
          <c:showLegendKey val="0"/>
          <c:showVal val="0"/>
          <c:showCatName val="0"/>
          <c:showSerName val="0"/>
          <c:showPercent val="0"/>
          <c:showBubbleSize val="0"/>
        </c:dLbls>
        <c:gapWidth val="44"/>
        <c:overlap val="-27"/>
        <c:axId val="416581640"/>
        <c:axId val="416580984"/>
      </c:barChart>
      <c:catAx>
        <c:axId val="41658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6580984"/>
        <c:crosses val="autoZero"/>
        <c:auto val="1"/>
        <c:lblAlgn val="ctr"/>
        <c:lblOffset val="100"/>
        <c:noMultiLvlLbl val="0"/>
      </c:catAx>
      <c:valAx>
        <c:axId val="416580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16581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0.06308</cdr:x>
      <cdr:y>0.38841</cdr:y>
    </cdr:from>
    <cdr:to>
      <cdr:x>0.97781</cdr:x>
      <cdr:y>0.39081</cdr:y>
    </cdr:to>
    <cdr:cxnSp macro="">
      <cdr:nvCxnSpPr>
        <cdr:cNvPr id="4" name="Прямая соединительная линия 3"/>
        <cdr:cNvCxnSpPr/>
      </cdr:nvCxnSpPr>
      <cdr:spPr>
        <a:xfrm xmlns:a="http://schemas.openxmlformats.org/drawingml/2006/main">
          <a:off x="398585" y="949570"/>
          <a:ext cx="5779477" cy="586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0.06254</cdr:x>
      <cdr:y>0.4651</cdr:y>
    </cdr:from>
    <cdr:to>
      <cdr:x>0.97495</cdr:x>
      <cdr:y>0.46764</cdr:y>
    </cdr:to>
    <cdr:cxnSp macro="">
      <cdr:nvCxnSpPr>
        <cdr:cNvPr id="3" name="Прямая соединительная линия 2"/>
        <cdr:cNvCxnSpPr/>
      </cdr:nvCxnSpPr>
      <cdr:spPr>
        <a:xfrm xmlns:a="http://schemas.openxmlformats.org/drawingml/2006/main">
          <a:off x="398585" y="1072662"/>
          <a:ext cx="5814646" cy="5861"/>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0.06153</cdr:x>
      <cdr:y>0.53931</cdr:y>
    </cdr:from>
    <cdr:to>
      <cdr:x>0.97901</cdr:x>
      <cdr:y>0.54527</cdr:y>
    </cdr:to>
    <cdr:cxnSp macro="">
      <cdr:nvCxnSpPr>
        <cdr:cNvPr id="5" name="Прямая соединительная линия 4"/>
        <cdr:cNvCxnSpPr/>
      </cdr:nvCxnSpPr>
      <cdr:spPr>
        <a:xfrm xmlns:a="http://schemas.openxmlformats.org/drawingml/2006/main" flipV="1">
          <a:off x="392723" y="1060939"/>
          <a:ext cx="5855677" cy="11724"/>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Абобус</dc:creator>
  <cp:keywords/>
  <dc:description/>
  <cp:lastModifiedBy>Абобус</cp:lastModifiedBy>
  <cp:revision>2</cp:revision>
  <dcterms:created xsi:type="dcterms:W3CDTF">2023-11-03T15:05:00Z</dcterms:created>
  <dcterms:modified xsi:type="dcterms:W3CDTF">2023-11-03T15:05:00Z</dcterms:modified>
</cp:coreProperties>
</file>