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CD" w:rsidRPr="007849CD" w:rsidRDefault="007849CD" w:rsidP="00906462">
      <w:pPr>
        <w:spacing w:after="0" w:line="240" w:lineRule="auto"/>
        <w:ind w:left="-142"/>
        <w:rPr>
          <w:rFonts w:ascii="Times New Roman" w:hAnsi="Times New Roman" w:cs="Times New Roman"/>
          <w:b/>
          <w:sz w:val="24"/>
        </w:rPr>
      </w:pPr>
      <w:r w:rsidRPr="007849CD">
        <w:rPr>
          <w:rFonts w:ascii="Times New Roman" w:hAnsi="Times New Roman" w:cs="Times New Roman"/>
          <w:b/>
          <w:sz w:val="24"/>
        </w:rPr>
        <w:t>УДК</w:t>
      </w:r>
      <w:r w:rsidR="00021BC9">
        <w:rPr>
          <w:rFonts w:ascii="Times New Roman" w:hAnsi="Times New Roman" w:cs="Times New Roman"/>
          <w:b/>
          <w:sz w:val="24"/>
        </w:rPr>
        <w:t xml:space="preserve"> </w:t>
      </w:r>
      <w:r w:rsidR="00021BC9" w:rsidRPr="00021BC9">
        <w:rPr>
          <w:rFonts w:ascii="Times New Roman" w:hAnsi="Times New Roman" w:cs="Times New Roman"/>
          <w:b/>
          <w:sz w:val="24"/>
        </w:rPr>
        <w:t>330.567.28(470)«2014/2023»</w:t>
      </w:r>
    </w:p>
    <w:p w:rsidR="00021BC9" w:rsidRDefault="00021BC9" w:rsidP="007849CD">
      <w:pPr>
        <w:spacing w:after="0" w:line="240" w:lineRule="auto"/>
        <w:ind w:firstLine="709"/>
        <w:jc w:val="center"/>
        <w:rPr>
          <w:rFonts w:ascii="Times New Roman" w:hAnsi="Times New Roman" w:cs="Times New Roman"/>
          <w:b/>
          <w:sz w:val="28"/>
        </w:rPr>
      </w:pPr>
    </w:p>
    <w:p w:rsidR="007849CD" w:rsidRDefault="007849CD" w:rsidP="007849CD">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Махова А.В., Макарова А.Р.</w:t>
      </w:r>
    </w:p>
    <w:p w:rsidR="00BF3822" w:rsidRDefault="00BF3822" w:rsidP="007849CD">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АНАЛИЗ РАСПОЛАГАЕМЫХ РЕСУРСОВ ДОМАШНИХ ХОЗЯЙСТВ ГОРОДСКОГО И СЕЛЬСКОГО ТИПА РОССИИ</w:t>
      </w:r>
    </w:p>
    <w:p w:rsidR="005E683B" w:rsidRDefault="00BF3822" w:rsidP="007849C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rPr>
        <w:t>В 2014–2023 ГГ.</w:t>
      </w:r>
      <w:r w:rsidR="00157467">
        <w:rPr>
          <w:rFonts w:ascii="Times New Roman" w:hAnsi="Times New Roman" w:cs="Times New Roman"/>
          <w:b/>
          <w:sz w:val="28"/>
        </w:rPr>
        <w:br/>
      </w:r>
    </w:p>
    <w:p w:rsidR="007849CD" w:rsidRDefault="00310AB8" w:rsidP="00543694">
      <w:pPr>
        <w:spacing w:after="0" w:line="360" w:lineRule="auto"/>
        <w:ind w:firstLine="709"/>
        <w:jc w:val="both"/>
        <w:rPr>
          <w:rFonts w:ascii="Times New Roman" w:hAnsi="Times New Roman" w:cs="Times New Roman"/>
          <w:b/>
          <w:sz w:val="28"/>
          <w:szCs w:val="28"/>
        </w:rPr>
      </w:pPr>
      <w:r w:rsidRPr="00310AB8">
        <w:rPr>
          <w:rFonts w:ascii="Times New Roman" w:hAnsi="Times New Roman" w:cs="Times New Roman"/>
          <w:b/>
          <w:sz w:val="28"/>
          <w:szCs w:val="28"/>
        </w:rPr>
        <w:t xml:space="preserve">АННОТАЦИЯ: </w:t>
      </w:r>
      <w:r w:rsidR="007849CD">
        <w:rPr>
          <w:rFonts w:ascii="Times New Roman" w:hAnsi="Times New Roman" w:cs="Times New Roman"/>
          <w:sz w:val="28"/>
          <w:szCs w:val="28"/>
        </w:rPr>
        <w:t>М</w:t>
      </w:r>
      <w:r w:rsidRPr="00310AB8">
        <w:rPr>
          <w:rFonts w:ascii="Times New Roman" w:hAnsi="Times New Roman" w:cs="Times New Roman"/>
          <w:sz w:val="28"/>
          <w:szCs w:val="28"/>
        </w:rPr>
        <w:t>атериалы данной статьи включают в себя анализ совокупности динамики располагаемых ресурсов всех домашних хозяйств, сельской и городской местности по субъектам Российской Федерации и Краснодарского края. Представлены данные ресурсов за период 2014-2023 гг.</w:t>
      </w:r>
      <w:r w:rsidRPr="00310AB8">
        <w:rPr>
          <w:rFonts w:ascii="Times New Roman" w:hAnsi="Times New Roman" w:cs="Times New Roman"/>
          <w:b/>
          <w:sz w:val="28"/>
          <w:szCs w:val="28"/>
        </w:rPr>
        <w:t xml:space="preserve"> </w:t>
      </w:r>
    </w:p>
    <w:p w:rsidR="00310AB8" w:rsidRDefault="007849CD" w:rsidP="0054369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Ключевые слова: </w:t>
      </w:r>
      <w:r w:rsidR="00310AB8" w:rsidRPr="00310AB8">
        <w:rPr>
          <w:rFonts w:ascii="Times New Roman" w:hAnsi="Times New Roman" w:cs="Times New Roman"/>
          <w:sz w:val="28"/>
          <w:szCs w:val="28"/>
        </w:rPr>
        <w:t>уровень  располагаемых  ресурсов, денежные средства,  имущество</w:t>
      </w:r>
      <w:proofErr w:type="gramStart"/>
      <w:r w:rsidR="00310AB8" w:rsidRPr="00310AB8">
        <w:rPr>
          <w:rFonts w:ascii="Times New Roman" w:hAnsi="Times New Roman" w:cs="Times New Roman"/>
          <w:sz w:val="28"/>
          <w:szCs w:val="28"/>
        </w:rPr>
        <w:t>,д</w:t>
      </w:r>
      <w:proofErr w:type="gramEnd"/>
      <w:r w:rsidR="00310AB8" w:rsidRPr="00310AB8">
        <w:rPr>
          <w:rFonts w:ascii="Times New Roman" w:hAnsi="Times New Roman" w:cs="Times New Roman"/>
          <w:sz w:val="28"/>
          <w:szCs w:val="28"/>
        </w:rPr>
        <w:t>омашнее  хозяйство, капитальные затраты</w:t>
      </w:r>
      <w:r w:rsidR="00157467">
        <w:rPr>
          <w:rFonts w:ascii="Times New Roman" w:hAnsi="Times New Roman" w:cs="Times New Roman"/>
          <w:sz w:val="28"/>
          <w:szCs w:val="28"/>
        </w:rPr>
        <w:t>, инвестиции в различные сектора.</w:t>
      </w:r>
      <w:r>
        <w:rPr>
          <w:rFonts w:ascii="Times New Roman" w:hAnsi="Times New Roman" w:cs="Times New Roman"/>
          <w:b/>
          <w:sz w:val="28"/>
          <w:szCs w:val="28"/>
        </w:rPr>
        <w:br/>
      </w:r>
    </w:p>
    <w:p w:rsidR="007849CD" w:rsidRPr="007849CD" w:rsidRDefault="007849CD" w:rsidP="007849CD">
      <w:pPr>
        <w:spacing w:after="0" w:line="360" w:lineRule="auto"/>
        <w:ind w:firstLine="709"/>
        <w:jc w:val="center"/>
        <w:rPr>
          <w:rFonts w:ascii="Times New Roman" w:hAnsi="Times New Roman" w:cs="Times New Roman"/>
          <w:b/>
          <w:sz w:val="28"/>
          <w:szCs w:val="28"/>
          <w:lang w:val="en-US"/>
        </w:rPr>
      </w:pPr>
      <w:r w:rsidRPr="007849CD">
        <w:rPr>
          <w:rFonts w:ascii="Times New Roman" w:hAnsi="Times New Roman" w:cs="Times New Roman"/>
          <w:b/>
          <w:sz w:val="28"/>
          <w:szCs w:val="28"/>
          <w:lang w:val="en-US"/>
        </w:rPr>
        <w:t>ANALYSIS OF AVAILABLE RESOURCES OF URBAN AND RURAL HOUSEHOLDS IN RUSSIA</w:t>
      </w:r>
    </w:p>
    <w:p w:rsidR="007849CD" w:rsidRPr="00021BC9" w:rsidRDefault="007849CD" w:rsidP="007849CD">
      <w:pPr>
        <w:spacing w:after="0" w:line="360" w:lineRule="auto"/>
        <w:ind w:firstLine="709"/>
        <w:jc w:val="center"/>
        <w:rPr>
          <w:rFonts w:ascii="Times New Roman" w:hAnsi="Times New Roman" w:cs="Times New Roman"/>
          <w:b/>
          <w:sz w:val="28"/>
          <w:szCs w:val="28"/>
          <w:lang w:val="en-US"/>
        </w:rPr>
      </w:pPr>
      <w:proofErr w:type="gramStart"/>
      <w:r w:rsidRPr="00021BC9">
        <w:rPr>
          <w:rFonts w:ascii="Times New Roman" w:hAnsi="Times New Roman" w:cs="Times New Roman"/>
          <w:b/>
          <w:sz w:val="28"/>
          <w:szCs w:val="28"/>
          <w:lang w:val="en-US"/>
        </w:rPr>
        <w:t>In 2014–2023.</w:t>
      </w:r>
      <w:proofErr w:type="gramEnd"/>
    </w:p>
    <w:p w:rsidR="007849CD" w:rsidRPr="00021BC9" w:rsidRDefault="007849CD" w:rsidP="007849CD">
      <w:pPr>
        <w:spacing w:after="0" w:line="360" w:lineRule="auto"/>
        <w:ind w:firstLine="709"/>
        <w:jc w:val="center"/>
        <w:rPr>
          <w:rFonts w:ascii="Times New Roman" w:hAnsi="Times New Roman" w:cs="Times New Roman"/>
          <w:b/>
          <w:sz w:val="28"/>
          <w:szCs w:val="28"/>
          <w:lang w:val="en-US"/>
        </w:rPr>
      </w:pPr>
    </w:p>
    <w:p w:rsidR="007849CD" w:rsidRDefault="007849CD" w:rsidP="00543694">
      <w:pPr>
        <w:spacing w:after="0" w:line="360" w:lineRule="auto"/>
        <w:ind w:firstLine="709"/>
        <w:jc w:val="both"/>
        <w:rPr>
          <w:rFonts w:ascii="Times New Roman" w:hAnsi="Times New Roman" w:cs="Times New Roman"/>
          <w:sz w:val="28"/>
          <w:szCs w:val="28"/>
          <w:lang w:val="en-US"/>
        </w:rPr>
      </w:pPr>
      <w:r w:rsidRPr="007849CD">
        <w:rPr>
          <w:rFonts w:ascii="Times New Roman" w:hAnsi="Times New Roman" w:cs="Times New Roman"/>
          <w:b/>
          <w:sz w:val="28"/>
          <w:szCs w:val="28"/>
          <w:lang w:val="en-US"/>
        </w:rPr>
        <w:t>ABSTRACT:</w:t>
      </w:r>
      <w:r w:rsidRPr="007849CD">
        <w:rPr>
          <w:rFonts w:ascii="Times New Roman" w:hAnsi="Times New Roman" w:cs="Times New Roman"/>
          <w:sz w:val="28"/>
          <w:szCs w:val="28"/>
          <w:lang w:val="en-US"/>
        </w:rPr>
        <w:t xml:space="preserve"> The materials of this article include an analysis of the aggregate dynamics of the disposable resources of all households, rural and urban areas in the constituent entities of the Russian Federation and the Krasnodar Territory. Resource data is presented for the period 2014-2023.</w:t>
      </w:r>
    </w:p>
    <w:p w:rsidR="007849CD" w:rsidRPr="007849CD" w:rsidRDefault="007849CD" w:rsidP="0054369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7849CD">
        <w:rPr>
          <w:rFonts w:ascii="Times New Roman" w:hAnsi="Times New Roman" w:cs="Times New Roman"/>
          <w:b/>
          <w:sz w:val="28"/>
          <w:szCs w:val="28"/>
          <w:lang w:val="en-US"/>
        </w:rPr>
        <w:t xml:space="preserve">Key words: </w:t>
      </w:r>
      <w:r w:rsidRPr="007849CD">
        <w:rPr>
          <w:rFonts w:ascii="Times New Roman" w:hAnsi="Times New Roman" w:cs="Times New Roman"/>
          <w:sz w:val="28"/>
          <w:szCs w:val="28"/>
          <w:lang w:val="en-US"/>
        </w:rPr>
        <w:t>level of available resources, cash, property, household, capital expenditures, investments in various sectors.</w:t>
      </w:r>
    </w:p>
    <w:p w:rsidR="007849CD" w:rsidRPr="007849CD" w:rsidRDefault="007849CD" w:rsidP="007C2254">
      <w:pPr>
        <w:spacing w:after="0" w:line="360" w:lineRule="auto"/>
        <w:ind w:firstLine="709"/>
        <w:jc w:val="both"/>
        <w:rPr>
          <w:rFonts w:ascii="Times New Roman" w:hAnsi="Times New Roman" w:cs="Times New Roman"/>
          <w:b/>
          <w:sz w:val="28"/>
          <w:szCs w:val="28"/>
          <w:lang w:val="en-US"/>
        </w:rPr>
      </w:pPr>
    </w:p>
    <w:p w:rsidR="00310AB8" w:rsidRPr="00310AB8" w:rsidRDefault="00310AB8" w:rsidP="007C2254">
      <w:pPr>
        <w:spacing w:after="0" w:line="360" w:lineRule="auto"/>
        <w:ind w:firstLine="709"/>
        <w:jc w:val="both"/>
        <w:rPr>
          <w:rFonts w:ascii="Times New Roman" w:hAnsi="Times New Roman" w:cs="Times New Roman"/>
          <w:color w:val="000000"/>
          <w:sz w:val="28"/>
          <w:szCs w:val="28"/>
        </w:rPr>
      </w:pPr>
      <w:r w:rsidRPr="00310AB8">
        <w:rPr>
          <w:rFonts w:ascii="Times New Roman" w:hAnsi="Times New Roman" w:cs="Times New Roman"/>
          <w:b/>
          <w:sz w:val="28"/>
          <w:szCs w:val="28"/>
        </w:rPr>
        <w:t>Введение</w:t>
      </w:r>
      <w:r w:rsidRPr="00021BC9">
        <w:rPr>
          <w:rFonts w:ascii="Times New Roman" w:hAnsi="Times New Roman" w:cs="Times New Roman"/>
          <w:b/>
          <w:sz w:val="28"/>
          <w:szCs w:val="28"/>
        </w:rPr>
        <w:t>:</w:t>
      </w:r>
      <w:r w:rsidRPr="00021BC9">
        <w:rPr>
          <w:rFonts w:ascii="Times New Roman" w:hAnsi="Times New Roman" w:cs="Times New Roman"/>
          <w:sz w:val="28"/>
          <w:szCs w:val="28"/>
        </w:rPr>
        <w:t xml:space="preserve"> </w:t>
      </w:r>
      <w:r w:rsidRPr="00310AB8">
        <w:rPr>
          <w:rFonts w:ascii="Times New Roman" w:hAnsi="Times New Roman" w:cs="Times New Roman"/>
          <w:sz w:val="28"/>
          <w:szCs w:val="28"/>
        </w:rPr>
        <w:t>Располагаемые</w:t>
      </w:r>
      <w:r w:rsidRPr="00021BC9">
        <w:rPr>
          <w:rFonts w:ascii="Times New Roman" w:hAnsi="Times New Roman" w:cs="Times New Roman"/>
          <w:sz w:val="28"/>
          <w:szCs w:val="28"/>
        </w:rPr>
        <w:t xml:space="preserve"> </w:t>
      </w:r>
      <w:r w:rsidRPr="00310AB8">
        <w:rPr>
          <w:rFonts w:ascii="Times New Roman" w:hAnsi="Times New Roman" w:cs="Times New Roman"/>
          <w:sz w:val="28"/>
          <w:szCs w:val="28"/>
        </w:rPr>
        <w:t>домашние</w:t>
      </w:r>
      <w:r w:rsidRPr="00021BC9">
        <w:rPr>
          <w:rFonts w:ascii="Times New Roman" w:hAnsi="Times New Roman" w:cs="Times New Roman"/>
          <w:sz w:val="28"/>
          <w:szCs w:val="28"/>
        </w:rPr>
        <w:t xml:space="preserve"> </w:t>
      </w:r>
      <w:r w:rsidRPr="00310AB8">
        <w:rPr>
          <w:rFonts w:ascii="Times New Roman" w:hAnsi="Times New Roman" w:cs="Times New Roman"/>
          <w:sz w:val="28"/>
          <w:szCs w:val="28"/>
        </w:rPr>
        <w:t>ресурсы</w:t>
      </w:r>
      <w:r w:rsidRPr="00021BC9">
        <w:rPr>
          <w:rFonts w:ascii="Times New Roman" w:hAnsi="Times New Roman" w:cs="Times New Roman"/>
          <w:sz w:val="28"/>
          <w:szCs w:val="28"/>
        </w:rPr>
        <w:t xml:space="preserve"> </w:t>
      </w:r>
      <w:r w:rsidRPr="00310AB8">
        <w:rPr>
          <w:rFonts w:ascii="Times New Roman" w:hAnsi="Times New Roman" w:cs="Times New Roman"/>
          <w:sz w:val="28"/>
          <w:szCs w:val="28"/>
        </w:rPr>
        <w:t>являются</w:t>
      </w:r>
      <w:r w:rsidRPr="00021BC9">
        <w:rPr>
          <w:rFonts w:ascii="Times New Roman" w:hAnsi="Times New Roman" w:cs="Times New Roman"/>
          <w:sz w:val="28"/>
          <w:szCs w:val="28"/>
        </w:rPr>
        <w:t xml:space="preserve"> </w:t>
      </w:r>
      <w:r w:rsidRPr="00310AB8">
        <w:rPr>
          <w:rFonts w:ascii="Times New Roman" w:hAnsi="Times New Roman" w:cs="Times New Roman"/>
          <w:sz w:val="28"/>
          <w:szCs w:val="28"/>
        </w:rPr>
        <w:t>совокупностью</w:t>
      </w:r>
      <w:r w:rsidRPr="00021BC9">
        <w:rPr>
          <w:rFonts w:ascii="Times New Roman" w:hAnsi="Times New Roman" w:cs="Times New Roman"/>
          <w:sz w:val="28"/>
          <w:szCs w:val="28"/>
        </w:rPr>
        <w:t xml:space="preserve"> </w:t>
      </w:r>
      <w:r w:rsidRPr="00310AB8">
        <w:rPr>
          <w:rFonts w:ascii="Times New Roman" w:hAnsi="Times New Roman" w:cs="Times New Roman"/>
          <w:sz w:val="28"/>
          <w:szCs w:val="28"/>
        </w:rPr>
        <w:t>денежных</w:t>
      </w:r>
      <w:r w:rsidRPr="00021BC9">
        <w:rPr>
          <w:rFonts w:ascii="Times New Roman" w:hAnsi="Times New Roman" w:cs="Times New Roman"/>
          <w:sz w:val="28"/>
          <w:szCs w:val="28"/>
        </w:rPr>
        <w:t xml:space="preserve"> </w:t>
      </w:r>
      <w:r w:rsidRPr="00310AB8">
        <w:rPr>
          <w:rFonts w:ascii="Times New Roman" w:hAnsi="Times New Roman" w:cs="Times New Roman"/>
          <w:sz w:val="28"/>
          <w:szCs w:val="28"/>
        </w:rPr>
        <w:t>средств</w:t>
      </w:r>
      <w:r w:rsidRPr="00021BC9">
        <w:rPr>
          <w:rFonts w:ascii="Times New Roman" w:hAnsi="Times New Roman" w:cs="Times New Roman"/>
          <w:sz w:val="28"/>
          <w:szCs w:val="28"/>
        </w:rPr>
        <w:t xml:space="preserve"> </w:t>
      </w:r>
      <w:r w:rsidRPr="00310AB8">
        <w:rPr>
          <w:rFonts w:ascii="Times New Roman" w:hAnsi="Times New Roman" w:cs="Times New Roman"/>
          <w:sz w:val="28"/>
          <w:szCs w:val="28"/>
        </w:rPr>
        <w:t>домохозяйства</w:t>
      </w:r>
      <w:r w:rsidRPr="00021BC9">
        <w:rPr>
          <w:rFonts w:ascii="Times New Roman" w:hAnsi="Times New Roman" w:cs="Times New Roman"/>
          <w:sz w:val="28"/>
          <w:szCs w:val="28"/>
        </w:rPr>
        <w:t xml:space="preserve">, </w:t>
      </w:r>
      <w:r w:rsidRPr="00310AB8">
        <w:rPr>
          <w:rFonts w:ascii="Times New Roman" w:hAnsi="Times New Roman" w:cs="Times New Roman"/>
          <w:sz w:val="28"/>
          <w:szCs w:val="28"/>
        </w:rPr>
        <w:t>суммами</w:t>
      </w:r>
      <w:r w:rsidRPr="00021BC9">
        <w:rPr>
          <w:rFonts w:ascii="Times New Roman" w:hAnsi="Times New Roman" w:cs="Times New Roman"/>
          <w:sz w:val="28"/>
          <w:szCs w:val="28"/>
        </w:rPr>
        <w:t xml:space="preserve"> </w:t>
      </w:r>
      <w:r w:rsidRPr="00310AB8">
        <w:rPr>
          <w:rFonts w:ascii="Times New Roman" w:hAnsi="Times New Roman" w:cs="Times New Roman"/>
          <w:sz w:val="28"/>
          <w:szCs w:val="28"/>
        </w:rPr>
        <w:t>израсходованных</w:t>
      </w:r>
      <w:r w:rsidRPr="00021BC9">
        <w:rPr>
          <w:rFonts w:ascii="Times New Roman" w:hAnsi="Times New Roman" w:cs="Times New Roman"/>
          <w:sz w:val="28"/>
          <w:szCs w:val="28"/>
        </w:rPr>
        <w:t xml:space="preserve"> </w:t>
      </w:r>
      <w:r w:rsidRPr="00310AB8">
        <w:rPr>
          <w:rFonts w:ascii="Times New Roman" w:hAnsi="Times New Roman" w:cs="Times New Roman"/>
          <w:sz w:val="28"/>
          <w:szCs w:val="28"/>
        </w:rPr>
        <w:t xml:space="preserve">доходов и привлеченные заемные средства, а также стоимостью натуральных доходов. В целом, показатель располагаемых ресурсов домохозяйств рассматривается как объем денежных и природных средств, которые были предоставлены домохозяйствам для того, чтобы обеспечить все свои расходы и создать </w:t>
      </w:r>
      <w:r w:rsidRPr="00310AB8">
        <w:rPr>
          <w:rFonts w:ascii="Times New Roman" w:hAnsi="Times New Roman" w:cs="Times New Roman"/>
          <w:sz w:val="28"/>
          <w:szCs w:val="28"/>
        </w:rPr>
        <w:lastRenderedPageBreak/>
        <w:t>сбережения в период исследования. Финансовый ресурс домохозяй</w:t>
      </w:r>
      <w:proofErr w:type="gramStart"/>
      <w:r w:rsidRPr="00310AB8">
        <w:rPr>
          <w:rFonts w:ascii="Times New Roman" w:hAnsi="Times New Roman" w:cs="Times New Roman"/>
          <w:sz w:val="28"/>
          <w:szCs w:val="28"/>
        </w:rPr>
        <w:t>ств вкл</w:t>
      </w:r>
      <w:proofErr w:type="gramEnd"/>
      <w:r w:rsidRPr="00310AB8">
        <w:rPr>
          <w:rFonts w:ascii="Times New Roman" w:hAnsi="Times New Roman" w:cs="Times New Roman"/>
          <w:sz w:val="28"/>
          <w:szCs w:val="28"/>
        </w:rPr>
        <w:t>ючает в себя денежные средства для текущих расходов на питание, непродовольственную продукцию, периодически используемые услуги, капитальные затраты на непродовольственную продукцию, которая используется длительное время, медицинские услуги, сбережение, инвестиции в движимое и недвижимое имущество.</w:t>
      </w:r>
      <w:r w:rsidRPr="00310AB8">
        <w:rPr>
          <w:rFonts w:ascii="Times New Roman" w:hAnsi="Times New Roman" w:cs="Times New Roman"/>
          <w:sz w:val="28"/>
          <w:szCs w:val="28"/>
        </w:rPr>
        <w:br/>
        <w:t>На основании результатов бюджетного обследования можно рассмотреть располагаемые ресурсы для домохозяйств различных социальных и экономических групп. В частности, группированные признаки выделяются следующим образом</w:t>
      </w:r>
      <w:r w:rsidRPr="00310AB8">
        <w:rPr>
          <w:rFonts w:ascii="Times New Roman" w:eastAsia="Arial" w:hAnsi="Times New Roman" w:cs="Times New Roman"/>
          <w:color w:val="212529"/>
          <w:sz w:val="28"/>
          <w:szCs w:val="28"/>
          <w:shd w:val="clear" w:color="auto" w:fill="F5F8FA"/>
        </w:rPr>
        <w:t>:</w:t>
      </w:r>
      <w:r w:rsidRPr="00310AB8">
        <w:rPr>
          <w:rFonts w:ascii="Times New Roman" w:hAnsi="Times New Roman" w:cs="Times New Roman"/>
          <w:color w:val="000000"/>
          <w:sz w:val="28"/>
          <w:szCs w:val="28"/>
        </w:rPr>
        <w:t xml:space="preserve"> размер домашнего хозяйства;</w:t>
      </w:r>
    </w:p>
    <w:p w:rsidR="00310AB8" w:rsidRPr="00310AB8" w:rsidRDefault="00310AB8" w:rsidP="007C2254">
      <w:pPr>
        <w:pStyle w:val="a3"/>
        <w:numPr>
          <w:ilvl w:val="0"/>
          <w:numId w:val="8"/>
        </w:numPr>
        <w:pBdr>
          <w:top w:val="nil"/>
          <w:left w:val="nil"/>
          <w:bottom w:val="nil"/>
          <w:right w:val="nil"/>
          <w:between w:val="nil"/>
        </w:pBdr>
        <w:spacing w:after="0" w:line="360" w:lineRule="auto"/>
        <w:jc w:val="both"/>
        <w:rPr>
          <w:rFonts w:ascii="Times New Roman" w:hAnsi="Times New Roman"/>
          <w:color w:val="000000"/>
          <w:sz w:val="28"/>
          <w:szCs w:val="28"/>
        </w:rPr>
      </w:pPr>
      <w:r w:rsidRPr="00310AB8">
        <w:rPr>
          <w:rFonts w:ascii="Times New Roman" w:hAnsi="Times New Roman"/>
          <w:color w:val="000000"/>
          <w:sz w:val="28"/>
          <w:szCs w:val="28"/>
        </w:rPr>
        <w:t>наличие иждивенцев;</w:t>
      </w:r>
    </w:p>
    <w:p w:rsidR="00310AB8" w:rsidRPr="00310AB8" w:rsidRDefault="00310AB8" w:rsidP="007C2254">
      <w:pPr>
        <w:pStyle w:val="a3"/>
        <w:numPr>
          <w:ilvl w:val="0"/>
          <w:numId w:val="8"/>
        </w:numPr>
        <w:pBdr>
          <w:top w:val="nil"/>
          <w:left w:val="nil"/>
          <w:bottom w:val="nil"/>
          <w:right w:val="nil"/>
          <w:between w:val="nil"/>
        </w:pBdr>
        <w:spacing w:after="0" w:line="360" w:lineRule="auto"/>
        <w:jc w:val="both"/>
        <w:rPr>
          <w:rFonts w:ascii="Times New Roman" w:hAnsi="Times New Roman"/>
          <w:color w:val="000000"/>
          <w:sz w:val="28"/>
          <w:szCs w:val="28"/>
        </w:rPr>
      </w:pPr>
      <w:r w:rsidRPr="00310AB8">
        <w:rPr>
          <w:rFonts w:ascii="Times New Roman" w:hAnsi="Times New Roman"/>
          <w:color w:val="000000"/>
          <w:sz w:val="28"/>
          <w:szCs w:val="28"/>
        </w:rPr>
        <w:t>число детей;</w:t>
      </w:r>
    </w:p>
    <w:p w:rsidR="00310AB8" w:rsidRPr="00310AB8" w:rsidRDefault="00310AB8" w:rsidP="007C2254">
      <w:pPr>
        <w:pStyle w:val="a3"/>
        <w:numPr>
          <w:ilvl w:val="0"/>
          <w:numId w:val="8"/>
        </w:numPr>
        <w:pBdr>
          <w:top w:val="nil"/>
          <w:left w:val="nil"/>
          <w:bottom w:val="nil"/>
          <w:right w:val="nil"/>
          <w:between w:val="nil"/>
        </w:pBdr>
        <w:spacing w:after="0" w:line="360" w:lineRule="auto"/>
        <w:jc w:val="both"/>
        <w:rPr>
          <w:rFonts w:ascii="Times New Roman" w:hAnsi="Times New Roman"/>
          <w:color w:val="000000"/>
          <w:sz w:val="28"/>
          <w:szCs w:val="28"/>
        </w:rPr>
      </w:pPr>
      <w:r w:rsidRPr="00310AB8">
        <w:rPr>
          <w:rFonts w:ascii="Times New Roman" w:hAnsi="Times New Roman"/>
          <w:color w:val="000000"/>
          <w:sz w:val="28"/>
          <w:szCs w:val="28"/>
        </w:rPr>
        <w:t>домашние хозяйства в городской и сельской местности;</w:t>
      </w:r>
    </w:p>
    <w:p w:rsidR="00ED6F05" w:rsidRPr="008645D7" w:rsidRDefault="00310AB8" w:rsidP="007C2254">
      <w:pPr>
        <w:spacing w:after="0" w:line="360" w:lineRule="auto"/>
        <w:jc w:val="both"/>
        <w:rPr>
          <w:rFonts w:ascii="Times New Roman" w:hAnsi="Times New Roman" w:cs="Times New Roman"/>
          <w:sz w:val="28"/>
          <w:szCs w:val="28"/>
        </w:rPr>
      </w:pPr>
      <w:r w:rsidRPr="0038728E">
        <w:rPr>
          <w:rFonts w:ascii="Times New Roman" w:hAnsi="Times New Roman"/>
          <w:color w:val="000000"/>
          <w:sz w:val="28"/>
          <w:szCs w:val="28"/>
        </w:rPr>
        <w:t>домашние хозяйства с уровнем располагаемых ресурсов ниже  величины прожиточного минимума.</w:t>
      </w:r>
      <w:r w:rsidR="0038728E" w:rsidRPr="0038728E">
        <w:rPr>
          <w:rFonts w:ascii="Times New Roman" w:hAnsi="Times New Roman"/>
          <w:color w:val="000000"/>
          <w:sz w:val="28"/>
          <w:szCs w:val="28"/>
        </w:rPr>
        <w:br/>
      </w:r>
      <w:r w:rsidR="0038728E">
        <w:rPr>
          <w:rFonts w:ascii="Times New Roman" w:hAnsi="Times New Roman"/>
          <w:color w:val="000000"/>
          <w:sz w:val="28"/>
          <w:szCs w:val="28"/>
        </w:rPr>
        <w:t xml:space="preserve">             </w:t>
      </w:r>
      <w:r w:rsidR="0038728E" w:rsidRPr="0038728E">
        <w:rPr>
          <w:rFonts w:ascii="Times New Roman" w:hAnsi="Times New Roman"/>
          <w:color w:val="000000"/>
          <w:sz w:val="28"/>
          <w:szCs w:val="28"/>
        </w:rPr>
        <w:t xml:space="preserve">Домашние хозяйства играют важную роль в экономике, поскольку они являются основными потребителями товаров и услуг, что в свою очередь формирует спрос и определяет большую часть ВВП. Кроме того, домашние хозяйства накапливают финансовые ресурсы, что способствует сбережениям и дальнейшим инвестициям в различные сектора экономики. Они также играют роль в анализе состояния общества через различные учетные и статистические показатели. Все это делает домашние хозяйства важными участниками экономических процессов. На данный момент домашние хозяйства являются неотъемлемой частью сложившейся экономической системы, обладают специфическими формами собственности, традициями и нормами, а также принимают участие на финансовых и рынках потребительских товаров и услуг, труда и других сферах экономики. Более того, они оказывают влияние на производительные силы и являются непосредственными участниками </w:t>
      </w:r>
      <w:r w:rsidR="0038728E" w:rsidRPr="0038728E">
        <w:rPr>
          <w:rFonts w:ascii="Times New Roman" w:hAnsi="Times New Roman"/>
          <w:color w:val="000000"/>
          <w:sz w:val="28"/>
          <w:szCs w:val="28"/>
        </w:rPr>
        <w:lastRenderedPageBreak/>
        <w:t>экономических и социальных реформ.</w:t>
      </w:r>
      <w:r w:rsidRPr="0038728E">
        <w:rPr>
          <w:rFonts w:ascii="Times New Roman" w:hAnsi="Times New Roman"/>
          <w:color w:val="000000"/>
          <w:sz w:val="28"/>
          <w:szCs w:val="28"/>
        </w:rPr>
        <w:br/>
      </w:r>
      <w:r w:rsidRPr="00310AB8">
        <w:rPr>
          <w:rFonts w:ascii="Times New Roman" w:hAnsi="Times New Roman" w:cs="Times New Roman"/>
          <w:noProof/>
          <w:sz w:val="28"/>
          <w:szCs w:val="28"/>
          <w:lang w:eastAsia="ru-RU" w:bidi="ar-SA"/>
        </w:rPr>
        <w:drawing>
          <wp:inline distT="0" distB="0" distL="0" distR="0" wp14:anchorId="3E8B8F8F" wp14:editId="0B0F2729">
            <wp:extent cx="6143625" cy="3166110"/>
            <wp:effectExtent l="0" t="0" r="9525" b="1524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10AB8" w:rsidRPr="000221DB" w:rsidRDefault="00310AB8" w:rsidP="005A55FD">
      <w:pPr>
        <w:spacing w:after="0"/>
        <w:ind w:firstLine="709"/>
        <w:jc w:val="center"/>
        <w:rPr>
          <w:rFonts w:ascii="Times New Roman" w:hAnsi="Times New Roman" w:cs="Times New Roman"/>
          <w:i/>
          <w:sz w:val="28"/>
          <w:szCs w:val="28"/>
        </w:rPr>
      </w:pPr>
      <w:r w:rsidRPr="000221DB">
        <w:rPr>
          <w:rFonts w:ascii="Times New Roman" w:hAnsi="Times New Roman" w:cs="Times New Roman"/>
          <w:i/>
          <w:sz w:val="28"/>
          <w:szCs w:val="28"/>
        </w:rPr>
        <w:t>Рисунок 1– Уровень располагаемых ресурсов всех домашних хозяйств в Российской Федерации (р./чел)</w:t>
      </w:r>
    </w:p>
    <w:p w:rsidR="00310AB8" w:rsidRPr="00455EE9" w:rsidRDefault="00310AB8" w:rsidP="007849CD">
      <w:pPr>
        <w:spacing w:after="0" w:line="360" w:lineRule="auto"/>
        <w:ind w:firstLine="709"/>
        <w:jc w:val="both"/>
        <w:rPr>
          <w:rFonts w:ascii="Times New Roman" w:hAnsi="Times New Roman" w:cs="Times New Roman"/>
          <w:sz w:val="28"/>
          <w:szCs w:val="28"/>
        </w:rPr>
      </w:pPr>
      <w:r w:rsidRPr="00354B20">
        <w:rPr>
          <w:rFonts w:ascii="Times New Roman" w:hAnsi="Times New Roman" w:cs="Times New Roman"/>
          <w:color w:val="FF0000"/>
          <w:sz w:val="28"/>
          <w:szCs w:val="28"/>
        </w:rPr>
        <w:t xml:space="preserve">  </w:t>
      </w:r>
      <w:r w:rsidRPr="00354B20">
        <w:rPr>
          <w:rFonts w:ascii="Times New Roman" w:hAnsi="Times New Roman" w:cs="Times New Roman"/>
          <w:color w:val="FF0000"/>
          <w:sz w:val="28"/>
          <w:szCs w:val="28"/>
        </w:rPr>
        <w:br/>
        <w:t xml:space="preserve"> </w:t>
      </w:r>
      <w:r w:rsidRPr="00354B20">
        <w:rPr>
          <w:rFonts w:ascii="Times New Roman" w:hAnsi="Times New Roman" w:cs="Times New Roman"/>
          <w:color w:val="FF0000"/>
          <w:sz w:val="28"/>
          <w:szCs w:val="28"/>
        </w:rPr>
        <w:tab/>
      </w:r>
      <w:r w:rsidRPr="00455EE9">
        <w:rPr>
          <w:rFonts w:ascii="Times New Roman" w:hAnsi="Times New Roman" w:cs="Times New Roman"/>
          <w:sz w:val="28"/>
          <w:szCs w:val="28"/>
        </w:rPr>
        <w:t xml:space="preserve">Уровень располагаемых ресурсов всех домашних хозяйств по Российской Федерации за период с 2014 по 2015 гг. поднялся до 23084,8 р. В интервал с 2015 по 2016 гг. до 24209,8 р. В период с 2016 по 2017 гг. увеличился до 24926,5 р. В интервал 2017 по 2018 </w:t>
      </w:r>
      <w:proofErr w:type="spellStart"/>
      <w:proofErr w:type="gramStart"/>
      <w:r w:rsidRPr="00455EE9">
        <w:rPr>
          <w:rFonts w:ascii="Times New Roman" w:hAnsi="Times New Roman" w:cs="Times New Roman"/>
          <w:sz w:val="28"/>
          <w:szCs w:val="28"/>
        </w:rPr>
        <w:t>гг</w:t>
      </w:r>
      <w:proofErr w:type="spellEnd"/>
      <w:proofErr w:type="gramEnd"/>
      <w:r w:rsidRPr="00455EE9">
        <w:rPr>
          <w:rFonts w:ascii="Times New Roman" w:hAnsi="Times New Roman" w:cs="Times New Roman"/>
          <w:sz w:val="28"/>
          <w:szCs w:val="28"/>
        </w:rPr>
        <w:t xml:space="preserve"> поднялся до 26917,7 р. В интервал с 2018 по 2019 гг. поднялся до </w:t>
      </w:r>
      <w:proofErr w:type="gramStart"/>
      <w:r w:rsidRPr="00455EE9">
        <w:rPr>
          <w:rFonts w:ascii="Times New Roman" w:hAnsi="Times New Roman" w:cs="Times New Roman"/>
          <w:sz w:val="28"/>
          <w:szCs w:val="28"/>
        </w:rPr>
        <w:t>28995,2 р. В период с 2019 по 2020 гг. увеличился до 29204,5 р. С интервала 2020 по 2021 гг. поднялся до 31791,2 р. В период с 2021 до 2022 гг. поднялся до 35251,8 р. В интервал с 2022 по 2023 гг. увеличился до 36692,6 р. Средний уровень располагаемых ресурсов всех домашних хозяйств в Российской Федерации за исследуемый период  сумма денежных</w:t>
      </w:r>
      <w:proofErr w:type="gramEnd"/>
      <w:r w:rsidRPr="00455EE9">
        <w:rPr>
          <w:rFonts w:ascii="Times New Roman" w:hAnsi="Times New Roman" w:cs="Times New Roman"/>
          <w:sz w:val="28"/>
          <w:szCs w:val="28"/>
        </w:rPr>
        <w:t xml:space="preserve"> средств равняется 25496,8 р.</w:t>
      </w:r>
    </w:p>
    <w:p w:rsidR="00310AB8" w:rsidRPr="000221DB" w:rsidRDefault="00310AB8" w:rsidP="005A55FD">
      <w:pPr>
        <w:pBdr>
          <w:top w:val="single" w:sz="12" w:space="1" w:color="FFFFFF"/>
          <w:left w:val="single" w:sz="12" w:space="0" w:color="FFFFFF"/>
          <w:bottom w:val="single" w:sz="12" w:space="1" w:color="FFFFFF"/>
          <w:right w:val="single" w:sz="12" w:space="0" w:color="FFFFFF"/>
        </w:pBdr>
        <w:spacing w:after="0" w:line="360" w:lineRule="auto"/>
        <w:jc w:val="center"/>
        <w:rPr>
          <w:rFonts w:ascii="Times New Roman" w:hAnsi="Times New Roman" w:cs="Times New Roman"/>
          <w:i/>
          <w:sz w:val="28"/>
          <w:szCs w:val="28"/>
        </w:rPr>
      </w:pPr>
      <w:r w:rsidRPr="00354B20">
        <w:rPr>
          <w:rFonts w:ascii="Times New Roman" w:hAnsi="Times New Roman" w:cs="Times New Roman"/>
          <w:noProof/>
          <w:color w:val="FF0000"/>
          <w:sz w:val="28"/>
          <w:szCs w:val="28"/>
          <w:lang w:eastAsia="ru-RU" w:bidi="ar-SA"/>
        </w:rPr>
        <w:lastRenderedPageBreak/>
        <w:drawing>
          <wp:inline distT="0" distB="0" distL="0" distR="0">
            <wp:extent cx="6096000" cy="2428875"/>
            <wp:effectExtent l="0" t="0" r="0" b="952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354B20">
        <w:rPr>
          <w:rFonts w:ascii="Times New Roman" w:hAnsi="Times New Roman" w:cs="Times New Roman"/>
          <w:color w:val="FF0000"/>
          <w:sz w:val="28"/>
          <w:szCs w:val="28"/>
        </w:rPr>
        <w:br/>
      </w:r>
      <w:r w:rsidRPr="000221DB">
        <w:rPr>
          <w:rFonts w:ascii="Times New Roman" w:hAnsi="Times New Roman" w:cs="Times New Roman"/>
          <w:i/>
          <w:color w:val="FF0000"/>
          <w:sz w:val="28"/>
          <w:szCs w:val="28"/>
        </w:rPr>
        <w:t xml:space="preserve"> </w:t>
      </w:r>
      <w:r w:rsidRPr="000221DB">
        <w:rPr>
          <w:rFonts w:ascii="Times New Roman" w:hAnsi="Times New Roman" w:cs="Times New Roman"/>
          <w:i/>
          <w:sz w:val="28"/>
          <w:szCs w:val="28"/>
        </w:rPr>
        <w:t>Рисунок 2– Уровень располагаемых ресурсов домашних хозяйств городской местности в Российской Федерации</w:t>
      </w:r>
      <w:proofErr w:type="gramStart"/>
      <w:r w:rsidRPr="000221DB">
        <w:rPr>
          <w:rFonts w:ascii="Times New Roman" w:hAnsi="Times New Roman" w:cs="Times New Roman"/>
          <w:i/>
          <w:sz w:val="28"/>
          <w:szCs w:val="28"/>
        </w:rPr>
        <w:t>.(</w:t>
      </w:r>
      <w:proofErr w:type="gramEnd"/>
      <w:r w:rsidRPr="000221DB">
        <w:rPr>
          <w:rFonts w:ascii="Times New Roman" w:hAnsi="Times New Roman" w:cs="Times New Roman"/>
          <w:i/>
          <w:sz w:val="28"/>
          <w:szCs w:val="28"/>
        </w:rPr>
        <w:t>руб/1 чел)</w:t>
      </w:r>
    </w:p>
    <w:p w:rsidR="00310AB8" w:rsidRPr="00455EE9" w:rsidRDefault="00310AB8" w:rsidP="007849CD">
      <w:pPr>
        <w:pBdr>
          <w:top w:val="single" w:sz="12" w:space="1" w:color="FFFFFF"/>
          <w:left w:val="single" w:sz="12" w:space="0" w:color="FFFFFF"/>
          <w:bottom w:val="single" w:sz="12" w:space="1" w:color="FFFFFF"/>
          <w:right w:val="single" w:sz="12" w:space="0" w:color="FFFFFF"/>
        </w:pBdr>
        <w:spacing w:after="0" w:line="360" w:lineRule="auto"/>
        <w:ind w:firstLine="709"/>
        <w:jc w:val="both"/>
        <w:rPr>
          <w:rFonts w:ascii="Times New Roman" w:hAnsi="Times New Roman" w:cs="Times New Roman"/>
          <w:sz w:val="28"/>
          <w:szCs w:val="28"/>
        </w:rPr>
      </w:pPr>
      <w:r w:rsidRPr="00455EE9">
        <w:rPr>
          <w:rFonts w:ascii="Times New Roman" w:hAnsi="Times New Roman" w:cs="Times New Roman"/>
          <w:sz w:val="28"/>
          <w:szCs w:val="28"/>
        </w:rPr>
        <w:br/>
        <w:t xml:space="preserve">    </w:t>
      </w:r>
      <w:proofErr w:type="gramStart"/>
      <w:r w:rsidRPr="00455EE9">
        <w:rPr>
          <w:rFonts w:ascii="Times New Roman" w:hAnsi="Times New Roman" w:cs="Times New Roman"/>
          <w:sz w:val="28"/>
          <w:szCs w:val="28"/>
        </w:rPr>
        <w:t>Уровень располагаемых ресурсов  домашних хозяйств городской местности  по Российской Федерации за период с 2014  по 2015 гг. поднялся с 25347,5 р. до 25466,4 р. В интервал с 2015 по 2016 гг. до 267</w:t>
      </w:r>
      <w:r w:rsidR="00021BC9">
        <w:rPr>
          <w:rFonts w:ascii="Times New Roman" w:hAnsi="Times New Roman" w:cs="Times New Roman"/>
          <w:sz w:val="28"/>
          <w:szCs w:val="28"/>
        </w:rPr>
        <w:t>19,7 р. В период с 2016 по 2017 </w:t>
      </w:r>
      <w:r w:rsidRPr="00455EE9">
        <w:rPr>
          <w:rFonts w:ascii="Times New Roman" w:hAnsi="Times New Roman" w:cs="Times New Roman"/>
          <w:sz w:val="28"/>
          <w:szCs w:val="28"/>
        </w:rPr>
        <w:t>гг. увеличился до 27206,8 р. В интервал 2017 по 2018 гг. поднялся до 29556,9 р. В интервал с 2018 по</w:t>
      </w:r>
      <w:proofErr w:type="gramEnd"/>
      <w:r w:rsidRPr="00455EE9">
        <w:rPr>
          <w:rFonts w:ascii="Times New Roman" w:hAnsi="Times New Roman" w:cs="Times New Roman"/>
          <w:sz w:val="28"/>
          <w:szCs w:val="28"/>
        </w:rPr>
        <w:t xml:space="preserve"> </w:t>
      </w:r>
      <w:proofErr w:type="gramStart"/>
      <w:r w:rsidRPr="00455EE9">
        <w:rPr>
          <w:rFonts w:ascii="Times New Roman" w:hAnsi="Times New Roman" w:cs="Times New Roman"/>
          <w:sz w:val="28"/>
          <w:szCs w:val="28"/>
        </w:rPr>
        <w:t xml:space="preserve">2019 гг. поднялся до 31931,9 р. А в период с 2019 по 2020 гг. сумма денежных средств уменьшилось до 31818,4 р. С интервала 2020 по 2021 гг. поднялся до 34663,1 р. В период с 2021 до 2022 гг. поднялся до </w:t>
      </w:r>
      <w:r w:rsidR="00021BC9">
        <w:rPr>
          <w:rFonts w:ascii="Times New Roman" w:hAnsi="Times New Roman" w:cs="Times New Roman"/>
          <w:sz w:val="28"/>
          <w:szCs w:val="28"/>
        </w:rPr>
        <w:t>39270,5 </w:t>
      </w:r>
      <w:r w:rsidRPr="00455EE9">
        <w:rPr>
          <w:rFonts w:ascii="Times New Roman" w:hAnsi="Times New Roman" w:cs="Times New Roman"/>
          <w:sz w:val="28"/>
          <w:szCs w:val="28"/>
        </w:rPr>
        <w:t>р. В интервал с 2022 по 2023 гг. увеличился до 39974,3 р. Средний уровень располагаемых ресурсов домашних хозяйств городской</w:t>
      </w:r>
      <w:proofErr w:type="gramEnd"/>
      <w:r w:rsidRPr="00455EE9">
        <w:rPr>
          <w:rFonts w:ascii="Times New Roman" w:hAnsi="Times New Roman" w:cs="Times New Roman"/>
          <w:sz w:val="28"/>
          <w:szCs w:val="28"/>
        </w:rPr>
        <w:t xml:space="preserve"> </w:t>
      </w:r>
      <w:proofErr w:type="gramStart"/>
      <w:r w:rsidRPr="00455EE9">
        <w:rPr>
          <w:rFonts w:ascii="Times New Roman" w:hAnsi="Times New Roman" w:cs="Times New Roman"/>
          <w:sz w:val="28"/>
          <w:szCs w:val="28"/>
        </w:rPr>
        <w:t>местности</w:t>
      </w:r>
      <w:proofErr w:type="gramEnd"/>
      <w:r w:rsidRPr="00455EE9">
        <w:rPr>
          <w:rFonts w:ascii="Times New Roman" w:hAnsi="Times New Roman" w:cs="Times New Roman"/>
          <w:sz w:val="28"/>
          <w:szCs w:val="28"/>
        </w:rPr>
        <w:t xml:space="preserve"> в Российской Федерации за исследуемый период  сумма денежных средств равняется 31195,5р.  </w:t>
      </w:r>
    </w:p>
    <w:p w:rsidR="00310AB8" w:rsidRPr="000221DB" w:rsidRDefault="00310AB8" w:rsidP="005A55FD">
      <w:pPr>
        <w:pBdr>
          <w:top w:val="single" w:sz="12" w:space="1" w:color="FFFFFF"/>
          <w:left w:val="single" w:sz="12" w:space="0" w:color="FFFFFF"/>
          <w:bottom w:val="single" w:sz="12" w:space="1" w:color="FFFFFF"/>
          <w:right w:val="single" w:sz="12" w:space="0" w:color="FFFFFF"/>
        </w:pBdr>
        <w:spacing w:after="0" w:line="360" w:lineRule="auto"/>
        <w:ind w:firstLine="709"/>
        <w:jc w:val="center"/>
        <w:rPr>
          <w:rFonts w:ascii="Times New Roman" w:hAnsi="Times New Roman" w:cs="Times New Roman"/>
          <w:i/>
          <w:sz w:val="28"/>
          <w:szCs w:val="28"/>
        </w:rPr>
      </w:pPr>
      <w:r w:rsidRPr="00354B20">
        <w:rPr>
          <w:rFonts w:ascii="Times New Roman" w:hAnsi="Times New Roman" w:cs="Times New Roman"/>
          <w:color w:val="FF0000"/>
          <w:sz w:val="28"/>
          <w:szCs w:val="28"/>
        </w:rPr>
        <w:lastRenderedPageBreak/>
        <w:br/>
      </w:r>
      <w:r w:rsidRPr="00354B20">
        <w:rPr>
          <w:rFonts w:ascii="Times New Roman" w:hAnsi="Times New Roman" w:cs="Times New Roman"/>
          <w:noProof/>
          <w:color w:val="FF0000"/>
          <w:sz w:val="28"/>
          <w:szCs w:val="28"/>
          <w:lang w:eastAsia="ru-RU" w:bidi="ar-SA"/>
        </w:rPr>
        <w:drawing>
          <wp:inline distT="0" distB="0" distL="0" distR="0">
            <wp:extent cx="6153150" cy="3139440"/>
            <wp:effectExtent l="0" t="0" r="0" b="381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0221DB">
        <w:rPr>
          <w:rFonts w:ascii="Times New Roman" w:hAnsi="Times New Roman" w:cs="Times New Roman"/>
          <w:i/>
          <w:sz w:val="28"/>
          <w:szCs w:val="28"/>
        </w:rPr>
        <w:t>Рисунок 3– Уровень располагаемых ресурсов домашних хозяйств в сельской местности в Российской Федерации</w:t>
      </w:r>
      <w:proofErr w:type="gramStart"/>
      <w:r w:rsidRPr="000221DB">
        <w:rPr>
          <w:rFonts w:ascii="Times New Roman" w:hAnsi="Times New Roman" w:cs="Times New Roman"/>
          <w:i/>
          <w:sz w:val="28"/>
          <w:szCs w:val="28"/>
        </w:rPr>
        <w:t>.(</w:t>
      </w:r>
      <w:proofErr w:type="gramEnd"/>
      <w:r w:rsidRPr="000221DB">
        <w:rPr>
          <w:rFonts w:ascii="Times New Roman" w:hAnsi="Times New Roman" w:cs="Times New Roman"/>
          <w:i/>
          <w:sz w:val="28"/>
          <w:szCs w:val="28"/>
        </w:rPr>
        <w:t>руб/1чел)</w:t>
      </w:r>
    </w:p>
    <w:p w:rsidR="00310AB8" w:rsidRPr="000221DB" w:rsidRDefault="00310AB8" w:rsidP="000221DB">
      <w:pPr>
        <w:pBdr>
          <w:top w:val="single" w:sz="12" w:space="1" w:color="FFFFFF"/>
          <w:left w:val="single" w:sz="12" w:space="0" w:color="FFFFFF"/>
          <w:bottom w:val="single" w:sz="12" w:space="1" w:color="FFFFFF"/>
          <w:right w:val="single" w:sz="12" w:space="0" w:color="FFFFFF"/>
        </w:pBdr>
        <w:spacing w:after="0" w:line="360" w:lineRule="auto"/>
        <w:ind w:firstLine="709"/>
        <w:jc w:val="both"/>
        <w:rPr>
          <w:rFonts w:ascii="Times New Roman" w:hAnsi="Times New Roman" w:cs="Times New Roman"/>
          <w:b/>
          <w:i/>
          <w:sz w:val="28"/>
          <w:szCs w:val="28"/>
        </w:rPr>
      </w:pPr>
      <w:r w:rsidRPr="00455EE9">
        <w:rPr>
          <w:rFonts w:ascii="Times New Roman" w:hAnsi="Times New Roman" w:cs="Times New Roman"/>
          <w:sz w:val="28"/>
          <w:szCs w:val="28"/>
        </w:rPr>
        <w:br/>
        <w:t xml:space="preserve">  </w:t>
      </w:r>
      <w:proofErr w:type="gramStart"/>
      <w:r w:rsidRPr="00455EE9">
        <w:rPr>
          <w:rFonts w:ascii="Times New Roman" w:hAnsi="Times New Roman" w:cs="Times New Roman"/>
          <w:sz w:val="28"/>
          <w:szCs w:val="28"/>
        </w:rPr>
        <w:t xml:space="preserve">Уровень располагаемых ресурсов  домашних хозяйств сельской местности  по Российской Федерации за период с 2014  по 2015 гг. поднялся с 15802,3 до 16639,7 р. В интервал с 2015 по 2016 гг. до 16971 р. В период с 2016 по 2017 гг. увеличился до 18309,1 р. В интервал 2017 </w:t>
      </w:r>
      <w:r w:rsidR="000221DB">
        <w:rPr>
          <w:rFonts w:ascii="Times New Roman" w:hAnsi="Times New Roman" w:cs="Times New Roman"/>
          <w:sz w:val="28"/>
          <w:szCs w:val="28"/>
        </w:rPr>
        <w:t>по 2018 гг. поднялся до 19188,5 </w:t>
      </w:r>
      <w:r w:rsidRPr="00455EE9">
        <w:rPr>
          <w:rFonts w:ascii="Times New Roman" w:hAnsi="Times New Roman" w:cs="Times New Roman"/>
          <w:sz w:val="28"/>
          <w:szCs w:val="28"/>
        </w:rPr>
        <w:t>руб/ч. В интервал с 2018 по</w:t>
      </w:r>
      <w:proofErr w:type="gramEnd"/>
      <w:r w:rsidRPr="00455EE9">
        <w:rPr>
          <w:rFonts w:ascii="Times New Roman" w:hAnsi="Times New Roman" w:cs="Times New Roman"/>
          <w:sz w:val="28"/>
          <w:szCs w:val="28"/>
        </w:rPr>
        <w:t xml:space="preserve"> </w:t>
      </w:r>
      <w:proofErr w:type="gramStart"/>
      <w:r w:rsidRPr="00455EE9">
        <w:rPr>
          <w:rFonts w:ascii="Times New Roman" w:hAnsi="Times New Roman" w:cs="Times New Roman"/>
          <w:sz w:val="28"/>
          <w:szCs w:val="28"/>
        </w:rPr>
        <w:t>2019 гг. поднялся до 20360,8 р. А в период с 2019 по 2020 гг. увеличилась до 21432,4 р. С интервала 2020 по 2021 гг. поднялся до 23232,2 р. В период с 2021 до 2022 гг. уменьшилось до 23221 р. В интервал с 2022 по 2023 гг. увеличился до 26900,5 р. Средний уровень располагаемых ресурсов домашних хозяйств в сельской местности Российской</w:t>
      </w:r>
      <w:proofErr w:type="gramEnd"/>
      <w:r w:rsidRPr="00455EE9">
        <w:rPr>
          <w:rFonts w:ascii="Times New Roman" w:hAnsi="Times New Roman" w:cs="Times New Roman"/>
          <w:sz w:val="28"/>
          <w:szCs w:val="28"/>
        </w:rPr>
        <w:t xml:space="preserve"> Федерации за исследуемый период  сумма денежных средств равняется 20205,7 р.</w:t>
      </w:r>
      <w:r w:rsidRPr="00354B20">
        <w:rPr>
          <w:rFonts w:ascii="Times New Roman" w:hAnsi="Times New Roman" w:cs="Times New Roman"/>
          <w:color w:val="FF0000"/>
          <w:sz w:val="28"/>
          <w:szCs w:val="28"/>
        </w:rPr>
        <w:br/>
      </w:r>
      <w:r w:rsidRPr="00354B20">
        <w:rPr>
          <w:rFonts w:ascii="Times New Roman" w:hAnsi="Times New Roman" w:cs="Times New Roman"/>
          <w:color w:val="FF0000"/>
          <w:sz w:val="28"/>
          <w:szCs w:val="28"/>
        </w:rPr>
        <w:br/>
      </w:r>
      <w:r w:rsidRPr="00354B20">
        <w:rPr>
          <w:rFonts w:ascii="Times New Roman" w:hAnsi="Times New Roman" w:cs="Times New Roman"/>
          <w:noProof/>
          <w:color w:val="FF0000"/>
          <w:sz w:val="28"/>
          <w:szCs w:val="28"/>
          <w:lang w:eastAsia="ru-RU" w:bidi="ar-SA"/>
        </w:rPr>
        <w:lastRenderedPageBreak/>
        <w:drawing>
          <wp:inline distT="0" distB="0" distL="0" distR="0">
            <wp:extent cx="6315075" cy="3139440"/>
            <wp:effectExtent l="0" t="0" r="9525" b="381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221DB">
        <w:rPr>
          <w:rFonts w:ascii="Times New Roman" w:hAnsi="Times New Roman" w:cs="Times New Roman"/>
          <w:i/>
          <w:sz w:val="28"/>
          <w:szCs w:val="28"/>
        </w:rPr>
        <w:t>Рисунок 4– Уровень располагаемых ресурсов всех домохозяйств в Краснодарском крае</w:t>
      </w:r>
      <w:proofErr w:type="gramStart"/>
      <w:r w:rsidRPr="000221DB">
        <w:rPr>
          <w:rFonts w:ascii="Times New Roman" w:hAnsi="Times New Roman" w:cs="Times New Roman"/>
          <w:i/>
          <w:sz w:val="28"/>
          <w:szCs w:val="28"/>
        </w:rPr>
        <w:t>.</w:t>
      </w:r>
      <w:proofErr w:type="gramEnd"/>
      <w:r w:rsidRPr="000221DB">
        <w:rPr>
          <w:rFonts w:ascii="Times New Roman" w:hAnsi="Times New Roman" w:cs="Times New Roman"/>
          <w:i/>
          <w:sz w:val="28"/>
          <w:szCs w:val="28"/>
        </w:rPr>
        <w:t> (</w:t>
      </w:r>
      <w:proofErr w:type="gramStart"/>
      <w:r w:rsidRPr="000221DB">
        <w:rPr>
          <w:rFonts w:ascii="Times New Roman" w:hAnsi="Times New Roman" w:cs="Times New Roman"/>
          <w:i/>
          <w:sz w:val="28"/>
          <w:szCs w:val="28"/>
        </w:rPr>
        <w:t>р</w:t>
      </w:r>
      <w:proofErr w:type="gramEnd"/>
      <w:r w:rsidRPr="000221DB">
        <w:rPr>
          <w:rFonts w:ascii="Times New Roman" w:hAnsi="Times New Roman" w:cs="Times New Roman"/>
          <w:i/>
          <w:sz w:val="28"/>
          <w:szCs w:val="28"/>
        </w:rPr>
        <w:t>уб/1чел)</w:t>
      </w:r>
    </w:p>
    <w:p w:rsidR="00310AB8" w:rsidRPr="00354B20" w:rsidRDefault="00310AB8" w:rsidP="007849CD">
      <w:pPr>
        <w:pBdr>
          <w:top w:val="nil"/>
          <w:left w:val="nil"/>
          <w:bottom w:val="nil"/>
          <w:right w:val="nil"/>
          <w:between w:val="nil"/>
        </w:pBdr>
        <w:spacing w:after="0"/>
        <w:ind w:left="-284" w:firstLine="709"/>
        <w:jc w:val="both"/>
        <w:rPr>
          <w:rFonts w:ascii="Times New Roman" w:hAnsi="Times New Roman" w:cs="Times New Roman"/>
          <w:color w:val="FF0000"/>
          <w:sz w:val="28"/>
          <w:szCs w:val="28"/>
        </w:rPr>
      </w:pPr>
    </w:p>
    <w:p w:rsidR="005A55FD" w:rsidRDefault="00310AB8" w:rsidP="007849CD">
      <w:pPr>
        <w:pBdr>
          <w:top w:val="nil"/>
          <w:left w:val="nil"/>
          <w:bottom w:val="nil"/>
          <w:right w:val="nil"/>
          <w:between w:val="nil"/>
        </w:pBdr>
        <w:spacing w:after="0" w:line="360" w:lineRule="auto"/>
        <w:ind w:firstLine="709"/>
        <w:jc w:val="both"/>
        <w:rPr>
          <w:rFonts w:ascii="Times New Roman" w:hAnsi="Times New Roman" w:cs="Times New Roman"/>
          <w:sz w:val="28"/>
          <w:szCs w:val="28"/>
        </w:rPr>
      </w:pPr>
      <w:proofErr w:type="gramStart"/>
      <w:r w:rsidRPr="00455EE9">
        <w:rPr>
          <w:rFonts w:ascii="Times New Roman" w:hAnsi="Times New Roman" w:cs="Times New Roman"/>
          <w:sz w:val="28"/>
          <w:szCs w:val="28"/>
        </w:rPr>
        <w:t>Уровень располагаемых ресурсов всех домашних хозяйств по Краснодарскому краю за период с 2014  по 2015 гг. поднялся с 19614,1 до 20804,9 р. В интервал с 2015 по 2016 гг. до 21059,2 р. В период с 2016 по 2017 гг. увеличился до 23117,7 р. В интервал 2017 по 2018 гг. поднялся до 24482,4 р. В интервал с 2018 по 2019 гг</w:t>
      </w:r>
      <w:proofErr w:type="gramEnd"/>
      <w:r w:rsidRPr="00455EE9">
        <w:rPr>
          <w:rFonts w:ascii="Times New Roman" w:hAnsi="Times New Roman" w:cs="Times New Roman"/>
          <w:sz w:val="28"/>
          <w:szCs w:val="28"/>
        </w:rPr>
        <w:t xml:space="preserve">. </w:t>
      </w:r>
      <w:proofErr w:type="gramStart"/>
      <w:r w:rsidRPr="00455EE9">
        <w:rPr>
          <w:rFonts w:ascii="Times New Roman" w:hAnsi="Times New Roman" w:cs="Times New Roman"/>
          <w:sz w:val="28"/>
          <w:szCs w:val="28"/>
        </w:rPr>
        <w:t>поднялся до 24687,6 р. В период с 2019 по 2020 гг. увеличилась до 24966,5 р. С интервала 2020 по 2021 гг. поднялся до 26939,1 р. В период с 2021 до 2022 гг. сумма денежных средств уменьшилась до 26633,1 р. В интервал с 2022 по 2023 гг. увеличился до 32080,8 р. Средний уровень располагаемых ресурсов всех домашних хозяйств в Краснодарском крае</w:t>
      </w:r>
      <w:proofErr w:type="gramEnd"/>
      <w:r w:rsidRPr="00455EE9">
        <w:rPr>
          <w:rFonts w:ascii="Times New Roman" w:hAnsi="Times New Roman" w:cs="Times New Roman"/>
          <w:sz w:val="28"/>
          <w:szCs w:val="28"/>
        </w:rPr>
        <w:t xml:space="preserve"> за</w:t>
      </w:r>
    </w:p>
    <w:p w:rsidR="00247AE7" w:rsidRDefault="00310AB8" w:rsidP="007849CD">
      <w:pPr>
        <w:pBdr>
          <w:top w:val="nil"/>
          <w:left w:val="nil"/>
          <w:bottom w:val="nil"/>
          <w:right w:val="nil"/>
          <w:between w:val="nil"/>
        </w:pBdr>
        <w:spacing w:after="0" w:line="360" w:lineRule="auto"/>
        <w:ind w:firstLine="709"/>
        <w:jc w:val="both"/>
        <w:rPr>
          <w:rFonts w:ascii="Times New Roman" w:hAnsi="Times New Roman" w:cs="Times New Roman"/>
          <w:color w:val="FF0000"/>
          <w:sz w:val="28"/>
          <w:szCs w:val="28"/>
        </w:rPr>
      </w:pPr>
      <w:r w:rsidRPr="00455EE9">
        <w:rPr>
          <w:rFonts w:ascii="Times New Roman" w:hAnsi="Times New Roman" w:cs="Times New Roman"/>
          <w:sz w:val="28"/>
          <w:szCs w:val="28"/>
        </w:rPr>
        <w:lastRenderedPageBreak/>
        <w:t>исследуемый период сумма денежных средств равняется 24438,5 </w:t>
      </w:r>
      <w:r w:rsidR="0038728E" w:rsidRPr="00455EE9">
        <w:rPr>
          <w:rFonts w:ascii="Times New Roman" w:hAnsi="Times New Roman" w:cs="Times New Roman"/>
          <w:sz w:val="28"/>
          <w:szCs w:val="28"/>
        </w:rPr>
        <w:t>р.</w:t>
      </w:r>
      <w:r w:rsidRPr="00354B20">
        <w:rPr>
          <w:rFonts w:ascii="Times New Roman" w:hAnsi="Times New Roman" w:cs="Times New Roman"/>
          <w:color w:val="FF0000"/>
          <w:sz w:val="28"/>
          <w:szCs w:val="28"/>
        </w:rPr>
        <w:br/>
      </w:r>
      <w:r w:rsidRPr="00354B20">
        <w:rPr>
          <w:rFonts w:ascii="Times New Roman" w:hAnsi="Times New Roman" w:cs="Times New Roman"/>
          <w:noProof/>
          <w:color w:val="FF0000"/>
          <w:sz w:val="28"/>
          <w:szCs w:val="28"/>
          <w:lang w:eastAsia="ru-RU" w:bidi="ar-SA"/>
        </w:rPr>
        <w:drawing>
          <wp:inline distT="0" distB="0" distL="0" distR="0" wp14:anchorId="153527B2" wp14:editId="3340A2AB">
            <wp:extent cx="6267450" cy="3143250"/>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0AB8" w:rsidRPr="000221DB" w:rsidRDefault="00310AB8" w:rsidP="005A55FD">
      <w:pPr>
        <w:pBdr>
          <w:top w:val="nil"/>
          <w:left w:val="nil"/>
          <w:bottom w:val="nil"/>
          <w:right w:val="nil"/>
          <w:between w:val="nil"/>
        </w:pBdr>
        <w:spacing w:after="0" w:line="360" w:lineRule="auto"/>
        <w:jc w:val="center"/>
        <w:rPr>
          <w:rFonts w:ascii="Times New Roman" w:hAnsi="Times New Roman" w:cs="Times New Roman"/>
          <w:i/>
          <w:sz w:val="28"/>
          <w:szCs w:val="28"/>
        </w:rPr>
      </w:pPr>
      <w:r w:rsidRPr="000221DB">
        <w:rPr>
          <w:rFonts w:ascii="Times New Roman" w:hAnsi="Times New Roman" w:cs="Times New Roman"/>
          <w:i/>
          <w:sz w:val="28"/>
          <w:szCs w:val="28"/>
        </w:rPr>
        <w:t>Рисунок 5 – Уровень располагаемых ресурсов домашних хозяйств городской местности в Краснодарском крае</w:t>
      </w:r>
      <w:proofErr w:type="gramStart"/>
      <w:r w:rsidRPr="000221DB">
        <w:rPr>
          <w:rFonts w:ascii="Times New Roman" w:hAnsi="Times New Roman" w:cs="Times New Roman"/>
          <w:i/>
          <w:sz w:val="28"/>
          <w:szCs w:val="28"/>
        </w:rPr>
        <w:t>.(</w:t>
      </w:r>
      <w:proofErr w:type="gramEnd"/>
      <w:r w:rsidRPr="000221DB">
        <w:rPr>
          <w:rFonts w:ascii="Times New Roman" w:hAnsi="Times New Roman" w:cs="Times New Roman"/>
          <w:i/>
          <w:sz w:val="28"/>
          <w:szCs w:val="28"/>
        </w:rPr>
        <w:t>руб/1 чел)</w:t>
      </w:r>
    </w:p>
    <w:p w:rsidR="00310AB8" w:rsidRPr="00354B20" w:rsidRDefault="00310AB8" w:rsidP="007849CD">
      <w:pPr>
        <w:pBdr>
          <w:top w:val="nil"/>
          <w:left w:val="nil"/>
          <w:bottom w:val="nil"/>
          <w:right w:val="nil"/>
          <w:between w:val="nil"/>
        </w:pBdr>
        <w:spacing w:after="0" w:line="360" w:lineRule="auto"/>
        <w:ind w:firstLine="709"/>
        <w:jc w:val="both"/>
        <w:rPr>
          <w:rFonts w:ascii="Times New Roman" w:hAnsi="Times New Roman" w:cs="Times New Roman"/>
          <w:color w:val="FF0000"/>
          <w:sz w:val="28"/>
          <w:szCs w:val="28"/>
        </w:rPr>
      </w:pPr>
      <w:r w:rsidRPr="00455EE9">
        <w:rPr>
          <w:rFonts w:ascii="Times New Roman" w:hAnsi="Times New Roman" w:cs="Times New Roman"/>
          <w:sz w:val="28"/>
          <w:szCs w:val="28"/>
        </w:rPr>
        <w:br/>
        <w:t xml:space="preserve">    </w:t>
      </w:r>
      <w:proofErr w:type="gramStart"/>
      <w:r w:rsidRPr="00455EE9">
        <w:rPr>
          <w:rFonts w:ascii="Times New Roman" w:hAnsi="Times New Roman" w:cs="Times New Roman"/>
          <w:sz w:val="28"/>
          <w:szCs w:val="28"/>
        </w:rPr>
        <w:t>Уровень располагаемых ресурсов  домашних хозяйств городской местности  по Краснодарскому краю за период с 2014  по 2015 гг. поднялся с 21317,7 до 23243 р. В интервал с 2015 по 2016 гг. увеличилось до 22878,3 р. В период с 2016 по 2017 гг. увеличился до 23887,6 р. В интервал 2017 по 2018 гг. уменьшилось до 23140,7 р. В интервал с 2018 по</w:t>
      </w:r>
      <w:proofErr w:type="gramEnd"/>
      <w:r w:rsidRPr="00455EE9">
        <w:rPr>
          <w:rFonts w:ascii="Times New Roman" w:hAnsi="Times New Roman" w:cs="Times New Roman"/>
          <w:sz w:val="28"/>
          <w:szCs w:val="28"/>
        </w:rPr>
        <w:t xml:space="preserve"> </w:t>
      </w:r>
      <w:proofErr w:type="gramStart"/>
      <w:r w:rsidRPr="00455EE9">
        <w:rPr>
          <w:rFonts w:ascii="Times New Roman" w:hAnsi="Times New Roman" w:cs="Times New Roman"/>
          <w:sz w:val="28"/>
          <w:szCs w:val="28"/>
        </w:rPr>
        <w:t>2019 гг. поднялся до 24683,9 р. В период с 2019 по 2020 гг. сумма денежных средств уменьшил</w:t>
      </w:r>
      <w:r w:rsidR="000221DB">
        <w:rPr>
          <w:rFonts w:ascii="Times New Roman" w:hAnsi="Times New Roman" w:cs="Times New Roman"/>
          <w:sz w:val="28"/>
          <w:szCs w:val="28"/>
        </w:rPr>
        <w:t>ось до 24648,9 </w:t>
      </w:r>
      <w:r w:rsidRPr="00455EE9">
        <w:rPr>
          <w:rFonts w:ascii="Times New Roman" w:hAnsi="Times New Roman" w:cs="Times New Roman"/>
          <w:sz w:val="28"/>
          <w:szCs w:val="28"/>
        </w:rPr>
        <w:t>р. С интервала 2020 по 2021 гг. поднялся до 26548 р. В период с 2021 до 2022 гг. поднялся до 47786,4 р. В интервал с 2022 по 2023 гг. уменьшилось до 27303,1 р. Средний уровень располагаемых ресурсов домашних хозяйств в городской</w:t>
      </w:r>
      <w:proofErr w:type="gramEnd"/>
      <w:r w:rsidRPr="00455EE9">
        <w:rPr>
          <w:rFonts w:ascii="Times New Roman" w:hAnsi="Times New Roman" w:cs="Times New Roman"/>
          <w:sz w:val="28"/>
          <w:szCs w:val="28"/>
        </w:rPr>
        <w:t xml:space="preserve"> местности Краснодарского края за исследуемый период  сумма денежных средств равняется 24154,9 р.</w:t>
      </w:r>
      <w:r w:rsidRPr="00354B20">
        <w:rPr>
          <w:rFonts w:ascii="Times New Roman" w:hAnsi="Times New Roman" w:cs="Times New Roman"/>
          <w:color w:val="FF0000"/>
          <w:sz w:val="28"/>
          <w:szCs w:val="28"/>
        </w:rPr>
        <w:br/>
      </w:r>
    </w:p>
    <w:p w:rsidR="00310AB8" w:rsidRPr="00455EE9" w:rsidRDefault="00310AB8" w:rsidP="005A55FD">
      <w:pPr>
        <w:pBdr>
          <w:top w:val="nil"/>
          <w:left w:val="nil"/>
          <w:bottom w:val="nil"/>
          <w:right w:val="nil"/>
          <w:between w:val="nil"/>
        </w:pBdr>
        <w:spacing w:after="0" w:line="360" w:lineRule="auto"/>
        <w:ind w:firstLine="709"/>
        <w:jc w:val="center"/>
        <w:rPr>
          <w:rFonts w:ascii="Times New Roman" w:hAnsi="Times New Roman" w:cs="Times New Roman"/>
          <w:sz w:val="28"/>
          <w:szCs w:val="28"/>
        </w:rPr>
      </w:pPr>
      <w:r w:rsidRPr="00354B20">
        <w:rPr>
          <w:rFonts w:ascii="Times New Roman" w:hAnsi="Times New Roman" w:cs="Times New Roman"/>
          <w:color w:val="FF0000"/>
          <w:sz w:val="28"/>
          <w:szCs w:val="28"/>
        </w:rPr>
        <w:br/>
      </w:r>
      <w:r w:rsidRPr="00354B20">
        <w:rPr>
          <w:rFonts w:ascii="Times New Roman" w:hAnsi="Times New Roman" w:cs="Times New Roman"/>
          <w:color w:val="FF0000"/>
          <w:sz w:val="28"/>
          <w:szCs w:val="28"/>
        </w:rPr>
        <w:br/>
      </w:r>
      <w:r w:rsidRPr="00354B20">
        <w:rPr>
          <w:rFonts w:ascii="Times New Roman" w:hAnsi="Times New Roman" w:cs="Times New Roman"/>
          <w:noProof/>
          <w:color w:val="FF0000"/>
          <w:sz w:val="28"/>
          <w:szCs w:val="28"/>
          <w:lang w:eastAsia="ru-RU" w:bidi="ar-SA"/>
        </w:rPr>
        <w:lastRenderedPageBreak/>
        <w:drawing>
          <wp:inline distT="0" distB="0" distL="0" distR="0">
            <wp:extent cx="6153150" cy="3143250"/>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0221DB">
        <w:rPr>
          <w:rFonts w:ascii="Times New Roman" w:hAnsi="Times New Roman" w:cs="Times New Roman"/>
          <w:i/>
          <w:sz w:val="28"/>
          <w:szCs w:val="28"/>
        </w:rPr>
        <w:t>Рисунок 6– Уровень располагаемых ресурсов домашних хозяйств в сельской местности в </w:t>
      </w:r>
      <w:r w:rsidR="00671620" w:rsidRPr="000221DB">
        <w:rPr>
          <w:rFonts w:ascii="Times New Roman" w:hAnsi="Times New Roman" w:cs="Times New Roman"/>
          <w:i/>
          <w:sz w:val="28"/>
          <w:szCs w:val="28"/>
        </w:rPr>
        <w:t>Краснодарском крае</w:t>
      </w:r>
      <w:proofErr w:type="gramStart"/>
      <w:r w:rsidR="00671620" w:rsidRPr="000221DB">
        <w:rPr>
          <w:rFonts w:ascii="Times New Roman" w:hAnsi="Times New Roman" w:cs="Times New Roman"/>
          <w:i/>
          <w:sz w:val="28"/>
          <w:szCs w:val="28"/>
        </w:rPr>
        <w:t>.</w:t>
      </w:r>
      <w:proofErr w:type="gramEnd"/>
      <w:r w:rsidR="00671620" w:rsidRPr="000221DB">
        <w:rPr>
          <w:rFonts w:ascii="Times New Roman" w:hAnsi="Times New Roman" w:cs="Times New Roman"/>
          <w:i/>
          <w:sz w:val="28"/>
          <w:szCs w:val="28"/>
        </w:rPr>
        <w:t> (</w:t>
      </w:r>
      <w:proofErr w:type="gramStart"/>
      <w:r w:rsidR="00671620" w:rsidRPr="000221DB">
        <w:rPr>
          <w:rFonts w:ascii="Times New Roman" w:hAnsi="Times New Roman" w:cs="Times New Roman"/>
          <w:i/>
          <w:sz w:val="28"/>
          <w:szCs w:val="28"/>
        </w:rPr>
        <w:t>р</w:t>
      </w:r>
      <w:proofErr w:type="gramEnd"/>
      <w:r w:rsidR="00671620" w:rsidRPr="000221DB">
        <w:rPr>
          <w:rFonts w:ascii="Times New Roman" w:hAnsi="Times New Roman" w:cs="Times New Roman"/>
          <w:i/>
          <w:sz w:val="28"/>
          <w:szCs w:val="28"/>
        </w:rPr>
        <w:t>уб/1 чел)</w:t>
      </w:r>
    </w:p>
    <w:p w:rsidR="000221DB" w:rsidRDefault="00310AB8" w:rsidP="007849CD">
      <w:pPr>
        <w:pBdr>
          <w:top w:val="nil"/>
          <w:left w:val="nil"/>
          <w:bottom w:val="nil"/>
          <w:right w:val="nil"/>
          <w:between w:val="nil"/>
        </w:pBdr>
        <w:spacing w:after="0" w:line="360" w:lineRule="auto"/>
        <w:jc w:val="both"/>
        <w:rPr>
          <w:rFonts w:ascii="Times New Roman" w:hAnsi="Times New Roman" w:cs="Times New Roman"/>
          <w:b/>
          <w:sz w:val="28"/>
          <w:szCs w:val="28"/>
        </w:rPr>
      </w:pPr>
      <w:r w:rsidRPr="00455EE9">
        <w:rPr>
          <w:rFonts w:ascii="Times New Roman" w:hAnsi="Times New Roman" w:cs="Times New Roman"/>
          <w:sz w:val="28"/>
          <w:szCs w:val="28"/>
        </w:rPr>
        <w:br/>
        <w:t xml:space="preserve">     </w:t>
      </w:r>
      <w:proofErr w:type="gramStart"/>
      <w:r w:rsidRPr="00455EE9">
        <w:rPr>
          <w:rFonts w:ascii="Times New Roman" w:hAnsi="Times New Roman" w:cs="Times New Roman"/>
          <w:sz w:val="28"/>
          <w:szCs w:val="28"/>
        </w:rPr>
        <w:t>Уровень располагаемых ресурсов  домашних хозяйств сельской местности  по Краснодарскому краю за период с 2014  по 2015 гг. поднялся с 17622,4 до 17936 р. В интервал с 2015 по 2016 гг. увеличилось до 18896,4 р. В период с 2016 по 2017 гг. увеличился до 22191,7 р. В интервал 2017 по 2018 гг. поднялся до 26114,4 р. В интервал с 2018 по</w:t>
      </w:r>
      <w:proofErr w:type="gramEnd"/>
      <w:r w:rsidRPr="00455EE9">
        <w:rPr>
          <w:rFonts w:ascii="Times New Roman" w:hAnsi="Times New Roman" w:cs="Times New Roman"/>
          <w:sz w:val="28"/>
          <w:szCs w:val="28"/>
        </w:rPr>
        <w:t xml:space="preserve"> </w:t>
      </w:r>
      <w:proofErr w:type="gramStart"/>
      <w:r w:rsidRPr="00455EE9">
        <w:rPr>
          <w:rFonts w:ascii="Times New Roman" w:hAnsi="Times New Roman" w:cs="Times New Roman"/>
          <w:sz w:val="28"/>
          <w:szCs w:val="28"/>
        </w:rPr>
        <w:t>2019 гг. уменьшилось до 24692,9 р. А в период с 2019 по 2020 гг. сумма денежных средств увеличилось до 25360,2 р. С интервала 2020 по 2021 гг. поднялся до 27337,8 р. В период с 2021 до 2022 гг. поднялся до 48296,7 р. В интервал с 2022 по 2023 гг. упало до 38451,7 р. Средний уровень располагаемых ресурсов домашних хозяйств в</w:t>
      </w:r>
      <w:proofErr w:type="gramEnd"/>
      <w:r w:rsidRPr="00455EE9">
        <w:rPr>
          <w:rFonts w:ascii="Times New Roman" w:hAnsi="Times New Roman" w:cs="Times New Roman"/>
          <w:sz w:val="28"/>
          <w:szCs w:val="28"/>
        </w:rPr>
        <w:t xml:space="preserve"> сельской местности Краснодарского края за исследуемый период  сумма денежных средств равняется 26689,9 р.</w:t>
      </w:r>
      <w:r w:rsidRPr="00354B20">
        <w:rPr>
          <w:rFonts w:ascii="Times New Roman" w:hAnsi="Times New Roman" w:cs="Times New Roman"/>
          <w:color w:val="FF0000"/>
          <w:sz w:val="28"/>
          <w:szCs w:val="28"/>
        </w:rPr>
        <w:br/>
      </w:r>
      <w:bookmarkStart w:id="0" w:name="_GoBack"/>
      <w:bookmarkEnd w:id="0"/>
    </w:p>
    <w:p w:rsidR="00310AB8" w:rsidRPr="00455EE9" w:rsidRDefault="00310AB8" w:rsidP="000221DB">
      <w:pPr>
        <w:pBdr>
          <w:top w:val="nil"/>
          <w:left w:val="nil"/>
          <w:bottom w:val="nil"/>
          <w:right w:val="nil"/>
          <w:between w:val="nil"/>
        </w:pBdr>
        <w:spacing w:after="0" w:line="360" w:lineRule="auto"/>
        <w:ind w:firstLine="708"/>
        <w:jc w:val="both"/>
        <w:rPr>
          <w:rFonts w:ascii="Times New Roman" w:hAnsi="Times New Roman" w:cs="Times New Roman"/>
          <w:sz w:val="28"/>
          <w:szCs w:val="28"/>
        </w:rPr>
      </w:pPr>
      <w:r w:rsidRPr="00455EE9">
        <w:rPr>
          <w:rFonts w:ascii="Times New Roman" w:hAnsi="Times New Roman" w:cs="Times New Roman"/>
          <w:b/>
          <w:sz w:val="28"/>
          <w:szCs w:val="28"/>
        </w:rPr>
        <w:t>Заключение:</w:t>
      </w:r>
      <w:r w:rsidRPr="00455EE9">
        <w:rPr>
          <w:rFonts w:ascii="Times New Roman" w:hAnsi="Times New Roman" w:cs="Times New Roman"/>
          <w:sz w:val="28"/>
          <w:szCs w:val="28"/>
        </w:rPr>
        <w:t xml:space="preserve"> </w:t>
      </w:r>
      <w:r w:rsidRPr="00455EE9">
        <w:rPr>
          <w:rFonts w:ascii="Times New Roman" w:hAnsi="Times New Roman" w:cs="Times New Roman"/>
          <w:sz w:val="28"/>
          <w:szCs w:val="28"/>
        </w:rPr>
        <w:br/>
        <w:t xml:space="preserve">  </w:t>
      </w:r>
      <w:r w:rsidR="000221DB">
        <w:rPr>
          <w:rFonts w:ascii="Times New Roman" w:hAnsi="Times New Roman" w:cs="Times New Roman"/>
          <w:sz w:val="28"/>
          <w:szCs w:val="28"/>
        </w:rPr>
        <w:tab/>
      </w:r>
      <w:proofErr w:type="gramStart"/>
      <w:r w:rsidRPr="00455EE9">
        <w:rPr>
          <w:rFonts w:ascii="Times New Roman" w:hAnsi="Times New Roman" w:cs="Times New Roman"/>
          <w:sz w:val="28"/>
          <w:szCs w:val="28"/>
        </w:rPr>
        <w:t>Уровень располагаемых ресурсов всех домашних хозяйств по Российской Федерации в период с 2014 по 2023 год поднялся с 22890, 1р. до 36692, 6 р. на сумму 13802, 5 р. средний уровень составляет 25496, 8 р. В то же время этот показатель домашних хозяйств городской местн</w:t>
      </w:r>
      <w:r w:rsidR="000221DB">
        <w:rPr>
          <w:rFonts w:ascii="Times New Roman" w:hAnsi="Times New Roman" w:cs="Times New Roman"/>
          <w:sz w:val="28"/>
          <w:szCs w:val="28"/>
        </w:rPr>
        <w:t xml:space="preserve">ости в 2014 г. составлял </w:t>
      </w:r>
      <w:r w:rsidR="000221DB">
        <w:rPr>
          <w:rFonts w:ascii="Times New Roman" w:hAnsi="Times New Roman" w:cs="Times New Roman"/>
          <w:sz w:val="28"/>
          <w:szCs w:val="28"/>
        </w:rPr>
        <w:lastRenderedPageBreak/>
        <w:t>25347, </w:t>
      </w:r>
      <w:r w:rsidRPr="00455EE9">
        <w:rPr>
          <w:rFonts w:ascii="Times New Roman" w:hAnsi="Times New Roman" w:cs="Times New Roman"/>
          <w:sz w:val="28"/>
          <w:szCs w:val="28"/>
        </w:rPr>
        <w:t>5 р. а в 2023 г. - 39974, 3 р. Повысилось</w:t>
      </w:r>
      <w:proofErr w:type="gramEnd"/>
      <w:r w:rsidRPr="00455EE9">
        <w:rPr>
          <w:rFonts w:ascii="Times New Roman" w:hAnsi="Times New Roman" w:cs="Times New Roman"/>
          <w:sz w:val="28"/>
          <w:szCs w:val="28"/>
        </w:rPr>
        <w:t xml:space="preserve"> на 14626, 8р. что в среднем получается 31195, 5 р. А вот уровень в сельской местности с 2014 по 2023 гг. поднялось незначительно –  с 15802,3 р. до 26900,5 р. на 11098,2 р.</w:t>
      </w:r>
      <w:r w:rsidRPr="00455EE9">
        <w:rPr>
          <w:rFonts w:ascii="Times New Roman" w:hAnsi="Times New Roman" w:cs="Times New Roman"/>
          <w:sz w:val="28"/>
          <w:szCs w:val="28"/>
        </w:rPr>
        <w:br/>
        <w:t xml:space="preserve"> Рассматривая те же показатели в Краснодарском Крае, можно отметить следующее: </w:t>
      </w:r>
      <w:proofErr w:type="gramStart"/>
      <w:r w:rsidRPr="00455EE9">
        <w:rPr>
          <w:rFonts w:ascii="Times New Roman" w:hAnsi="Times New Roman" w:cs="Times New Roman"/>
          <w:sz w:val="28"/>
          <w:szCs w:val="28"/>
        </w:rPr>
        <w:t>Уровень располагаемых ресурсов всех домашних хозяйств с 2014 по 2023 гг. поднялся с 19614, 1 р. до 32080, 8 р. на 12466,7 р. в среднем выходит 24438,5 р. Также в период с 2014 по 2023 гг., уровень располагаемых ресурсов домашних хозяйств в городской местности можно заметить резкий подъем в 2022 г. с 21317,7 р. до 47786,4 р. и резкий спад</w:t>
      </w:r>
      <w:proofErr w:type="gramEnd"/>
      <w:r w:rsidRPr="00455EE9">
        <w:rPr>
          <w:rFonts w:ascii="Times New Roman" w:hAnsi="Times New Roman" w:cs="Times New Roman"/>
          <w:sz w:val="28"/>
          <w:szCs w:val="28"/>
        </w:rPr>
        <w:t xml:space="preserve"> </w:t>
      </w:r>
      <w:proofErr w:type="gramStart"/>
      <w:r w:rsidRPr="00455EE9">
        <w:rPr>
          <w:rFonts w:ascii="Times New Roman" w:hAnsi="Times New Roman" w:cs="Times New Roman"/>
          <w:sz w:val="28"/>
          <w:szCs w:val="28"/>
        </w:rPr>
        <w:t>в 2</w:t>
      </w:r>
      <w:r w:rsidR="000221DB">
        <w:rPr>
          <w:rFonts w:ascii="Times New Roman" w:hAnsi="Times New Roman" w:cs="Times New Roman"/>
          <w:sz w:val="28"/>
          <w:szCs w:val="28"/>
        </w:rPr>
        <w:t>023 г. до 27303,1 р. на 20483,3 </w:t>
      </w:r>
      <w:r w:rsidRPr="00455EE9">
        <w:rPr>
          <w:rFonts w:ascii="Times New Roman" w:hAnsi="Times New Roman" w:cs="Times New Roman"/>
          <w:sz w:val="28"/>
          <w:szCs w:val="28"/>
        </w:rPr>
        <w:t>р. Средний уровень выходит 24154,9 р. Рассматривая те же показатели можно заметить, что в период с 2014 по 2023 гг. уровень домашних хозяйств в сельской местности увеличился с 17622,4 р. до 48296,7 р. в 2022 г. на 30674,7 р. и так же резкий спад в 2023 г. до 38451,7 р. Средний уровень</w:t>
      </w:r>
      <w:proofErr w:type="gramEnd"/>
      <w:r w:rsidRPr="00455EE9">
        <w:rPr>
          <w:rFonts w:ascii="Times New Roman" w:hAnsi="Times New Roman" w:cs="Times New Roman"/>
          <w:sz w:val="28"/>
          <w:szCs w:val="28"/>
        </w:rPr>
        <w:t xml:space="preserve"> располагаемых ресурсов составляет 26689,9 р.</w:t>
      </w:r>
    </w:p>
    <w:p w:rsidR="005A55FD" w:rsidRDefault="005A55FD" w:rsidP="005A55FD">
      <w:pPr>
        <w:spacing w:after="0" w:line="360" w:lineRule="auto"/>
        <w:jc w:val="center"/>
        <w:rPr>
          <w:rFonts w:ascii="Times New Roman" w:hAnsi="Times New Roman" w:cs="Times New Roman"/>
          <w:b/>
          <w:sz w:val="24"/>
          <w:szCs w:val="24"/>
          <w:lang w:bidi="ar-SA"/>
        </w:rPr>
      </w:pPr>
    </w:p>
    <w:p w:rsidR="005A55FD" w:rsidRDefault="00231E28" w:rsidP="005A55FD">
      <w:pPr>
        <w:spacing w:after="0" w:line="360" w:lineRule="auto"/>
        <w:jc w:val="center"/>
        <w:rPr>
          <w:rFonts w:ascii="Times New Roman" w:hAnsi="Times New Roman" w:cs="Times New Roman"/>
          <w:b/>
          <w:sz w:val="24"/>
          <w:szCs w:val="24"/>
          <w:lang w:bidi="ar-SA"/>
        </w:rPr>
      </w:pPr>
      <w:r w:rsidRPr="00231E28">
        <w:rPr>
          <w:rFonts w:ascii="Times New Roman" w:hAnsi="Times New Roman" w:cs="Times New Roman"/>
          <w:b/>
          <w:sz w:val="24"/>
          <w:szCs w:val="24"/>
          <w:lang w:bidi="ar-SA"/>
        </w:rPr>
        <w:t>СПИСОК ИСПОЛЬЗОВАННЫХ ИСТОЧНИКОВ</w:t>
      </w:r>
    </w:p>
    <w:p w:rsidR="00830738" w:rsidRPr="005A55FD" w:rsidRDefault="005A55FD" w:rsidP="005A55FD">
      <w:pPr>
        <w:spacing w:after="0" w:line="360" w:lineRule="auto"/>
        <w:jc w:val="both"/>
        <w:rPr>
          <w:rFonts w:ascii="Times New Roman" w:hAnsi="Times New Roman"/>
          <w:b/>
          <w:sz w:val="24"/>
          <w:szCs w:val="24"/>
          <w:lang w:bidi="ar-SA"/>
        </w:rPr>
      </w:pPr>
      <w:r>
        <w:rPr>
          <w:rFonts w:ascii="Times New Roman" w:hAnsi="Times New Roman"/>
          <w:sz w:val="28"/>
          <w:szCs w:val="16"/>
        </w:rPr>
        <w:t xml:space="preserve">1. </w:t>
      </w:r>
      <w:proofErr w:type="spellStart"/>
      <w:r w:rsidR="00830738" w:rsidRPr="005A55FD">
        <w:rPr>
          <w:rFonts w:ascii="Times New Roman" w:hAnsi="Times New Roman"/>
          <w:sz w:val="28"/>
          <w:szCs w:val="16"/>
        </w:rPr>
        <w:t>Бессонова</w:t>
      </w:r>
      <w:proofErr w:type="gramStart"/>
      <w:r w:rsidR="00830738" w:rsidRPr="005A55FD">
        <w:rPr>
          <w:rFonts w:ascii="Times New Roman" w:hAnsi="Times New Roman"/>
          <w:sz w:val="28"/>
          <w:szCs w:val="16"/>
        </w:rPr>
        <w:t>.Е</w:t>
      </w:r>
      <w:proofErr w:type="spellEnd"/>
      <w:proofErr w:type="gramEnd"/>
      <w:r w:rsidR="00830738" w:rsidRPr="005A55FD">
        <w:rPr>
          <w:rFonts w:ascii="Times New Roman" w:hAnsi="Times New Roman"/>
          <w:sz w:val="28"/>
          <w:szCs w:val="16"/>
        </w:rPr>
        <w:t>., Цветкова А. Фин</w:t>
      </w:r>
      <w:r>
        <w:rPr>
          <w:rFonts w:ascii="Times New Roman" w:hAnsi="Times New Roman"/>
          <w:sz w:val="28"/>
          <w:szCs w:val="16"/>
        </w:rPr>
        <w:t xml:space="preserve">ансы Российских домохозяйств в </w:t>
      </w:r>
      <w:r w:rsidR="00830738" w:rsidRPr="005A55FD">
        <w:rPr>
          <w:rFonts w:ascii="Times New Roman" w:hAnsi="Times New Roman"/>
          <w:sz w:val="28"/>
          <w:szCs w:val="16"/>
        </w:rPr>
        <w:t>2022 году</w:t>
      </w:r>
      <w:r>
        <w:rPr>
          <w:rFonts w:ascii="Times New Roman" w:hAnsi="Times New Roman"/>
          <w:sz w:val="28"/>
          <w:szCs w:val="16"/>
        </w:rPr>
        <w:t xml:space="preserve"> / </w:t>
      </w:r>
      <w:proofErr w:type="spellStart"/>
      <w:r>
        <w:rPr>
          <w:rFonts w:ascii="Times New Roman" w:hAnsi="Times New Roman"/>
          <w:sz w:val="28"/>
          <w:szCs w:val="16"/>
        </w:rPr>
        <w:t>Бессонова.Е</w:t>
      </w:r>
      <w:proofErr w:type="spellEnd"/>
      <w:r>
        <w:rPr>
          <w:rFonts w:ascii="Times New Roman" w:hAnsi="Times New Roman"/>
          <w:sz w:val="28"/>
          <w:szCs w:val="16"/>
        </w:rPr>
        <w:t xml:space="preserve">., Цветкова А. – </w:t>
      </w:r>
      <w:r w:rsidR="00830738" w:rsidRPr="005A55FD">
        <w:rPr>
          <w:rFonts w:ascii="Times New Roman" w:hAnsi="Times New Roman"/>
          <w:sz w:val="28"/>
          <w:szCs w:val="16"/>
        </w:rPr>
        <w:t>2022. – С. 4 – 8 . (Аналитическая запись).  URL: https://cbr.ru/Content/Document/File/146276/analytic_note_20230419_dip.pdf (дата обращения: 13.10.2023).</w:t>
      </w:r>
    </w:p>
    <w:p w:rsidR="00830738" w:rsidRPr="00830738" w:rsidRDefault="005A55FD" w:rsidP="005A55FD">
      <w:pPr>
        <w:pStyle w:val="a4"/>
        <w:spacing w:line="360" w:lineRule="auto"/>
        <w:jc w:val="both"/>
        <w:rPr>
          <w:rFonts w:ascii="Times New Roman" w:hAnsi="Times New Roman" w:cs="Times New Roman"/>
          <w:sz w:val="28"/>
          <w:szCs w:val="16"/>
        </w:rPr>
      </w:pPr>
      <w:r>
        <w:rPr>
          <w:rFonts w:ascii="Times New Roman" w:hAnsi="Times New Roman" w:cs="Times New Roman"/>
          <w:sz w:val="28"/>
          <w:szCs w:val="16"/>
        </w:rPr>
        <w:t xml:space="preserve">2. </w:t>
      </w:r>
      <w:r w:rsidR="00830738" w:rsidRPr="00830738">
        <w:rPr>
          <w:rFonts w:ascii="Times New Roman" w:hAnsi="Times New Roman" w:cs="Times New Roman"/>
          <w:sz w:val="28"/>
          <w:szCs w:val="16"/>
        </w:rPr>
        <w:t>Доходы, расходы и потребление домашних хозяйств в 2020 году // Федеральная сл</w:t>
      </w:r>
      <w:r>
        <w:rPr>
          <w:rFonts w:ascii="Times New Roman" w:hAnsi="Times New Roman" w:cs="Times New Roman"/>
          <w:sz w:val="28"/>
          <w:szCs w:val="16"/>
        </w:rPr>
        <w:t>ужба государственной статистики</w:t>
      </w:r>
      <w:r w:rsidR="00830738" w:rsidRPr="00830738">
        <w:rPr>
          <w:rFonts w:ascii="Times New Roman" w:hAnsi="Times New Roman" w:cs="Times New Roman"/>
          <w:sz w:val="28"/>
          <w:szCs w:val="16"/>
        </w:rPr>
        <w:t>: [официальный сайт]. – 2020. – URL: http://gks.ru/bgd/regl/b20_102/ (дата обращения: 13.10.2023).</w:t>
      </w:r>
    </w:p>
    <w:p w:rsidR="00830738" w:rsidRPr="00830738" w:rsidRDefault="005A55FD" w:rsidP="005A55FD">
      <w:pPr>
        <w:pStyle w:val="a4"/>
        <w:spacing w:line="360" w:lineRule="auto"/>
        <w:jc w:val="both"/>
        <w:rPr>
          <w:rFonts w:ascii="Times New Roman" w:hAnsi="Times New Roman" w:cs="Times New Roman"/>
          <w:sz w:val="28"/>
          <w:szCs w:val="16"/>
        </w:rPr>
      </w:pPr>
      <w:r>
        <w:rPr>
          <w:rFonts w:ascii="Times New Roman" w:hAnsi="Times New Roman" w:cs="Times New Roman"/>
          <w:sz w:val="28"/>
          <w:szCs w:val="16"/>
        </w:rPr>
        <w:t xml:space="preserve">3. </w:t>
      </w:r>
      <w:r w:rsidR="00830738" w:rsidRPr="00830738">
        <w:rPr>
          <w:rFonts w:ascii="Times New Roman" w:hAnsi="Times New Roman" w:cs="Times New Roman"/>
          <w:sz w:val="28"/>
          <w:szCs w:val="16"/>
        </w:rPr>
        <w:t>Пасынков А.Ф. Структура доходов домашних хозяйств в России: региональные особенности / А.Ф. Пасынков // Научный журнал. –  20</w:t>
      </w:r>
      <w:r>
        <w:rPr>
          <w:rFonts w:ascii="Times New Roman" w:hAnsi="Times New Roman" w:cs="Times New Roman"/>
          <w:sz w:val="28"/>
          <w:szCs w:val="16"/>
        </w:rPr>
        <w:t xml:space="preserve">22. – № 11. – С. 53-58. – URL: </w:t>
      </w:r>
      <w:r w:rsidR="00830738" w:rsidRPr="00830738">
        <w:rPr>
          <w:rFonts w:ascii="Times New Roman" w:hAnsi="Times New Roman" w:cs="Times New Roman"/>
          <w:sz w:val="28"/>
          <w:szCs w:val="16"/>
        </w:rPr>
        <w:t>(дата обращения: 13.10.23).</w:t>
      </w:r>
    </w:p>
    <w:p w:rsidR="00830738" w:rsidRPr="00830738" w:rsidRDefault="005A55FD" w:rsidP="005A55FD">
      <w:pPr>
        <w:pStyle w:val="a4"/>
        <w:spacing w:line="360" w:lineRule="auto"/>
        <w:jc w:val="both"/>
        <w:rPr>
          <w:rFonts w:ascii="Times New Roman" w:hAnsi="Times New Roman" w:cs="Times New Roman"/>
          <w:sz w:val="28"/>
          <w:szCs w:val="16"/>
        </w:rPr>
      </w:pPr>
      <w:r>
        <w:rPr>
          <w:rFonts w:ascii="Times New Roman" w:hAnsi="Times New Roman" w:cs="Times New Roman"/>
          <w:sz w:val="28"/>
          <w:szCs w:val="16"/>
        </w:rPr>
        <w:t xml:space="preserve">4. </w:t>
      </w:r>
      <w:r w:rsidR="00830738" w:rsidRPr="00830738">
        <w:rPr>
          <w:rFonts w:ascii="Times New Roman" w:hAnsi="Times New Roman" w:cs="Times New Roman"/>
          <w:sz w:val="28"/>
          <w:szCs w:val="16"/>
        </w:rPr>
        <w:t>Структура располагаемых ресурсов домашних хозяйств // Реальное время: [официальный сайт]. – 2015-2023. – URL: https://realnoevremya.ru/attachments/1707 (дата обращения 13.10.2023).</w:t>
      </w:r>
    </w:p>
    <w:p w:rsidR="00830738" w:rsidRPr="00830738" w:rsidRDefault="005A55FD" w:rsidP="005A55FD">
      <w:pPr>
        <w:pStyle w:val="a4"/>
        <w:spacing w:line="360" w:lineRule="auto"/>
        <w:jc w:val="both"/>
        <w:rPr>
          <w:rFonts w:ascii="Times New Roman" w:hAnsi="Times New Roman" w:cs="Times New Roman"/>
          <w:sz w:val="28"/>
          <w:szCs w:val="16"/>
        </w:rPr>
      </w:pPr>
      <w:r>
        <w:rPr>
          <w:rFonts w:ascii="Times New Roman" w:hAnsi="Times New Roman" w:cs="Times New Roman"/>
          <w:sz w:val="28"/>
          <w:szCs w:val="16"/>
        </w:rPr>
        <w:lastRenderedPageBreak/>
        <w:t xml:space="preserve">5. </w:t>
      </w:r>
      <w:r w:rsidR="00830738" w:rsidRPr="00830738">
        <w:rPr>
          <w:rFonts w:ascii="Times New Roman" w:hAnsi="Times New Roman" w:cs="Times New Roman"/>
          <w:sz w:val="28"/>
          <w:szCs w:val="16"/>
        </w:rPr>
        <w:t>Факторы, характеризующие жизнедеятельность семьи, ее социальное благополучие, воспита</w:t>
      </w:r>
      <w:r>
        <w:rPr>
          <w:rFonts w:ascii="Times New Roman" w:hAnsi="Times New Roman" w:cs="Times New Roman"/>
          <w:sz w:val="28"/>
          <w:szCs w:val="16"/>
        </w:rPr>
        <w:t xml:space="preserve">тельный потенциал // </w:t>
      </w:r>
      <w:proofErr w:type="spellStart"/>
      <w:r>
        <w:rPr>
          <w:rFonts w:ascii="Times New Roman" w:hAnsi="Times New Roman" w:cs="Times New Roman"/>
          <w:sz w:val="28"/>
          <w:szCs w:val="16"/>
        </w:rPr>
        <w:t>Студопедия</w:t>
      </w:r>
      <w:proofErr w:type="spellEnd"/>
      <w:r w:rsidR="00830738" w:rsidRPr="00830738">
        <w:rPr>
          <w:rFonts w:ascii="Times New Roman" w:hAnsi="Times New Roman" w:cs="Times New Roman"/>
          <w:sz w:val="28"/>
          <w:szCs w:val="16"/>
        </w:rPr>
        <w:t>: [официальный сайт]. – 2015. – URL: https://studopedia.ru/9_9838_faktori-harakterizuyushchie-zhiznedeyatelnost-semi-ee-sotsialnoe-blagopoluchie-vospitatelniy-potentsial.html (дата обращения 29.10.2023).</w:t>
      </w:r>
    </w:p>
    <w:p w:rsidR="000C2F7A" w:rsidRPr="003847F7" w:rsidRDefault="00423AD7" w:rsidP="007849CD">
      <w:pPr>
        <w:pStyle w:val="a4"/>
        <w:spacing w:line="360" w:lineRule="auto"/>
        <w:ind w:firstLine="709"/>
        <w:jc w:val="both"/>
        <w:rPr>
          <w:rFonts w:ascii="Times New Roman" w:hAnsi="Times New Roman" w:cs="Times New Roman"/>
          <w:sz w:val="28"/>
          <w:szCs w:val="28"/>
        </w:rPr>
      </w:pPr>
      <w:r w:rsidRPr="003847F7">
        <w:rPr>
          <w:rFonts w:ascii="Times New Roman" w:hAnsi="Times New Roman" w:cs="Times New Roman"/>
          <w:sz w:val="28"/>
          <w:szCs w:val="16"/>
        </w:rPr>
        <w:br/>
      </w:r>
    </w:p>
    <w:p w:rsidR="00742DCF" w:rsidRPr="007849CD" w:rsidRDefault="00742DCF" w:rsidP="007849CD">
      <w:pPr>
        <w:spacing w:after="0" w:line="240" w:lineRule="auto"/>
        <w:jc w:val="both"/>
        <w:rPr>
          <w:rFonts w:ascii="Times New Roman" w:hAnsi="Times New Roman" w:cs="Times New Roman"/>
          <w:sz w:val="24"/>
          <w:szCs w:val="24"/>
          <w:lang w:eastAsia="ar-SA" w:bidi="ar-SA"/>
        </w:rPr>
      </w:pPr>
    </w:p>
    <w:sectPr w:rsidR="00742DCF" w:rsidRPr="007849CD" w:rsidSect="007849C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720" w:hanging="360"/>
      </w:pPr>
      <w:rPr>
        <w:rFonts w:ascii="Times New Roman" w:hAnsi="Times New Roman" w:cs="Times New Roman" w:hint="default"/>
        <w:sz w:val="24"/>
      </w:rPr>
    </w:lvl>
  </w:abstractNum>
  <w:abstractNum w:abstractNumId="1">
    <w:nsid w:val="00000003"/>
    <w:multiLevelType w:val="multilevel"/>
    <w:tmpl w:val="00000003"/>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0000004"/>
    <w:multiLevelType w:val="singleLevel"/>
    <w:tmpl w:val="00000004"/>
    <w:name w:val="WW8Num2"/>
    <w:lvl w:ilvl="0">
      <w:start w:val="1"/>
      <w:numFmt w:val="decimal"/>
      <w:lvlText w:val="%1."/>
      <w:lvlJc w:val="left"/>
      <w:pPr>
        <w:tabs>
          <w:tab w:val="num" w:pos="0"/>
        </w:tabs>
        <w:ind w:left="360" w:hanging="360"/>
      </w:pPr>
      <w:rPr>
        <w:rFonts w:hint="default"/>
        <w:b w:val="0"/>
      </w:rPr>
    </w:lvl>
  </w:abstractNum>
  <w:abstractNum w:abstractNumId="3">
    <w:nsid w:val="0001562A"/>
    <w:multiLevelType w:val="hybridMultilevel"/>
    <w:tmpl w:val="06786A9A"/>
    <w:lvl w:ilvl="0" w:tplc="1EE806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83229FD"/>
    <w:multiLevelType w:val="hybridMultilevel"/>
    <w:tmpl w:val="FF589E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AB2FDC"/>
    <w:multiLevelType w:val="hybridMultilevel"/>
    <w:tmpl w:val="71809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912C77"/>
    <w:multiLevelType w:val="hybridMultilevel"/>
    <w:tmpl w:val="73586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482901"/>
    <w:multiLevelType w:val="hybridMultilevel"/>
    <w:tmpl w:val="9E8A983C"/>
    <w:lvl w:ilvl="0" w:tplc="9A6ED2E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2C06A2"/>
    <w:multiLevelType w:val="hybridMultilevel"/>
    <w:tmpl w:val="B82617D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nsid w:val="49562616"/>
    <w:multiLevelType w:val="hybridMultilevel"/>
    <w:tmpl w:val="FB3AA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4B7EE1"/>
    <w:multiLevelType w:val="hybridMultilevel"/>
    <w:tmpl w:val="75640EAE"/>
    <w:lvl w:ilvl="0" w:tplc="7754332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9"/>
  </w:num>
  <w:num w:numId="5">
    <w:abstractNumId w:val="3"/>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28"/>
    <w:rsid w:val="00021BC9"/>
    <w:rsid w:val="000221DB"/>
    <w:rsid w:val="00056958"/>
    <w:rsid w:val="000C2F7A"/>
    <w:rsid w:val="00117EB4"/>
    <w:rsid w:val="00157467"/>
    <w:rsid w:val="00196C63"/>
    <w:rsid w:val="001B25D7"/>
    <w:rsid w:val="001B60BA"/>
    <w:rsid w:val="001C4097"/>
    <w:rsid w:val="00231E28"/>
    <w:rsid w:val="00246997"/>
    <w:rsid w:val="00247AE7"/>
    <w:rsid w:val="00276339"/>
    <w:rsid w:val="002C4AC7"/>
    <w:rsid w:val="00310AB8"/>
    <w:rsid w:val="00332B48"/>
    <w:rsid w:val="0034120D"/>
    <w:rsid w:val="00354B20"/>
    <w:rsid w:val="003847F7"/>
    <w:rsid w:val="0038728E"/>
    <w:rsid w:val="003D1CE6"/>
    <w:rsid w:val="00411B9A"/>
    <w:rsid w:val="00423AD7"/>
    <w:rsid w:val="004501F3"/>
    <w:rsid w:val="00455EE9"/>
    <w:rsid w:val="00472D7B"/>
    <w:rsid w:val="004A3CE5"/>
    <w:rsid w:val="005263DF"/>
    <w:rsid w:val="00543694"/>
    <w:rsid w:val="005A55FD"/>
    <w:rsid w:val="005D4B6B"/>
    <w:rsid w:val="005E683B"/>
    <w:rsid w:val="005E7BFD"/>
    <w:rsid w:val="00665578"/>
    <w:rsid w:val="00671620"/>
    <w:rsid w:val="00693A50"/>
    <w:rsid w:val="006E7B2B"/>
    <w:rsid w:val="00742DCF"/>
    <w:rsid w:val="007849CD"/>
    <w:rsid w:val="007C2254"/>
    <w:rsid w:val="00830738"/>
    <w:rsid w:val="00865214"/>
    <w:rsid w:val="008B5ADD"/>
    <w:rsid w:val="008F22AA"/>
    <w:rsid w:val="00905A4F"/>
    <w:rsid w:val="00906462"/>
    <w:rsid w:val="00970978"/>
    <w:rsid w:val="00993E3E"/>
    <w:rsid w:val="00A53832"/>
    <w:rsid w:val="00A579BC"/>
    <w:rsid w:val="00A71B85"/>
    <w:rsid w:val="00B441A1"/>
    <w:rsid w:val="00BA1965"/>
    <w:rsid w:val="00BB6BF9"/>
    <w:rsid w:val="00BC04CA"/>
    <w:rsid w:val="00BC63E8"/>
    <w:rsid w:val="00BF3822"/>
    <w:rsid w:val="00C37F65"/>
    <w:rsid w:val="00D21FC0"/>
    <w:rsid w:val="00D72F75"/>
    <w:rsid w:val="00DB0F52"/>
    <w:rsid w:val="00DC2B0B"/>
    <w:rsid w:val="00E7002A"/>
    <w:rsid w:val="00E815BF"/>
    <w:rsid w:val="00EB327C"/>
    <w:rsid w:val="00ED6F05"/>
    <w:rsid w:val="00EF3671"/>
    <w:rsid w:val="00F84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BF9"/>
    <w:pPr>
      <w:spacing w:after="160" w:line="259" w:lineRule="auto"/>
    </w:pPr>
    <w:rPr>
      <w:sz w:val="22"/>
      <w:lang w:eastAsia="en-US"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31E28"/>
  </w:style>
  <w:style w:type="paragraph" w:styleId="a3">
    <w:name w:val="List Paragraph"/>
    <w:basedOn w:val="a"/>
    <w:uiPriority w:val="34"/>
    <w:qFormat/>
    <w:rsid w:val="00231E28"/>
    <w:pPr>
      <w:spacing w:after="200" w:line="276" w:lineRule="auto"/>
      <w:ind w:left="720"/>
      <w:contextualSpacing/>
    </w:pPr>
    <w:rPr>
      <w:rFonts w:cs="Times New Roman"/>
      <w:szCs w:val="22"/>
      <w:lang w:bidi="ar-SA"/>
    </w:rPr>
  </w:style>
  <w:style w:type="paragraph" w:styleId="a4">
    <w:name w:val="No Spacing"/>
    <w:uiPriority w:val="1"/>
    <w:qFormat/>
    <w:rsid w:val="00ED6F05"/>
    <w:rPr>
      <w:rFonts w:asciiTheme="minorHAnsi" w:eastAsiaTheme="minorHAnsi" w:hAnsiTheme="minorHAnsi" w:cstheme="minorBidi"/>
      <w:sz w:val="22"/>
      <w:szCs w:val="22"/>
      <w:lang w:eastAsia="en-US"/>
    </w:rPr>
  </w:style>
  <w:style w:type="character" w:styleId="a5">
    <w:name w:val="Hyperlink"/>
    <w:basedOn w:val="a0"/>
    <w:uiPriority w:val="99"/>
    <w:unhideWhenUsed/>
    <w:rsid w:val="00ED6F05"/>
    <w:rPr>
      <w:color w:val="0563C1" w:themeColor="hyperlink"/>
      <w:u w:val="single"/>
    </w:rPr>
  </w:style>
  <w:style w:type="paragraph" w:styleId="a6">
    <w:name w:val="Balloon Text"/>
    <w:basedOn w:val="a"/>
    <w:link w:val="a7"/>
    <w:uiPriority w:val="99"/>
    <w:semiHidden/>
    <w:unhideWhenUsed/>
    <w:rsid w:val="00310AB8"/>
    <w:pPr>
      <w:spacing w:after="0" w:line="240" w:lineRule="auto"/>
    </w:pPr>
    <w:rPr>
      <w:rFonts w:ascii="Tahoma" w:hAnsi="Tahoma"/>
      <w:sz w:val="16"/>
      <w:szCs w:val="14"/>
    </w:rPr>
  </w:style>
  <w:style w:type="character" w:customStyle="1" w:styleId="a7">
    <w:name w:val="Текст выноски Знак"/>
    <w:basedOn w:val="a0"/>
    <w:link w:val="a6"/>
    <w:uiPriority w:val="99"/>
    <w:semiHidden/>
    <w:rsid w:val="00310AB8"/>
    <w:rPr>
      <w:rFonts w:ascii="Tahoma" w:hAnsi="Tahoma"/>
      <w:sz w:val="16"/>
      <w:szCs w:val="14"/>
      <w:lang w:eastAsia="en-US" w:bidi="hi-IN"/>
    </w:rPr>
  </w:style>
  <w:style w:type="table" w:customStyle="1" w:styleId="TableNormal">
    <w:name w:val="Table Normal"/>
    <w:rsid w:val="00310AB8"/>
    <w:pPr>
      <w:spacing w:after="200" w:line="360" w:lineRule="auto"/>
      <w:jc w:val="both"/>
    </w:pPr>
    <w:rPr>
      <w:rFonts w:ascii="Times New Roman" w:eastAsia="Times New Roman" w:hAnsi="Times New Roman" w:cs="Times New Roman"/>
      <w:sz w:val="28"/>
      <w:szCs w:val="28"/>
    </w:rPr>
    <w:tblPr>
      <w:tblCellMar>
        <w:top w:w="0" w:type="dxa"/>
        <w:left w:w="0" w:type="dxa"/>
        <w:bottom w:w="0" w:type="dxa"/>
        <w:right w:w="0" w:type="dxa"/>
      </w:tblCellMar>
    </w:tblPr>
  </w:style>
  <w:style w:type="character" w:styleId="a8">
    <w:name w:val="FollowedHyperlink"/>
    <w:basedOn w:val="a0"/>
    <w:uiPriority w:val="99"/>
    <w:semiHidden/>
    <w:unhideWhenUsed/>
    <w:rsid w:val="000C2F7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BF9"/>
    <w:pPr>
      <w:spacing w:after="160" w:line="259" w:lineRule="auto"/>
    </w:pPr>
    <w:rPr>
      <w:sz w:val="22"/>
      <w:lang w:eastAsia="en-US"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31E28"/>
  </w:style>
  <w:style w:type="paragraph" w:styleId="a3">
    <w:name w:val="List Paragraph"/>
    <w:basedOn w:val="a"/>
    <w:uiPriority w:val="34"/>
    <w:qFormat/>
    <w:rsid w:val="00231E28"/>
    <w:pPr>
      <w:spacing w:after="200" w:line="276" w:lineRule="auto"/>
      <w:ind w:left="720"/>
      <w:contextualSpacing/>
    </w:pPr>
    <w:rPr>
      <w:rFonts w:cs="Times New Roman"/>
      <w:szCs w:val="22"/>
      <w:lang w:bidi="ar-SA"/>
    </w:rPr>
  </w:style>
  <w:style w:type="paragraph" w:styleId="a4">
    <w:name w:val="No Spacing"/>
    <w:uiPriority w:val="1"/>
    <w:qFormat/>
    <w:rsid w:val="00ED6F05"/>
    <w:rPr>
      <w:rFonts w:asciiTheme="minorHAnsi" w:eastAsiaTheme="minorHAnsi" w:hAnsiTheme="minorHAnsi" w:cstheme="minorBidi"/>
      <w:sz w:val="22"/>
      <w:szCs w:val="22"/>
      <w:lang w:eastAsia="en-US"/>
    </w:rPr>
  </w:style>
  <w:style w:type="character" w:styleId="a5">
    <w:name w:val="Hyperlink"/>
    <w:basedOn w:val="a0"/>
    <w:uiPriority w:val="99"/>
    <w:unhideWhenUsed/>
    <w:rsid w:val="00ED6F05"/>
    <w:rPr>
      <w:color w:val="0563C1" w:themeColor="hyperlink"/>
      <w:u w:val="single"/>
    </w:rPr>
  </w:style>
  <w:style w:type="paragraph" w:styleId="a6">
    <w:name w:val="Balloon Text"/>
    <w:basedOn w:val="a"/>
    <w:link w:val="a7"/>
    <w:uiPriority w:val="99"/>
    <w:semiHidden/>
    <w:unhideWhenUsed/>
    <w:rsid w:val="00310AB8"/>
    <w:pPr>
      <w:spacing w:after="0" w:line="240" w:lineRule="auto"/>
    </w:pPr>
    <w:rPr>
      <w:rFonts w:ascii="Tahoma" w:hAnsi="Tahoma"/>
      <w:sz w:val="16"/>
      <w:szCs w:val="14"/>
    </w:rPr>
  </w:style>
  <w:style w:type="character" w:customStyle="1" w:styleId="a7">
    <w:name w:val="Текст выноски Знак"/>
    <w:basedOn w:val="a0"/>
    <w:link w:val="a6"/>
    <w:uiPriority w:val="99"/>
    <w:semiHidden/>
    <w:rsid w:val="00310AB8"/>
    <w:rPr>
      <w:rFonts w:ascii="Tahoma" w:hAnsi="Tahoma"/>
      <w:sz w:val="16"/>
      <w:szCs w:val="14"/>
      <w:lang w:eastAsia="en-US" w:bidi="hi-IN"/>
    </w:rPr>
  </w:style>
  <w:style w:type="table" w:customStyle="1" w:styleId="TableNormal">
    <w:name w:val="Table Normal"/>
    <w:rsid w:val="00310AB8"/>
    <w:pPr>
      <w:spacing w:after="200" w:line="360" w:lineRule="auto"/>
      <w:jc w:val="both"/>
    </w:pPr>
    <w:rPr>
      <w:rFonts w:ascii="Times New Roman" w:eastAsia="Times New Roman" w:hAnsi="Times New Roman" w:cs="Times New Roman"/>
      <w:sz w:val="28"/>
      <w:szCs w:val="28"/>
    </w:rPr>
    <w:tblPr>
      <w:tblCellMar>
        <w:top w:w="0" w:type="dxa"/>
        <w:left w:w="0" w:type="dxa"/>
        <w:bottom w:w="0" w:type="dxa"/>
        <w:right w:w="0" w:type="dxa"/>
      </w:tblCellMar>
    </w:tblPr>
  </w:style>
  <w:style w:type="character" w:styleId="a8">
    <w:name w:val="FollowedHyperlink"/>
    <w:basedOn w:val="a0"/>
    <w:uiPriority w:val="99"/>
    <w:semiHidden/>
    <w:unhideWhenUsed/>
    <w:rsid w:val="000C2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Kniga_goro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wnloads\Kniga_goro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wnloads\Kniga_goro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wnloads\Kniga_goro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wnloads\Kniga_goro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wnloads\Kniga_goro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2.6097271648873356E-2"/>
          <c:y val="3.7190652373272612E-2"/>
          <c:w val="0.9478054567022538"/>
          <c:h val="0.89703348828384433"/>
        </c:manualLayout>
      </c:layout>
      <c:barChart>
        <c:barDir val="col"/>
        <c:grouping val="clustered"/>
        <c:varyColors val="0"/>
        <c:ser>
          <c:idx val="0"/>
          <c:order val="0"/>
          <c:tx>
            <c:v>руб.</c:v>
          </c:tx>
          <c:spPr>
            <a:solidFill>
              <a:srgbClr val="3779AF"/>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Лист1!$A$25:$A$34</c:f>
              <c:numCache>
                <c:formatCode>General</c:formatCode>
                <c:ptCount val="10"/>
                <c:pt idx="0">
                  <c:v>22890.1</c:v>
                </c:pt>
                <c:pt idx="1">
                  <c:v>23084.799999999996</c:v>
                </c:pt>
                <c:pt idx="2">
                  <c:v>24209.8</c:v>
                </c:pt>
                <c:pt idx="3">
                  <c:v>24926.5</c:v>
                </c:pt>
                <c:pt idx="4">
                  <c:v>26917.7</c:v>
                </c:pt>
                <c:pt idx="5">
                  <c:v>28995.200000000001</c:v>
                </c:pt>
                <c:pt idx="6">
                  <c:v>29204.5</c:v>
                </c:pt>
                <c:pt idx="7">
                  <c:v>31791.200000000001</c:v>
                </c:pt>
                <c:pt idx="8">
                  <c:v>35251.800000000003</c:v>
                </c:pt>
                <c:pt idx="9">
                  <c:v>36692.6</c:v>
                </c:pt>
              </c:numCache>
            </c:numRef>
          </c:val>
          <c:extLst xmlns:c16r2="http://schemas.microsoft.com/office/drawing/2015/06/chart">
            <c:ext xmlns:c16="http://schemas.microsoft.com/office/drawing/2014/chart" uri="{C3380CC4-5D6E-409C-BE32-E72D297353CC}">
              <c16:uniqueId val="{00000000-F1F8-4262-94FB-99E9D81FA4E4}"/>
            </c:ext>
          </c:extLst>
        </c:ser>
        <c:ser>
          <c:idx val="1"/>
          <c:order val="1"/>
          <c:tx>
            <c:v>год</c:v>
          </c:tx>
          <c:spPr>
            <a:solidFill>
              <a:srgbClr val="3779AF"/>
            </a:solidFill>
          </c:spPr>
          <c:invertIfNegative val="0"/>
          <c:dLbls>
            <c:dLbl>
              <c:idx val="0"/>
              <c:layout>
                <c:manualLayout>
                  <c:x val="-9.4899169632265828E-3"/>
                  <c:y val="0.1124747810138197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1F8-4262-94FB-99E9D81FA4E4}"/>
                </c:ext>
                <c:ext xmlns:c15="http://schemas.microsoft.com/office/drawing/2012/chart" uri="{CE6537A1-D6FC-4f65-9D91-7224C49458BB}"/>
              </c:extLst>
            </c:dLbl>
            <c:dLbl>
              <c:idx val="1"/>
              <c:layout>
                <c:manualLayout>
                  <c:x val="-4.7449584816133157E-3"/>
                  <c:y val="0.1124921734180825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1F8-4262-94FB-99E9D81FA4E4}"/>
                </c:ext>
                <c:ext xmlns:c15="http://schemas.microsoft.com/office/drawing/2012/chart" uri="{CE6537A1-D6FC-4f65-9D91-7224C49458BB}"/>
              </c:extLst>
            </c:dLbl>
            <c:dLbl>
              <c:idx val="2"/>
              <c:layout>
                <c:manualLayout>
                  <c:x val="-7.4247391673905533E-3"/>
                  <c:y val="0.1125092495968125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1F8-4262-94FB-99E9D81FA4E4}"/>
                </c:ext>
                <c:ext xmlns:c15="http://schemas.microsoft.com/office/drawing/2012/chart" uri="{CE6537A1-D6FC-4f65-9D91-7224C49458BB}"/>
              </c:extLst>
            </c:dLbl>
            <c:dLbl>
              <c:idx val="3"/>
              <c:layout>
                <c:manualLayout>
                  <c:x val="-5.0264802308963965E-3"/>
                  <c:y val="0.112526325775543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1F8-4262-94FB-99E9D81FA4E4}"/>
                </c:ext>
                <c:ext xmlns:c15="http://schemas.microsoft.com/office/drawing/2012/chart" uri="{CE6537A1-D6FC-4f65-9D91-7224C49458BB}">
                  <c15:layout>
                    <c:manualLayout>
                      <c:w val="6.3021582733812948E-2"/>
                      <c:h val="6.5430499560937508E-2"/>
                    </c:manualLayout>
                  </c15:layout>
                </c:ext>
              </c:extLst>
            </c:dLbl>
            <c:dLbl>
              <c:idx val="4"/>
              <c:layout>
                <c:manualLayout>
                  <c:x val="-3.0730144497062616E-4"/>
                  <c:y val="0.1125437181798058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1F8-4262-94FB-99E9D81FA4E4}"/>
                </c:ext>
                <c:ext xmlns:c15="http://schemas.microsoft.com/office/drawing/2012/chart" uri="{CE6537A1-D6FC-4f65-9D91-7224C49458BB}"/>
              </c:extLst>
            </c:dLbl>
            <c:dLbl>
              <c:idx val="5"/>
              <c:layout>
                <c:manualLayout>
                  <c:x val="2.3724792408066448E-3"/>
                  <c:y val="0.1125607943585366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1F8-4262-94FB-99E9D81FA4E4}"/>
                </c:ext>
                <c:ext xmlns:c15="http://schemas.microsoft.com/office/drawing/2012/chart" uri="{CE6537A1-D6FC-4f65-9D91-7224C49458BB}"/>
              </c:extLst>
            </c:dLbl>
            <c:dLbl>
              <c:idx val="6"/>
              <c:layout>
                <c:manualLayout>
                  <c:x val="-2.3724792408066448E-3"/>
                  <c:y val="0.1125781867627992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1F8-4262-94FB-99E9D81FA4E4}"/>
                </c:ext>
                <c:ext xmlns:c15="http://schemas.microsoft.com/office/drawing/2012/chart" uri="{CE6537A1-D6FC-4f65-9D91-7224C49458BB}"/>
              </c:extLst>
            </c:dLbl>
            <c:dLbl>
              <c:idx val="7"/>
              <c:layout>
                <c:manualLayout>
                  <c:x val="-4.7449584816133157E-3"/>
                  <c:y val="0.1125952629415307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1F8-4262-94FB-99E9D81FA4E4}"/>
                </c:ext>
                <c:ext xmlns:c15="http://schemas.microsoft.com/office/drawing/2012/chart" uri="{CE6537A1-D6FC-4f65-9D91-7224C49458BB}"/>
              </c:extLst>
            </c:dLbl>
            <c:dLbl>
              <c:idx val="8"/>
              <c:layout>
                <c:manualLayout>
                  <c:x val="2.3722924314176028E-3"/>
                  <c:y val="0.1126123391202604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F1F8-4262-94FB-99E9D81FA4E4}"/>
                </c:ext>
                <c:ext xmlns:c15="http://schemas.microsoft.com/office/drawing/2012/chart" uri="{CE6537A1-D6FC-4f65-9D91-7224C49458BB}"/>
              </c:extLst>
            </c:dLbl>
            <c:dLbl>
              <c:idx val="9"/>
              <c:layout>
                <c:manualLayout>
                  <c:x val="0"/>
                  <c:y val="0.112629731524523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1F8-4262-94FB-99E9D81FA4E4}"/>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Лист1!$B$25:$B$34</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val>
          <c:extLst xmlns:c16r2="http://schemas.microsoft.com/office/drawing/2015/06/chart">
            <c:ext xmlns:c16="http://schemas.microsoft.com/office/drawing/2014/chart" uri="{C3380CC4-5D6E-409C-BE32-E72D297353CC}">
              <c16:uniqueId val="{00000001-F1F8-4262-94FB-99E9D81FA4E4}"/>
            </c:ext>
          </c:extLst>
        </c:ser>
        <c:dLbls>
          <c:showLegendKey val="0"/>
          <c:showVal val="1"/>
          <c:showCatName val="0"/>
          <c:showSerName val="0"/>
          <c:showPercent val="0"/>
          <c:showBubbleSize val="0"/>
        </c:dLbls>
        <c:gapWidth val="48"/>
        <c:overlap val="100"/>
        <c:axId val="166968320"/>
        <c:axId val="166982400"/>
      </c:barChart>
      <c:catAx>
        <c:axId val="166968320"/>
        <c:scaling>
          <c:orientation val="minMax"/>
        </c:scaling>
        <c:delete val="1"/>
        <c:axPos val="b"/>
        <c:majorTickMark val="none"/>
        <c:minorTickMark val="none"/>
        <c:tickLblPos val="none"/>
        <c:crossAx val="166982400"/>
        <c:crosses val="autoZero"/>
        <c:auto val="1"/>
        <c:lblAlgn val="ctr"/>
        <c:lblOffset val="100"/>
        <c:noMultiLvlLbl val="0"/>
      </c:catAx>
      <c:valAx>
        <c:axId val="166982400"/>
        <c:scaling>
          <c:orientation val="minMax"/>
        </c:scaling>
        <c:delete val="1"/>
        <c:axPos val="l"/>
        <c:numFmt formatCode="General" sourceLinked="1"/>
        <c:majorTickMark val="out"/>
        <c:minorTickMark val="none"/>
        <c:tickLblPos val="none"/>
        <c:crossAx val="166968320"/>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378896882494011E-2"/>
          <c:y val="0.24880584842149112"/>
          <c:w val="0.94724220623501265"/>
          <c:h val="0.68461669169966466"/>
        </c:manualLayout>
      </c:layout>
      <c:barChart>
        <c:barDir val="col"/>
        <c:grouping val="clustered"/>
        <c:varyColors val="0"/>
        <c:ser>
          <c:idx val="0"/>
          <c:order val="0"/>
          <c:tx>
            <c:v>руб.</c:v>
          </c:tx>
          <c:spPr>
            <a:solidFill>
              <a:srgbClr val="3779AF"/>
            </a:solidFill>
          </c:spPr>
          <c:invertIfNegative val="0"/>
          <c:dPt>
            <c:idx val="9"/>
            <c:invertIfNegative val="0"/>
            <c:bubble3D val="0"/>
            <c:spPr>
              <a:solidFill>
                <a:srgbClr val="3779AF"/>
              </a:solidFill>
              <a:ln>
                <a:solidFill>
                  <a:srgbClr val="0070C0"/>
                </a:solidFill>
              </a:ln>
            </c:spPr>
            <c:extLst xmlns:c16r2="http://schemas.microsoft.com/office/drawing/2015/06/chart">
              <c:ext xmlns:c16="http://schemas.microsoft.com/office/drawing/2014/chart" uri="{C3380CC4-5D6E-409C-BE32-E72D297353CC}">
                <c16:uniqueId val="{00000001-1DF3-41C1-95C5-CCE69CEAB196}"/>
              </c:ext>
            </c:extLst>
          </c:dPt>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Лист1!$A$25:$A$34</c:f>
              <c:numCache>
                <c:formatCode>General</c:formatCode>
                <c:ptCount val="10"/>
                <c:pt idx="0">
                  <c:v>25347.5</c:v>
                </c:pt>
                <c:pt idx="1">
                  <c:v>25466.400000000001</c:v>
                </c:pt>
                <c:pt idx="2">
                  <c:v>26719.7</c:v>
                </c:pt>
                <c:pt idx="3">
                  <c:v>27206.799999999996</c:v>
                </c:pt>
                <c:pt idx="4">
                  <c:v>29556.9</c:v>
                </c:pt>
                <c:pt idx="5">
                  <c:v>31931.9</c:v>
                </c:pt>
                <c:pt idx="6">
                  <c:v>31818.400000000001</c:v>
                </c:pt>
                <c:pt idx="7">
                  <c:v>34663.1</c:v>
                </c:pt>
                <c:pt idx="8">
                  <c:v>39270.5</c:v>
                </c:pt>
                <c:pt idx="9">
                  <c:v>39974.300000000003</c:v>
                </c:pt>
              </c:numCache>
            </c:numRef>
          </c:val>
          <c:extLst xmlns:c16r2="http://schemas.microsoft.com/office/drawing/2015/06/chart">
            <c:ext xmlns:c16="http://schemas.microsoft.com/office/drawing/2014/chart" uri="{C3380CC4-5D6E-409C-BE32-E72D297353CC}">
              <c16:uniqueId val="{00000000-60DD-4F43-864F-AFC029AB2128}"/>
            </c:ext>
          </c:extLst>
        </c:ser>
        <c:ser>
          <c:idx val="1"/>
          <c:order val="1"/>
          <c:tx>
            <c:v>год</c:v>
          </c:tx>
          <c:spPr>
            <a:solidFill>
              <a:srgbClr val="3779AF"/>
            </a:solidFill>
          </c:spPr>
          <c:invertIfNegative val="0"/>
          <c:dLbls>
            <c:dLbl>
              <c:idx val="0"/>
              <c:layout>
                <c:manualLayout>
                  <c:x val="0"/>
                  <c:y val="0.1087785414106479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0DD-4F43-864F-AFC029AB2128}"/>
                </c:ext>
                <c:ext xmlns:c15="http://schemas.microsoft.com/office/drawing/2012/chart" uri="{CE6537A1-D6FC-4f65-9D91-7224C49458BB}"/>
              </c:extLst>
            </c:dLbl>
            <c:dLbl>
              <c:idx val="1"/>
              <c:layout>
                <c:manualLayout>
                  <c:x val="0"/>
                  <c:y val="0.1087937129246137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0DD-4F43-864F-AFC029AB2128}"/>
                </c:ext>
                <c:ext xmlns:c15="http://schemas.microsoft.com/office/drawing/2012/chart" uri="{CE6537A1-D6FC-4f65-9D91-7224C49458BB}"/>
              </c:extLst>
            </c:dLbl>
            <c:dLbl>
              <c:idx val="2"/>
              <c:layout>
                <c:manualLayout>
                  <c:x val="-2.3980815347721851E-3"/>
                  <c:y val="0.1088088844385781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0DD-4F43-864F-AFC029AB2128}"/>
                </c:ext>
                <c:ext xmlns:c15="http://schemas.microsoft.com/office/drawing/2012/chart" uri="{CE6537A1-D6FC-4f65-9D91-7224C49458BB}"/>
              </c:extLst>
            </c:dLbl>
            <c:dLbl>
              <c:idx val="3"/>
              <c:layout>
                <c:manualLayout>
                  <c:x val="-2.3980815347721392E-3"/>
                  <c:y val="0.1088240559525439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0DD-4F43-864F-AFC029AB2128}"/>
                </c:ext>
                <c:ext xmlns:c15="http://schemas.microsoft.com/office/drawing/2012/chart" uri="{CE6537A1-D6FC-4f65-9D91-7224C49458BB}"/>
              </c:extLst>
            </c:dLbl>
            <c:dLbl>
              <c:idx val="4"/>
              <c:layout>
                <c:manualLayout>
                  <c:x val="0"/>
                  <c:y val="0.1088395308967881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0DD-4F43-864F-AFC029AB2128}"/>
                </c:ext>
                <c:ext xmlns:c15="http://schemas.microsoft.com/office/drawing/2012/chart" uri="{CE6537A1-D6FC-4f65-9D91-7224C49458BB}"/>
              </c:extLst>
            </c:dLbl>
            <c:dLbl>
              <c:idx val="5"/>
              <c:layout>
                <c:manualLayout>
                  <c:x val="-2.3980815347721851E-3"/>
                  <c:y val="0.1088547024107536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0DD-4F43-864F-AFC029AB2128}"/>
                </c:ext>
                <c:ext xmlns:c15="http://schemas.microsoft.com/office/drawing/2012/chart" uri="{CE6537A1-D6FC-4f65-9D91-7224C49458BB}"/>
              </c:extLst>
            </c:dLbl>
            <c:dLbl>
              <c:idx val="6"/>
              <c:layout>
                <c:manualLayout>
                  <c:x val="0"/>
                  <c:y val="0.1088698739247189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0DD-4F43-864F-AFC029AB2128}"/>
                </c:ext>
                <c:ext xmlns:c15="http://schemas.microsoft.com/office/drawing/2012/chart" uri="{CE6537A1-D6FC-4f65-9D91-7224C49458BB}"/>
              </c:extLst>
            </c:dLbl>
            <c:dLbl>
              <c:idx val="7"/>
              <c:layout>
                <c:manualLayout>
                  <c:x val="0"/>
                  <c:y val="0.1088850454386851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0DD-4F43-864F-AFC029AB2128}"/>
                </c:ext>
                <c:ext xmlns:c15="http://schemas.microsoft.com/office/drawing/2012/chart" uri="{CE6537A1-D6FC-4f65-9D91-7224C49458BB}"/>
              </c:extLst>
            </c:dLbl>
            <c:dLbl>
              <c:idx val="8"/>
              <c:layout>
                <c:manualLayout>
                  <c:x val="0"/>
                  <c:y val="0.1089002169526502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0DD-4F43-864F-AFC029AB2128}"/>
                </c:ext>
                <c:ext xmlns:c15="http://schemas.microsoft.com/office/drawing/2012/chart" uri="{CE6537A1-D6FC-4f65-9D91-7224C49458BB}"/>
              </c:extLst>
            </c:dLbl>
            <c:dLbl>
              <c:idx val="9"/>
              <c:layout>
                <c:manualLayout>
                  <c:x val="0"/>
                  <c:y val="0.1089154321811469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0DD-4F43-864F-AFC029AB2128}"/>
                </c:ext>
                <c:ext xmlns:c15="http://schemas.microsoft.com/office/drawing/2012/chart" uri="{CE6537A1-D6FC-4f65-9D91-7224C49458BB}"/>
              </c:extLst>
            </c:dLbl>
            <c:spPr>
              <a:noFill/>
              <a:ln>
                <a:noFill/>
              </a:ln>
              <a:effectLst/>
            </c:spPr>
            <c:txPr>
              <a:bodyPr anchorCtr="0"/>
              <a:lstStyle/>
              <a:p>
                <a:pPr algn="ct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Лист1!$B$25:$B$34</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val>
          <c:extLst xmlns:c16r2="http://schemas.microsoft.com/office/drawing/2015/06/chart">
            <c:ext xmlns:c16="http://schemas.microsoft.com/office/drawing/2014/chart" uri="{C3380CC4-5D6E-409C-BE32-E72D297353CC}">
              <c16:uniqueId val="{00000001-60DD-4F43-864F-AFC029AB2128}"/>
            </c:ext>
          </c:extLst>
        </c:ser>
        <c:dLbls>
          <c:showLegendKey val="0"/>
          <c:showVal val="1"/>
          <c:showCatName val="0"/>
          <c:showSerName val="0"/>
          <c:showPercent val="0"/>
          <c:showBubbleSize val="0"/>
        </c:dLbls>
        <c:gapWidth val="48"/>
        <c:overlap val="100"/>
        <c:axId val="166505472"/>
        <c:axId val="166507264"/>
      </c:barChart>
      <c:catAx>
        <c:axId val="166505472"/>
        <c:scaling>
          <c:orientation val="minMax"/>
        </c:scaling>
        <c:delete val="1"/>
        <c:axPos val="b"/>
        <c:majorTickMark val="none"/>
        <c:minorTickMark val="none"/>
        <c:tickLblPos val="none"/>
        <c:crossAx val="166507264"/>
        <c:crosses val="autoZero"/>
        <c:auto val="1"/>
        <c:lblAlgn val="ctr"/>
        <c:lblOffset val="100"/>
        <c:noMultiLvlLbl val="0"/>
      </c:catAx>
      <c:valAx>
        <c:axId val="166507264"/>
        <c:scaling>
          <c:orientation val="minMax"/>
        </c:scaling>
        <c:delete val="1"/>
        <c:axPos val="l"/>
        <c:numFmt formatCode="General" sourceLinked="1"/>
        <c:majorTickMark val="out"/>
        <c:minorTickMark val="none"/>
        <c:tickLblPos val="none"/>
        <c:crossAx val="166505472"/>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2.6378896882494011E-2"/>
          <c:y val="1.2370359044925247E-2"/>
          <c:w val="0.94724220623501265"/>
          <c:h val="0.90672349208776093"/>
        </c:manualLayout>
      </c:layout>
      <c:barChart>
        <c:barDir val="col"/>
        <c:grouping val="clustered"/>
        <c:varyColors val="0"/>
        <c:ser>
          <c:idx val="0"/>
          <c:order val="0"/>
          <c:tx>
            <c:v>руб.</c:v>
          </c:tx>
          <c:spPr>
            <a:solidFill>
              <a:srgbClr val="3779AF"/>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Лист1!$A$25:$A$34</c:f>
              <c:numCache>
                <c:formatCode>General</c:formatCode>
                <c:ptCount val="10"/>
                <c:pt idx="0">
                  <c:v>15802.3</c:v>
                </c:pt>
                <c:pt idx="1">
                  <c:v>16639.7</c:v>
                </c:pt>
                <c:pt idx="2">
                  <c:v>16971</c:v>
                </c:pt>
                <c:pt idx="3">
                  <c:v>18309.099999999897</c:v>
                </c:pt>
                <c:pt idx="4">
                  <c:v>19188.5</c:v>
                </c:pt>
                <c:pt idx="5">
                  <c:v>20360.8</c:v>
                </c:pt>
                <c:pt idx="6">
                  <c:v>21432.400000000001</c:v>
                </c:pt>
                <c:pt idx="7">
                  <c:v>23232.2</c:v>
                </c:pt>
                <c:pt idx="8">
                  <c:v>23221</c:v>
                </c:pt>
                <c:pt idx="9">
                  <c:v>26900.5</c:v>
                </c:pt>
              </c:numCache>
            </c:numRef>
          </c:val>
          <c:extLst xmlns:c16r2="http://schemas.microsoft.com/office/drawing/2015/06/chart">
            <c:ext xmlns:c16="http://schemas.microsoft.com/office/drawing/2014/chart" uri="{C3380CC4-5D6E-409C-BE32-E72D297353CC}">
              <c16:uniqueId val="{00000000-FE05-492C-BD4C-553211E2FECA}"/>
            </c:ext>
          </c:extLst>
        </c:ser>
        <c:ser>
          <c:idx val="1"/>
          <c:order val="1"/>
          <c:tx>
            <c:v>год</c:v>
          </c:tx>
          <c:spPr>
            <a:solidFill>
              <a:srgbClr val="3779AF"/>
            </a:solidFill>
          </c:spPr>
          <c:invertIfNegative val="0"/>
          <c:dLbls>
            <c:dLbl>
              <c:idx val="0"/>
              <c:layout>
                <c:manualLayout>
                  <c:x val="-2.3980815347721851E-3"/>
                  <c:y val="0.1368043345310004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E05-492C-BD4C-553211E2FECA}"/>
                </c:ext>
                <c:ext xmlns:c15="http://schemas.microsoft.com/office/drawing/2012/chart" uri="{CE6537A1-D6FC-4f65-9D91-7224C49458BB}"/>
              </c:extLst>
            </c:dLbl>
            <c:dLbl>
              <c:idx val="1"/>
              <c:layout>
                <c:manualLayout>
                  <c:x val="0"/>
                  <c:y val="0.136825994444869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E05-492C-BD4C-553211E2FECA}"/>
                </c:ext>
                <c:ext xmlns:c15="http://schemas.microsoft.com/office/drawing/2012/chart" uri="{CE6537A1-D6FC-4f65-9D91-7224C49458BB}"/>
              </c:extLst>
            </c:dLbl>
            <c:dLbl>
              <c:idx val="2"/>
              <c:layout>
                <c:manualLayout>
                  <c:x val="-2.3980815347721851E-3"/>
                  <c:y val="0.1368476543587391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E05-492C-BD4C-553211E2FECA}"/>
                </c:ext>
                <c:ext xmlns:c15="http://schemas.microsoft.com/office/drawing/2012/chart" uri="{CE6537A1-D6FC-4f65-9D91-7224C49458BB}"/>
              </c:extLst>
            </c:dLbl>
            <c:dLbl>
              <c:idx val="3"/>
              <c:layout>
                <c:manualLayout>
                  <c:x val="4.3964320257911955E-17"/>
                  <c:y val="0.136869314272609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E05-492C-BD4C-553211E2FECA}"/>
                </c:ext>
                <c:ext xmlns:c15="http://schemas.microsoft.com/office/drawing/2012/chart" uri="{CE6537A1-D6FC-4f65-9D91-7224C49458BB}"/>
              </c:extLst>
            </c:dLbl>
            <c:dLbl>
              <c:idx val="4"/>
              <c:layout>
                <c:manualLayout>
                  <c:x val="-2.3980815347721851E-3"/>
                  <c:y val="0.1368912927146244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E05-492C-BD4C-553211E2FECA}"/>
                </c:ext>
                <c:ext xmlns:c15="http://schemas.microsoft.com/office/drawing/2012/chart" uri="{CE6537A1-D6FC-4f65-9D91-7224C49458BB}"/>
              </c:extLst>
            </c:dLbl>
            <c:dLbl>
              <c:idx val="5"/>
              <c:layout>
                <c:manualLayout>
                  <c:x val="-4.7961630695444041E-3"/>
                  <c:y val="0.1369129526284952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E05-492C-BD4C-553211E2FECA}"/>
                </c:ext>
                <c:ext xmlns:c15="http://schemas.microsoft.com/office/drawing/2012/chart" uri="{CE6537A1-D6FC-4f65-9D91-7224C49458BB}"/>
              </c:extLst>
            </c:dLbl>
            <c:dLbl>
              <c:idx val="6"/>
              <c:layout>
                <c:manualLayout>
                  <c:x val="0"/>
                  <c:y val="0.1369346125423654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E05-492C-BD4C-553211E2FECA}"/>
                </c:ext>
                <c:ext xmlns:c15="http://schemas.microsoft.com/office/drawing/2012/chart" uri="{CE6537A1-D6FC-4f65-9D91-7224C49458BB}"/>
              </c:extLst>
            </c:dLbl>
            <c:dLbl>
              <c:idx val="7"/>
              <c:layout>
                <c:manualLayout>
                  <c:x val="-2.3980815347721851E-3"/>
                  <c:y val="0.1369562724562351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E05-492C-BD4C-553211E2FECA}"/>
                </c:ext>
                <c:ext xmlns:c15="http://schemas.microsoft.com/office/drawing/2012/chart" uri="{CE6537A1-D6FC-4f65-9D91-7224C49458BB}"/>
              </c:extLst>
            </c:dLbl>
            <c:dLbl>
              <c:idx val="8"/>
              <c:layout>
                <c:manualLayout>
                  <c:x val="-2.3980815347721851E-3"/>
                  <c:y val="0.1369779323701044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FE05-492C-BD4C-553211E2FECA}"/>
                </c:ext>
                <c:ext xmlns:c15="http://schemas.microsoft.com/office/drawing/2012/chart" uri="{CE6537A1-D6FC-4f65-9D91-7224C49458BB}"/>
              </c:extLst>
            </c:dLbl>
            <c:dLbl>
              <c:idx val="9"/>
              <c:layout>
                <c:manualLayout>
                  <c:x val="-4.7961630695444041E-3"/>
                  <c:y val="0.1369999108121204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E05-492C-BD4C-553211E2FECA}"/>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Лист1!$B$25:$B$34</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val>
          <c:extLst xmlns:c16r2="http://schemas.microsoft.com/office/drawing/2015/06/chart">
            <c:ext xmlns:c16="http://schemas.microsoft.com/office/drawing/2014/chart" uri="{C3380CC4-5D6E-409C-BE32-E72D297353CC}">
              <c16:uniqueId val="{00000001-FE05-492C-BD4C-553211E2FECA}"/>
            </c:ext>
          </c:extLst>
        </c:ser>
        <c:dLbls>
          <c:showLegendKey val="0"/>
          <c:showVal val="1"/>
          <c:showCatName val="0"/>
          <c:showSerName val="0"/>
          <c:showPercent val="0"/>
          <c:showBubbleSize val="0"/>
        </c:dLbls>
        <c:gapWidth val="48"/>
        <c:overlap val="100"/>
        <c:axId val="166684928"/>
        <c:axId val="166699008"/>
      </c:barChart>
      <c:catAx>
        <c:axId val="166684928"/>
        <c:scaling>
          <c:orientation val="minMax"/>
        </c:scaling>
        <c:delete val="1"/>
        <c:axPos val="b"/>
        <c:majorTickMark val="none"/>
        <c:minorTickMark val="none"/>
        <c:tickLblPos val="none"/>
        <c:crossAx val="166699008"/>
        <c:crosses val="autoZero"/>
        <c:auto val="1"/>
        <c:lblAlgn val="ctr"/>
        <c:lblOffset val="100"/>
        <c:noMultiLvlLbl val="0"/>
      </c:catAx>
      <c:valAx>
        <c:axId val="166699008"/>
        <c:scaling>
          <c:orientation val="minMax"/>
        </c:scaling>
        <c:delete val="1"/>
        <c:axPos val="l"/>
        <c:numFmt formatCode="General" sourceLinked="1"/>
        <c:majorTickMark val="out"/>
        <c:minorTickMark val="none"/>
        <c:tickLblPos val="none"/>
        <c:crossAx val="166684928"/>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378896882494011E-2"/>
          <c:y val="8.3250516015595452E-3"/>
          <c:w val="0.94724220623501265"/>
          <c:h val="0.91076879953112655"/>
        </c:manualLayout>
      </c:layout>
      <c:barChart>
        <c:barDir val="col"/>
        <c:grouping val="clustered"/>
        <c:varyColors val="0"/>
        <c:ser>
          <c:idx val="0"/>
          <c:order val="0"/>
          <c:tx>
            <c:v>руб.</c:v>
          </c:tx>
          <c:spPr>
            <a:solidFill>
              <a:srgbClr val="3779AF"/>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Лист1!$A$25:$A$34</c:f>
              <c:numCache>
                <c:formatCode>General</c:formatCode>
                <c:ptCount val="10"/>
                <c:pt idx="0">
                  <c:v>19614.099999999897</c:v>
                </c:pt>
                <c:pt idx="1">
                  <c:v>20804.900000000001</c:v>
                </c:pt>
                <c:pt idx="2">
                  <c:v>21059.200000000001</c:v>
                </c:pt>
                <c:pt idx="3">
                  <c:v>23117.7</c:v>
                </c:pt>
                <c:pt idx="4">
                  <c:v>24482.400000000001</c:v>
                </c:pt>
                <c:pt idx="5">
                  <c:v>24687.9</c:v>
                </c:pt>
                <c:pt idx="6">
                  <c:v>24966.5</c:v>
                </c:pt>
                <c:pt idx="7">
                  <c:v>26939.1</c:v>
                </c:pt>
                <c:pt idx="8">
                  <c:v>26633.1</c:v>
                </c:pt>
                <c:pt idx="9">
                  <c:v>32080.799999999996</c:v>
                </c:pt>
              </c:numCache>
            </c:numRef>
          </c:val>
          <c:extLst xmlns:c16r2="http://schemas.microsoft.com/office/drawing/2015/06/chart">
            <c:ext xmlns:c16="http://schemas.microsoft.com/office/drawing/2014/chart" uri="{C3380CC4-5D6E-409C-BE32-E72D297353CC}">
              <c16:uniqueId val="{00000000-1885-41FF-AFBA-2B6F42454733}"/>
            </c:ext>
          </c:extLst>
        </c:ser>
        <c:ser>
          <c:idx val="1"/>
          <c:order val="1"/>
          <c:tx>
            <c:v>год</c:v>
          </c:tx>
          <c:spPr>
            <a:solidFill>
              <a:srgbClr val="3779AF"/>
            </a:solidFill>
          </c:spPr>
          <c:invertIfNegative val="0"/>
          <c:dLbls>
            <c:dLbl>
              <c:idx val="0"/>
              <c:layout>
                <c:manualLayout>
                  <c:x val="2.3980815347721851E-3"/>
                  <c:y val="0.1305525826262008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885-41FF-AFBA-2B6F42454733}"/>
                </c:ext>
                <c:ext xmlns:c15="http://schemas.microsoft.com/office/drawing/2012/chart" uri="{CE6537A1-D6FC-4f65-9D91-7224C49458BB}"/>
              </c:extLst>
            </c:dLbl>
            <c:dLbl>
              <c:idx val="1"/>
              <c:layout>
                <c:manualLayout>
                  <c:x val="-4.7961630695444041E-3"/>
                  <c:y val="0.1305710572586181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885-41FF-AFBA-2B6F42454733}"/>
                </c:ext>
                <c:ext xmlns:c15="http://schemas.microsoft.com/office/drawing/2012/chart" uri="{CE6537A1-D6FC-4f65-9D91-7224C49458BB}"/>
              </c:extLst>
            </c:dLbl>
            <c:dLbl>
              <c:idx val="2"/>
              <c:layout>
                <c:manualLayout>
                  <c:x val="-2.3980815347721851E-3"/>
                  <c:y val="0.1305898504191830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885-41FF-AFBA-2B6F42454733}"/>
                </c:ext>
                <c:ext xmlns:c15="http://schemas.microsoft.com/office/drawing/2012/chart" uri="{CE6537A1-D6FC-4f65-9D91-7224C49458BB}"/>
              </c:extLst>
            </c:dLbl>
            <c:dLbl>
              <c:idx val="3"/>
              <c:layout>
                <c:manualLayout>
                  <c:x val="-2.3980815347721392E-3"/>
                  <c:y val="0.1306083250516015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885-41FF-AFBA-2B6F42454733}"/>
                </c:ext>
                <c:ext xmlns:c15="http://schemas.microsoft.com/office/drawing/2012/chart" uri="{CE6537A1-D6FC-4f65-9D91-7224C49458BB}"/>
              </c:extLst>
            </c:dLbl>
            <c:dLbl>
              <c:idx val="4"/>
              <c:layout>
                <c:manualLayout>
                  <c:x val="-2.3980815347721851E-3"/>
                  <c:y val="0.1306271182121652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885-41FF-AFBA-2B6F42454733}"/>
                </c:ext>
                <c:ext xmlns:c15="http://schemas.microsoft.com/office/drawing/2012/chart" uri="{CE6537A1-D6FC-4f65-9D91-7224C49458BB}"/>
              </c:extLst>
            </c:dLbl>
            <c:dLbl>
              <c:idx val="5"/>
              <c:layout>
                <c:manualLayout>
                  <c:x val="-4.7961630695444041E-3"/>
                  <c:y val="0.1306455928445836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885-41FF-AFBA-2B6F42454733}"/>
                </c:ext>
                <c:ext xmlns:c15="http://schemas.microsoft.com/office/drawing/2012/chart" uri="{CE6537A1-D6FC-4f65-9D91-7224C49458BB}"/>
              </c:extLst>
            </c:dLbl>
            <c:dLbl>
              <c:idx val="6"/>
              <c:layout>
                <c:manualLayout>
                  <c:x val="0"/>
                  <c:y val="0.130664386005147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885-41FF-AFBA-2B6F42454733}"/>
                </c:ext>
                <c:ext xmlns:c15="http://schemas.microsoft.com/office/drawing/2012/chart" uri="{CE6537A1-D6FC-4f65-9D91-7224C49458BB}"/>
              </c:extLst>
            </c:dLbl>
            <c:dLbl>
              <c:idx val="7"/>
              <c:layout>
                <c:manualLayout>
                  <c:x val="-4.7961630695444041E-3"/>
                  <c:y val="0.1306828606375658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885-41FF-AFBA-2B6F42454733}"/>
                </c:ext>
                <c:ext xmlns:c15="http://schemas.microsoft.com/office/drawing/2012/chart" uri="{CE6537A1-D6FC-4f65-9D91-7224C49458BB}"/>
              </c:extLst>
            </c:dLbl>
            <c:dLbl>
              <c:idx val="8"/>
              <c:layout>
                <c:manualLayout>
                  <c:x val="0"/>
                  <c:y val="0.1307013352699844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1885-41FF-AFBA-2B6F42454733}"/>
                </c:ext>
                <c:ext xmlns:c15="http://schemas.microsoft.com/office/drawing/2012/chart" uri="{CE6537A1-D6FC-4f65-9D91-7224C49458BB}"/>
              </c:extLst>
            </c:dLbl>
            <c:dLbl>
              <c:idx val="9"/>
              <c:layout>
                <c:manualLayout>
                  <c:x val="-2.3980815347721851E-3"/>
                  <c:y val="0.1307201284305481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1885-41FF-AFBA-2B6F42454733}"/>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Лист1!$B$25:$B$34</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val>
          <c:extLst xmlns:c16r2="http://schemas.microsoft.com/office/drawing/2015/06/chart">
            <c:ext xmlns:c16="http://schemas.microsoft.com/office/drawing/2014/chart" uri="{C3380CC4-5D6E-409C-BE32-E72D297353CC}">
              <c16:uniqueId val="{00000001-1885-41FF-AFBA-2B6F42454733}"/>
            </c:ext>
          </c:extLst>
        </c:ser>
        <c:dLbls>
          <c:showLegendKey val="0"/>
          <c:showVal val="1"/>
          <c:showCatName val="0"/>
          <c:showSerName val="0"/>
          <c:showPercent val="0"/>
          <c:showBubbleSize val="0"/>
        </c:dLbls>
        <c:gapWidth val="48"/>
        <c:overlap val="100"/>
        <c:axId val="167142912"/>
        <c:axId val="167144448"/>
      </c:barChart>
      <c:catAx>
        <c:axId val="167142912"/>
        <c:scaling>
          <c:orientation val="minMax"/>
        </c:scaling>
        <c:delete val="1"/>
        <c:axPos val="b"/>
        <c:majorTickMark val="none"/>
        <c:minorTickMark val="none"/>
        <c:tickLblPos val="none"/>
        <c:crossAx val="167144448"/>
        <c:crosses val="autoZero"/>
        <c:auto val="1"/>
        <c:lblAlgn val="ctr"/>
        <c:lblOffset val="100"/>
        <c:noMultiLvlLbl val="0"/>
      </c:catAx>
      <c:valAx>
        <c:axId val="167144448"/>
        <c:scaling>
          <c:orientation val="minMax"/>
        </c:scaling>
        <c:delete val="1"/>
        <c:axPos val="l"/>
        <c:numFmt formatCode="General" sourceLinked="1"/>
        <c:majorTickMark val="out"/>
        <c:minorTickMark val="none"/>
        <c:tickLblPos val="none"/>
        <c:crossAx val="167142912"/>
        <c:crosses val="autoZero"/>
        <c:crossBetween val="between"/>
      </c:valAx>
      <c:spPr>
        <a:ln>
          <a:solidFill>
            <a:schemeClr val="bg1"/>
          </a:solidFill>
        </a:ln>
      </c:spPr>
    </c:plotArea>
    <c:plotVisOnly val="1"/>
    <c:dispBlanksAs val="gap"/>
    <c:showDLblsOverMax val="0"/>
  </c:chart>
  <c:spPr>
    <a:ln>
      <a:solidFill>
        <a:schemeClr val="bg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378896882494011E-2"/>
          <c:y val="1.2679233277658464E-2"/>
          <c:w val="0.94724220623501265"/>
          <c:h val="0.90641469816272957"/>
        </c:manualLayout>
      </c:layout>
      <c:barChart>
        <c:barDir val="col"/>
        <c:grouping val="clustered"/>
        <c:varyColors val="0"/>
        <c:ser>
          <c:idx val="0"/>
          <c:order val="0"/>
          <c:tx>
            <c:v>руб.</c:v>
          </c:tx>
          <c:spPr>
            <a:solidFill>
              <a:srgbClr val="3779AF"/>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Лист1!$A$25:$A$34</c:f>
              <c:numCache>
                <c:formatCode>General</c:formatCode>
                <c:ptCount val="10"/>
                <c:pt idx="0">
                  <c:v>21317.7</c:v>
                </c:pt>
                <c:pt idx="1">
                  <c:v>23243</c:v>
                </c:pt>
                <c:pt idx="2">
                  <c:v>22878.3</c:v>
                </c:pt>
                <c:pt idx="3">
                  <c:v>23887.599999999897</c:v>
                </c:pt>
                <c:pt idx="4">
                  <c:v>23140.7</c:v>
                </c:pt>
                <c:pt idx="5">
                  <c:v>24683.9</c:v>
                </c:pt>
                <c:pt idx="6">
                  <c:v>24648.9</c:v>
                </c:pt>
                <c:pt idx="7">
                  <c:v>26548</c:v>
                </c:pt>
                <c:pt idx="8">
                  <c:v>47786.400000000001</c:v>
                </c:pt>
                <c:pt idx="9">
                  <c:v>27303.1</c:v>
                </c:pt>
              </c:numCache>
            </c:numRef>
          </c:val>
          <c:extLst xmlns:c16r2="http://schemas.microsoft.com/office/drawing/2015/06/chart">
            <c:ext xmlns:c16="http://schemas.microsoft.com/office/drawing/2014/chart" uri="{C3380CC4-5D6E-409C-BE32-E72D297353CC}">
              <c16:uniqueId val="{00000000-6A2E-4042-9B78-E1FF8A39DBC6}"/>
            </c:ext>
          </c:extLst>
        </c:ser>
        <c:ser>
          <c:idx val="1"/>
          <c:order val="1"/>
          <c:tx>
            <c:v>год</c:v>
          </c:tx>
          <c:spPr>
            <a:solidFill>
              <a:srgbClr val="3779AF"/>
            </a:solidFill>
          </c:spPr>
          <c:invertIfNegative val="0"/>
          <c:dLbls>
            <c:dLbl>
              <c:idx val="0"/>
              <c:layout>
                <c:manualLayout>
                  <c:x val="-2.3980815347721851E-3"/>
                  <c:y val="0.1149230436001327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A2E-4042-9B78-E1FF8A39DBC6}"/>
                </c:ext>
                <c:ext xmlns:c15="http://schemas.microsoft.com/office/drawing/2012/chart" uri="{CE6537A1-D6FC-4f65-9D91-7224C49458BB}"/>
              </c:extLst>
            </c:dLbl>
            <c:dLbl>
              <c:idx val="1"/>
              <c:layout>
                <c:manualLayout>
                  <c:x val="-4.7961630695444041E-3"/>
                  <c:y val="0.1149338735570675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A2E-4042-9B78-E1FF8A39DBC6}"/>
                </c:ext>
                <c:ext xmlns:c15="http://schemas.microsoft.com/office/drawing/2012/chart" uri="{CE6537A1-D6FC-4f65-9D91-7224C49458BB}"/>
              </c:extLst>
            </c:dLbl>
            <c:dLbl>
              <c:idx val="2"/>
              <c:layout>
                <c:manualLayout>
                  <c:x val="0"/>
                  <c:y val="0.1149450220421476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A2E-4042-9B78-E1FF8A39DBC6}"/>
                </c:ext>
                <c:ext xmlns:c15="http://schemas.microsoft.com/office/drawing/2012/chart" uri="{CE6537A1-D6FC-4f65-9D91-7224C49458BB}"/>
              </c:extLst>
            </c:dLbl>
            <c:dLbl>
              <c:idx val="3"/>
              <c:layout>
                <c:manualLayout>
                  <c:x val="-4.7961630695443616E-3"/>
                  <c:y val="0.1149558519990826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A2E-4042-9B78-E1FF8A39DBC6}"/>
                </c:ext>
                <c:ext xmlns:c15="http://schemas.microsoft.com/office/drawing/2012/chart" uri="{CE6537A1-D6FC-4f65-9D91-7224C49458BB}"/>
              </c:extLst>
            </c:dLbl>
            <c:dLbl>
              <c:idx val="4"/>
              <c:layout>
                <c:manualLayout>
                  <c:x val="-7.1942446043165523E-3"/>
                  <c:y val="0.1149666819560183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A2E-4042-9B78-E1FF8A39DBC6}"/>
                </c:ext>
                <c:ext xmlns:c15="http://schemas.microsoft.com/office/drawing/2012/chart" uri="{CE6537A1-D6FC-4f65-9D91-7224C49458BB}"/>
              </c:extLst>
            </c:dLbl>
            <c:dLbl>
              <c:idx val="5"/>
              <c:layout>
                <c:manualLayout>
                  <c:x val="-2.3980815347721851E-3"/>
                  <c:y val="0.1149775119129526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A2E-4042-9B78-E1FF8A39DBC6}"/>
                </c:ext>
                <c:ext xmlns:c15="http://schemas.microsoft.com/office/drawing/2012/chart" uri="{CE6537A1-D6FC-4f65-9D91-7224C49458BB}"/>
              </c:extLst>
            </c:dLbl>
            <c:dLbl>
              <c:idx val="6"/>
              <c:layout>
                <c:manualLayout>
                  <c:x val="0"/>
                  <c:y val="0.1149883418698874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A2E-4042-9B78-E1FF8A39DBC6}"/>
                </c:ext>
                <c:ext xmlns:c15="http://schemas.microsoft.com/office/drawing/2012/chart" uri="{CE6537A1-D6FC-4f65-9D91-7224C49458BB}"/>
              </c:extLst>
            </c:dLbl>
            <c:dLbl>
              <c:idx val="7"/>
              <c:layout>
                <c:manualLayout>
                  <c:x val="0"/>
                  <c:y val="0.1149991718268226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A2E-4042-9B78-E1FF8A39DBC6}"/>
                </c:ext>
                <c:ext xmlns:c15="http://schemas.microsoft.com/office/drawing/2012/chart" uri="{CE6537A1-D6FC-4f65-9D91-7224C49458BB}"/>
              </c:extLst>
            </c:dLbl>
            <c:dLbl>
              <c:idx val="8"/>
              <c:layout>
                <c:manualLayout>
                  <c:x val="-2.3980815347721851E-3"/>
                  <c:y val="0.1150100017837576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A2E-4042-9B78-E1FF8A39DBC6}"/>
                </c:ext>
                <c:ext xmlns:c15="http://schemas.microsoft.com/office/drawing/2012/chart" uri="{CE6537A1-D6FC-4f65-9D91-7224C49458BB}"/>
              </c:extLst>
            </c:dLbl>
            <c:dLbl>
              <c:idx val="9"/>
              <c:layout>
                <c:manualLayout>
                  <c:x val="-2.3980815347721851E-3"/>
                  <c:y val="0.1150208317406926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A2E-4042-9B78-E1FF8A39DBC6}"/>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Лист1!$B$25:$B$34</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val>
          <c:extLst xmlns:c16r2="http://schemas.microsoft.com/office/drawing/2015/06/chart">
            <c:ext xmlns:c16="http://schemas.microsoft.com/office/drawing/2014/chart" uri="{C3380CC4-5D6E-409C-BE32-E72D297353CC}">
              <c16:uniqueId val="{00000001-6A2E-4042-9B78-E1FF8A39DBC6}"/>
            </c:ext>
          </c:extLst>
        </c:ser>
        <c:dLbls>
          <c:showLegendKey val="0"/>
          <c:showVal val="1"/>
          <c:showCatName val="0"/>
          <c:showSerName val="0"/>
          <c:showPercent val="0"/>
          <c:showBubbleSize val="0"/>
        </c:dLbls>
        <c:gapWidth val="48"/>
        <c:overlap val="100"/>
        <c:axId val="166864000"/>
        <c:axId val="167172352"/>
      </c:barChart>
      <c:catAx>
        <c:axId val="166864000"/>
        <c:scaling>
          <c:orientation val="minMax"/>
        </c:scaling>
        <c:delete val="1"/>
        <c:axPos val="b"/>
        <c:majorTickMark val="none"/>
        <c:minorTickMark val="none"/>
        <c:tickLblPos val="none"/>
        <c:crossAx val="167172352"/>
        <c:crosses val="autoZero"/>
        <c:auto val="1"/>
        <c:lblAlgn val="ctr"/>
        <c:lblOffset val="100"/>
        <c:noMultiLvlLbl val="0"/>
      </c:catAx>
      <c:valAx>
        <c:axId val="167172352"/>
        <c:scaling>
          <c:orientation val="minMax"/>
        </c:scaling>
        <c:delete val="1"/>
        <c:axPos val="l"/>
        <c:numFmt formatCode="General" sourceLinked="1"/>
        <c:majorTickMark val="out"/>
        <c:minorTickMark val="none"/>
        <c:tickLblPos val="none"/>
        <c:crossAx val="166864000"/>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3465157691301449E-2"/>
          <c:y val="1.672949972162574E-2"/>
          <c:w val="0.94724220623501265"/>
          <c:h val="0.91449041597073089"/>
        </c:manualLayout>
      </c:layout>
      <c:barChart>
        <c:barDir val="col"/>
        <c:grouping val="clustered"/>
        <c:varyColors val="0"/>
        <c:ser>
          <c:idx val="0"/>
          <c:order val="0"/>
          <c:tx>
            <c:v>руб.</c:v>
          </c:tx>
          <c:spPr>
            <a:solidFill>
              <a:srgbClr val="3779AF"/>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Лист1!$A$25:$A$34</c:f>
              <c:numCache>
                <c:formatCode>General</c:formatCode>
                <c:ptCount val="10"/>
                <c:pt idx="0">
                  <c:v>17622.400000000001</c:v>
                </c:pt>
                <c:pt idx="1">
                  <c:v>17936</c:v>
                </c:pt>
                <c:pt idx="2">
                  <c:v>18896.400000000001</c:v>
                </c:pt>
                <c:pt idx="3">
                  <c:v>22191.7</c:v>
                </c:pt>
                <c:pt idx="4">
                  <c:v>26114.400000000001</c:v>
                </c:pt>
                <c:pt idx="5">
                  <c:v>24692.9</c:v>
                </c:pt>
                <c:pt idx="6">
                  <c:v>25360.2</c:v>
                </c:pt>
                <c:pt idx="7">
                  <c:v>27337.8</c:v>
                </c:pt>
                <c:pt idx="8">
                  <c:v>48296.7</c:v>
                </c:pt>
                <c:pt idx="9">
                  <c:v>38451.699999999997</c:v>
                </c:pt>
              </c:numCache>
            </c:numRef>
          </c:val>
          <c:extLst xmlns:c16r2="http://schemas.microsoft.com/office/drawing/2015/06/chart">
            <c:ext xmlns:c16="http://schemas.microsoft.com/office/drawing/2014/chart" uri="{C3380CC4-5D6E-409C-BE32-E72D297353CC}">
              <c16:uniqueId val="{00000000-71DA-4D33-80CA-54BD2D2E3CF8}"/>
            </c:ext>
          </c:extLst>
        </c:ser>
        <c:ser>
          <c:idx val="1"/>
          <c:order val="1"/>
          <c:tx>
            <c:v>год</c:v>
          </c:tx>
          <c:spPr>
            <a:solidFill>
              <a:srgbClr val="3779AF"/>
            </a:solidFill>
          </c:spPr>
          <c:invertIfNegative val="0"/>
          <c:dLbls>
            <c:dLbl>
              <c:idx val="0"/>
              <c:layout>
                <c:manualLayout>
                  <c:x val="-7.1942446043165523E-3"/>
                  <c:y val="0.1188326580536656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1DA-4D33-80CA-54BD2D2E3CF8}"/>
                </c:ext>
                <c:ext xmlns:c15="http://schemas.microsoft.com/office/drawing/2012/chart" uri="{CE6537A1-D6FC-4f65-9D91-7224C49458BB}"/>
              </c:extLst>
            </c:dLbl>
            <c:dLbl>
              <c:idx val="1"/>
              <c:layout>
                <c:manualLayout>
                  <c:x val="-4.7961630695444041E-3"/>
                  <c:y val="0.1188434880106006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1DA-4D33-80CA-54BD2D2E3CF8}"/>
                </c:ext>
                <c:ext xmlns:c15="http://schemas.microsoft.com/office/drawing/2012/chart" uri="{CE6537A1-D6FC-4f65-9D91-7224C49458BB}"/>
              </c:extLst>
            </c:dLbl>
            <c:dLbl>
              <c:idx val="2"/>
              <c:layout>
                <c:manualLayout>
                  <c:x val="-2.3980815347721851E-3"/>
                  <c:y val="0.1188543179675356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1DA-4D33-80CA-54BD2D2E3CF8}"/>
                </c:ext>
                <c:ext xmlns:c15="http://schemas.microsoft.com/office/drawing/2012/chart" uri="{CE6537A1-D6FC-4f65-9D91-7224C49458BB}"/>
              </c:extLst>
            </c:dLbl>
            <c:dLbl>
              <c:idx val="3"/>
              <c:layout>
                <c:manualLayout>
                  <c:x val="4.3964320257911955E-17"/>
                  <c:y val="0.1188651479244710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1DA-4D33-80CA-54BD2D2E3CF8}"/>
                </c:ext>
                <c:ext xmlns:c15="http://schemas.microsoft.com/office/drawing/2012/chart" uri="{CE6537A1-D6FC-4f65-9D91-7224C49458BB}"/>
              </c:extLst>
            </c:dLbl>
            <c:dLbl>
              <c:idx val="4"/>
              <c:layout>
                <c:manualLayout>
                  <c:x val="-2.3980815347721851E-3"/>
                  <c:y val="0.1188759778814056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1DA-4D33-80CA-54BD2D2E3CF8}"/>
                </c:ext>
                <c:ext xmlns:c15="http://schemas.microsoft.com/office/drawing/2012/chart" uri="{CE6537A1-D6FC-4f65-9D91-7224C49458BB}"/>
              </c:extLst>
            </c:dLbl>
            <c:dLbl>
              <c:idx val="5"/>
              <c:layout>
                <c:manualLayout>
                  <c:x val="0"/>
                  <c:y val="0.1188868078383405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1DA-4D33-80CA-54BD2D2E3CF8}"/>
                </c:ext>
                <c:ext xmlns:c15="http://schemas.microsoft.com/office/drawing/2012/chart" uri="{CE6537A1-D6FC-4f65-9D91-7224C49458BB}"/>
              </c:extLst>
            </c:dLbl>
            <c:dLbl>
              <c:idx val="6"/>
              <c:layout>
                <c:manualLayout>
                  <c:x val="0"/>
                  <c:y val="0.1188973192671304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1DA-4D33-80CA-54BD2D2E3CF8}"/>
                </c:ext>
                <c:ext xmlns:c15="http://schemas.microsoft.com/office/drawing/2012/chart" uri="{CE6537A1-D6FC-4f65-9D91-7224C49458BB}"/>
              </c:extLst>
            </c:dLbl>
            <c:dLbl>
              <c:idx val="7"/>
              <c:layout>
                <c:manualLayout>
                  <c:x val="0"/>
                  <c:y val="0.1189081492240654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1DA-4D33-80CA-54BD2D2E3CF8}"/>
                </c:ext>
                <c:ext xmlns:c15="http://schemas.microsoft.com/office/drawing/2012/chart" uri="{CE6537A1-D6FC-4f65-9D91-7224C49458BB}"/>
              </c:extLst>
            </c:dLbl>
            <c:dLbl>
              <c:idx val="8"/>
              <c:layout>
                <c:manualLayout>
                  <c:x val="0"/>
                  <c:y val="0.1189189791810004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71DA-4D33-80CA-54BD2D2E3CF8}"/>
                </c:ext>
                <c:ext xmlns:c15="http://schemas.microsoft.com/office/drawing/2012/chart" uri="{CE6537A1-D6FC-4f65-9D91-7224C49458BB}"/>
              </c:extLst>
            </c:dLbl>
            <c:dLbl>
              <c:idx val="9"/>
              <c:layout>
                <c:manualLayout>
                  <c:x val="-2.3980815347721851E-3"/>
                  <c:y val="0.1189298091379354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71DA-4D33-80CA-54BD2D2E3CF8}"/>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Лист1!$B$25:$B$34</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val>
          <c:extLst xmlns:c16r2="http://schemas.microsoft.com/office/drawing/2015/06/chart">
            <c:ext xmlns:c16="http://schemas.microsoft.com/office/drawing/2014/chart" uri="{C3380CC4-5D6E-409C-BE32-E72D297353CC}">
              <c16:uniqueId val="{00000001-71DA-4D33-80CA-54BD2D2E3CF8}"/>
            </c:ext>
          </c:extLst>
        </c:ser>
        <c:dLbls>
          <c:showLegendKey val="0"/>
          <c:showVal val="1"/>
          <c:showCatName val="0"/>
          <c:showSerName val="0"/>
          <c:showPercent val="0"/>
          <c:showBubbleSize val="0"/>
        </c:dLbls>
        <c:gapWidth val="48"/>
        <c:overlap val="100"/>
        <c:axId val="167194624"/>
        <c:axId val="167196160"/>
      </c:barChart>
      <c:catAx>
        <c:axId val="167194624"/>
        <c:scaling>
          <c:orientation val="minMax"/>
        </c:scaling>
        <c:delete val="1"/>
        <c:axPos val="b"/>
        <c:majorTickMark val="none"/>
        <c:minorTickMark val="none"/>
        <c:tickLblPos val="none"/>
        <c:crossAx val="167196160"/>
        <c:crosses val="autoZero"/>
        <c:auto val="1"/>
        <c:lblAlgn val="ctr"/>
        <c:lblOffset val="100"/>
        <c:noMultiLvlLbl val="0"/>
      </c:catAx>
      <c:valAx>
        <c:axId val="167196160"/>
        <c:scaling>
          <c:orientation val="minMax"/>
        </c:scaling>
        <c:delete val="1"/>
        <c:axPos val="l"/>
        <c:numFmt formatCode="General" sourceLinked="1"/>
        <c:majorTickMark val="out"/>
        <c:minorTickMark val="none"/>
        <c:tickLblPos val="none"/>
        <c:crossAx val="167194624"/>
        <c:crosses val="autoZero"/>
        <c:crossBetween val="between"/>
      </c:valAx>
    </c:plotArea>
    <c:plotVisOnly val="1"/>
    <c:dispBlanksAs val="gap"/>
    <c:showDLblsOverMax val="0"/>
  </c:chart>
  <c:spPr>
    <a:ln>
      <a:solidFill>
        <a:schemeClr val="bg1"/>
      </a:solid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1626</Words>
  <Characters>9272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Пользователь</cp:lastModifiedBy>
  <cp:revision>7</cp:revision>
  <dcterms:created xsi:type="dcterms:W3CDTF">2023-12-11T07:46:00Z</dcterms:created>
  <dcterms:modified xsi:type="dcterms:W3CDTF">2023-12-24T13:39:00Z</dcterms:modified>
</cp:coreProperties>
</file>