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Standard"/>
        <w:spacing w:lineRule="auto" w:line="360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 «МИРЭА — Российский технологический университет»</w:t>
      </w:r>
    </w:p>
    <w:p>
      <w:pPr>
        <w:pStyle w:val="Standard"/>
        <w:spacing w:lineRule="auto" w:line="360" w:before="0" w:after="3685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Государственное бюджетное образовательное учреждение города Москвы «Школа № 1212»</w:t>
      </w:r>
    </w:p>
    <w:p>
      <w:pPr>
        <w:pStyle w:val="Standard"/>
        <w:spacing w:lineRule="auto" w:line="360" w:before="0" w:after="3685"/>
        <w:ind w:firstLine="709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СРАВНЕНИЕ ВЫДЕЛЕНИЯ МИКРОПЛАСТИКА ПРИ РАЗЛИЧНЫХ ЗНАЧЕНИЯХ ТЕМПЕРАТУРНОЙ ОБРАБОТКИ ЧАЙНЫХ ПАКЕТИКОВ</w:t>
      </w:r>
    </w:p>
    <w:tbl>
      <w:tblPr>
        <w:tblW w:w="6450" w:type="dxa"/>
        <w:jc w:val="left"/>
        <w:tblInd w:w="3191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HBand="0" w:noVBand="0" w:firstColumn="0" w:lastRow="0" w:lastColumn="0" w:firstRow="0"/>
      </w:tblPr>
      <w:tblGrid>
        <w:gridCol w:w="2263"/>
        <w:gridCol w:w="4186"/>
      </w:tblGrid>
      <w:tr>
        <w:trPr>
          <w:trHeight w:val="930" w:hRule="atLeast"/>
        </w:trPr>
        <w:tc>
          <w:tcPr>
            <w:tcW w:w="2263" w:type="dxa"/>
            <w:tcBorders/>
            <w:shd w:color="auto" w:fill="FFFFFF" w:val="clear"/>
          </w:tcPr>
          <w:p>
            <w:pPr>
              <w:pStyle w:val="Style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Авторы:</w:t>
            </w:r>
          </w:p>
        </w:tc>
        <w:tc>
          <w:tcPr>
            <w:tcW w:w="4186" w:type="dxa"/>
            <w:tcBorders/>
            <w:shd w:color="auto" w:fill="FFFFFF" w:val="clear"/>
          </w:tcPr>
          <w:p>
            <w:pPr>
              <w:pStyle w:val="Style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Малофеева Анна Дмитриевна, ученица 10 класса</w:t>
            </w:r>
          </w:p>
        </w:tc>
      </w:tr>
      <w:tr>
        <w:trPr>
          <w:trHeight w:val="1245" w:hRule="atLeast"/>
        </w:trPr>
        <w:tc>
          <w:tcPr>
            <w:tcW w:w="2263" w:type="dxa"/>
            <w:tcBorders/>
            <w:shd w:color="auto" w:fill="FFFFFF" w:val="clear"/>
          </w:tcPr>
          <w:p>
            <w:pPr>
              <w:pStyle w:val="Style1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Руководитель:</w:t>
            </w:r>
          </w:p>
        </w:tc>
        <w:tc>
          <w:tcPr>
            <w:tcW w:w="4186" w:type="dxa"/>
            <w:tcBorders/>
            <w:shd w:color="auto" w:fill="FFFFFF" w:val="clear"/>
          </w:tcPr>
          <w:p>
            <w:pPr>
              <w:pStyle w:val="Standard"/>
              <w:spacing w:before="58" w:after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Алиев Гадир Шаинович,</w:t>
            </w:r>
          </w:p>
          <w:p>
            <w:pPr>
              <w:pStyle w:val="Standard"/>
              <w:spacing w:before="58" w:after="58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преподаватель Детского технопарка «Альтаир»</w:t>
            </w:r>
          </w:p>
        </w:tc>
      </w:tr>
    </w:tbl>
    <w:p>
      <w:pPr>
        <w:pStyle w:val="Standard"/>
        <w:spacing w:lineRule="auto" w:line="360" w:before="850"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Москва, 2024</w:t>
      </w:r>
    </w:p>
    <w:p>
      <w:pPr>
        <w:pStyle w:val="Standard"/>
        <w:spacing w:lineRule="auto" w:line="360"/>
        <w:rPr>
          <w:sz w:val="28"/>
          <w:szCs w:val="28"/>
        </w:rPr>
      </w:pPr>
      <w:r>
        <w:rPr>
          <w:sz w:val="28"/>
          <w:szCs w:val="28"/>
        </w:rPr>
      </w:r>
      <w:r>
        <w:br w:type="page"/>
      </w:r>
    </w:p>
    <w:p>
      <w:pPr>
        <w:pStyle w:val="Standard"/>
        <w:spacing w:lineRule="auto" w:line="360"/>
        <w:jc w:val="center"/>
        <w:rPr>
          <w:sz w:val="28"/>
          <w:szCs w:val="28"/>
        </w:rPr>
      </w:pPr>
      <w:r>
        <w:rPr>
          <w:sz w:val="28"/>
          <w:szCs w:val="28"/>
        </w:rPr>
        <w:t>Оглавление</w:t>
      </w:r>
    </w:p>
    <w:p>
      <w:pPr>
        <w:pStyle w:val="Standard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Standard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Введение</w:t>
      </w:r>
    </w:p>
    <w:p>
      <w:pPr>
        <w:pStyle w:val="Standard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Цель, задачи</w:t>
      </w:r>
    </w:p>
    <w:p>
      <w:pPr>
        <w:pStyle w:val="Standard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Актуальность проекта</w:t>
      </w:r>
    </w:p>
    <w:p>
      <w:pPr>
        <w:pStyle w:val="Standard"/>
        <w:spacing w:lineRule="auto" w:line="360"/>
        <w:jc w:val="both"/>
        <w:rPr>
          <w:sz w:val="28"/>
          <w:szCs w:val="28"/>
        </w:rPr>
      </w:pPr>
      <w:r>
        <w:rPr>
          <w:sz w:val="28"/>
          <w:szCs w:val="28"/>
        </w:rPr>
        <w:t>Этапы реализации проекта</w:t>
      </w:r>
    </w:p>
    <w:p>
      <w:pPr>
        <w:pStyle w:val="Standard"/>
        <w:spacing w:lineRule="auto" w:line="360"/>
        <w:ind w:left="709"/>
        <w:jc w:val="both"/>
        <w:rPr/>
      </w:pPr>
      <w:r>
        <w:rPr>
          <w:rFonts w:eastAsia="Times New Roman" w:cs="Times New Roman"/>
          <w:color w:val="000000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Выбор фирм-производителей чайного пакетика</w:t>
      </w:r>
    </w:p>
    <w:p>
      <w:pPr>
        <w:pStyle w:val="Textbody"/>
        <w:spacing w:lineRule="auto" w:line="360"/>
        <w:ind w:left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Определение температурного режима</w:t>
      </w:r>
    </w:p>
    <w:p>
      <w:pPr>
        <w:pStyle w:val="Textbody"/>
        <w:spacing w:lineRule="auto" w:line="360"/>
        <w:ind w:left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Выбор метода</w:t>
      </w:r>
    </w:p>
    <w:p>
      <w:pPr>
        <w:pStyle w:val="Textbody"/>
        <w:spacing w:lineRule="auto" w:line="360"/>
        <w:ind w:left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Оборудование</w:t>
      </w:r>
    </w:p>
    <w:p>
      <w:pPr>
        <w:pStyle w:val="Textbody"/>
        <w:spacing w:lineRule="auto" w:line="360"/>
        <w:ind w:left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Получение образцов</w:t>
      </w:r>
    </w:p>
    <w:p>
      <w:pPr>
        <w:pStyle w:val="Textbody"/>
        <w:spacing w:lineRule="auto" w:line="360"/>
        <w:ind w:left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</w:rPr>
        <w:t>Определение размеров наночастиц</w:t>
      </w:r>
    </w:p>
    <w:p>
      <w:pPr>
        <w:pStyle w:val="Textbody"/>
        <w:spacing w:lineRule="auto" w:line="36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Описание полученных результатов</w:t>
      </w:r>
    </w:p>
    <w:p>
      <w:pPr>
        <w:pStyle w:val="Textbody"/>
        <w:spacing w:lineRule="auto" w:line="36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Выводы</w:t>
      </w:r>
    </w:p>
    <w:p>
      <w:pPr>
        <w:pStyle w:val="Textbody"/>
        <w:spacing w:lineRule="auto" w:line="36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Перспективы развития проекта</w:t>
      </w:r>
    </w:p>
    <w:p>
      <w:pPr>
        <w:pStyle w:val="Textbody"/>
        <w:spacing w:lineRule="auto" w:line="360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Список электронных ссылок</w:t>
      </w:r>
      <w:r>
        <w:br w:type="page"/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Введение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Я узнала о проблеме микопластика в пищевой промышленности, и мне бы хотелось углубиться в данную тему, чтобы разобраться, является ли ежедневное использование чайных пакетиков опасным для здоровья.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Цель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Сравнение размеров частиц микропластика, выделяющегося при различных температурных режимах тепловой обработки чайных пакетиков.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Задачи</w:t>
      </w:r>
    </w:p>
    <w:p>
      <w:pPr>
        <w:pStyle w:val="Textbody"/>
        <w:numPr>
          <w:ilvl w:val="0"/>
          <w:numId w:val="3"/>
        </w:numPr>
        <w:spacing w:lineRule="auto" w:line="360"/>
        <w:ind w:firstLine="706" w:left="0"/>
        <w:jc w:val="both"/>
        <w:rPr>
          <w:rFonts w:eastAsia="Tw Cen MT Condensed" w:cs="Times New Roman"/>
          <w:color w:val="000000"/>
          <w:sz w:val="28"/>
          <w:szCs w:val="28"/>
        </w:rPr>
      </w:pPr>
      <w:r>
        <w:rPr>
          <w:rFonts w:eastAsia="Tw Cen MT Condensed" w:cs="Times New Roman"/>
          <w:color w:val="000000"/>
          <w:sz w:val="28"/>
          <w:szCs w:val="28"/>
        </w:rPr>
        <w:t>Определение наиболее востребованных температурных режимов потребления чайных пакетиков и фирм-производителей;</w:t>
      </w:r>
    </w:p>
    <w:p>
      <w:pPr>
        <w:pStyle w:val="Textbody"/>
        <w:numPr>
          <w:ilvl w:val="0"/>
          <w:numId w:val="6"/>
        </w:numPr>
        <w:spacing w:lineRule="auto" w:line="360"/>
        <w:ind w:firstLine="706" w:left="0"/>
        <w:jc w:val="both"/>
        <w:rPr/>
      </w:pPr>
      <w:r>
        <w:rPr>
          <w:rFonts w:eastAsia="Tw Cen MT Condensed" w:cs="Times New Roman"/>
          <w:color w:val="000000"/>
          <w:sz w:val="28"/>
          <w:szCs w:val="28"/>
        </w:rPr>
        <w:t xml:space="preserve">выбор метода определения размеров частиц </w:t>
      </w:r>
      <w:r>
        <w:rPr>
          <w:rFonts w:eastAsia="Times New Roman" w:cs="Times New Roman"/>
          <w:color w:val="000000"/>
          <w:sz w:val="28"/>
          <w:szCs w:val="28"/>
        </w:rPr>
        <w:t>микропластика;</w:t>
      </w:r>
    </w:p>
    <w:p>
      <w:pPr>
        <w:pStyle w:val="Textbody"/>
        <w:numPr>
          <w:ilvl w:val="0"/>
          <w:numId w:val="7"/>
        </w:numPr>
        <w:spacing w:lineRule="auto" w:line="360"/>
        <w:ind w:firstLine="706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получение образцов при значениях температурной обработки, равных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>;</w:t>
      </w:r>
    </w:p>
    <w:p>
      <w:pPr>
        <w:pStyle w:val="Textbody"/>
        <w:numPr>
          <w:ilvl w:val="0"/>
          <w:numId w:val="8"/>
        </w:numPr>
        <w:spacing w:lineRule="auto" w:line="360"/>
        <w:ind w:firstLine="706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определение размеров частиц микроплатика, выделяющегося при значениях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>;</w:t>
      </w:r>
    </w:p>
    <w:p>
      <w:pPr>
        <w:pStyle w:val="Textbody"/>
        <w:numPr>
          <w:ilvl w:val="0"/>
          <w:numId w:val="9"/>
        </w:numPr>
        <w:spacing w:lineRule="auto" w:line="360"/>
        <w:ind w:firstLine="706" w:left="0"/>
        <w:jc w:val="both"/>
        <w:rPr>
          <w:rFonts w:eastAsia="Tw Cen MT Condensed" w:cs="Times New Roman"/>
          <w:color w:val="000000"/>
          <w:sz w:val="28"/>
          <w:szCs w:val="28"/>
        </w:rPr>
      </w:pPr>
      <w:r>
        <w:rPr>
          <w:rFonts w:eastAsia="Tw Cen MT Condensed" w:cs="Times New Roman"/>
          <w:color w:val="000000"/>
          <w:sz w:val="28"/>
          <w:szCs w:val="28"/>
        </w:rPr>
        <w:t>анализ результатов, формулировка вывода.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Актуальность проекта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Микропластик — это любой кусок полимера размером меньше 5 мм.</w:t>
      </w:r>
    </w:p>
    <w:p>
      <w:pPr>
        <w:pStyle w:val="Textbody"/>
        <w:spacing w:lineRule="auto" w:line="360"/>
        <w:ind w:firstLine="706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Журнал Environmental Science and Technology проанализировал 26 исследований и выяснил, что за год среднестатистический человек потребляет 39–52 тыс. частиц пластика вместе с едой. Частицы могут быть опасными для человека, так как содержат токсичные и вредные добавки, которые могут спровоцировать раковые заболевания, воспаления и бесплодие. Размер тоже имеет значение во вреде организма, так как крупные частицы микропластика принесут больше проблем здоровью, чем более мелкие частицы.  Исследователи из университета Аризоны взяли 47 образцов тканей человека, в том числе органов: легких, печени, селезенки и почек. Во всех представленных материалах они смогли идентифицировать десятки типов компонентов, включая поликарбонат, полиэтилентерефталат, полиэтилен, нейлон. [1]</w:t>
      </w:r>
    </w:p>
    <w:p>
      <w:pPr>
        <w:pStyle w:val="Textbody"/>
        <w:spacing w:lineRule="auto" w:line="360"/>
        <w:ind w:firstLine="706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 xml:space="preserve">Пластиковые чайные пакетики сделаны из мелкоячеистой пищевой нейлоновой сетки. [2] </w:t>
      </w:r>
      <w:r>
        <w:rPr>
          <w:rFonts w:eastAsia="Times New Roman" w:cs="Times New Roman"/>
          <w:color w:val="202122"/>
          <w:sz w:val="28"/>
          <w:szCs w:val="28"/>
        </w:rPr>
        <w:t xml:space="preserve">Нейлон — семейство синтетических </w:t>
      </w:r>
      <w:r>
        <w:rPr>
          <w:rFonts w:eastAsia="Times New Roman" w:cs="Times New Roman"/>
          <w:color w:val="000000"/>
          <w:sz w:val="28"/>
          <w:szCs w:val="28"/>
        </w:rPr>
        <w:t>полиамидов,</w:t>
      </w:r>
      <w:r>
        <w:rPr>
          <w:rFonts w:eastAsia="Times New Roman" w:cs="Times New Roman"/>
          <w:color w:val="202122"/>
          <w:sz w:val="28"/>
          <w:szCs w:val="28"/>
        </w:rPr>
        <w:t xml:space="preserve"> используемых преимущественно в производ</w:t>
      </w:r>
      <w:r>
        <w:rPr>
          <w:rFonts w:eastAsia="Times New Roman" w:cs="Times New Roman"/>
          <w:color w:val="000000"/>
          <w:sz w:val="28"/>
          <w:szCs w:val="28"/>
        </w:rPr>
        <w:t>стве волокон. [3]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Этапы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Выбор фирм-производителей чайного пакетика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Для проекта было выбраны производители чая средней (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Curtis</w:t>
      </w:r>
      <w:r>
        <w:rPr>
          <w:rFonts w:eastAsia="Times New Roman" w:cs="Times New Roman"/>
          <w:color w:val="000000"/>
          <w:sz w:val="28"/>
          <w:szCs w:val="28"/>
        </w:rPr>
        <w:t xml:space="preserve"> и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Tess</w:t>
      </w:r>
      <w:r>
        <w:rPr>
          <w:rFonts w:eastAsia="Times New Roman" w:cs="Times New Roman"/>
          <w:color w:val="000000"/>
          <w:sz w:val="28"/>
          <w:szCs w:val="28"/>
        </w:rPr>
        <w:t>) и повышенной (Русский Иван-чай) ценовых категорий.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Определение температурного режима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В проекте были выбраны температурные режимы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Выбор первой температуры обусловлен тем, что для некоторых сортов чая нужны более низкие температуры заваривания. Например, для белого чая оптимальная температура заваривания - 70º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>.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Второе температурное значение - 95º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является рекомендованной производителем температурой для заваривания чая.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Выбор метода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Был выбран метод динамического рассеивания света, так как он позволяет определить размер наночастиц. С помощью этого метода можно определить коэффициент диффузии дисперсных частиц в жидкости, что позволит рассчитать их радиус, а в дальнейшем, и размер. [4]</w:t>
      </w:r>
    </w:p>
    <w:p>
      <w:pPr>
        <w:pStyle w:val="Textbody"/>
        <w:spacing w:lineRule="auto" w:line="360"/>
        <w:ind w:firstLine="709"/>
        <w:jc w:val="both"/>
        <w:rPr/>
      </w:pPr>
      <w:r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align>center</wp:align>
            </wp:positionH>
            <wp:positionV relativeFrom="paragraph">
              <wp:posOffset>2054225</wp:posOffset>
            </wp:positionV>
            <wp:extent cx="6119495" cy="1676400"/>
            <wp:effectExtent l="0" t="0" r="0" b="0"/>
            <wp:wrapTopAndBottom/>
            <wp:docPr id="1" name="Графический объект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афический объект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 w:val="28"/>
          <w:szCs w:val="28"/>
        </w:rPr>
        <w:t>Принцип действия этого метода заключается в том, что</w:t>
      </w:r>
      <w:r>
        <w:rPr>
          <w:rFonts w:eastAsia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bCs/>
          <w:color w:val="000000"/>
          <w:sz w:val="28"/>
          <w:szCs w:val="28"/>
        </w:rPr>
        <w:t xml:space="preserve">частицы, перемещаясь благодаря Броуновскому движению, взаимодействуют с лазерным лучом, рассеяние лазерного света детектируется фотоэлектронным умножителем. (Рис. 1) </w:t>
      </w:r>
      <w:r>
        <w:rPr>
          <w:rFonts w:eastAsia="Times New Roman" w:cs="Times New Roman"/>
          <w:color w:val="000000"/>
          <w:sz w:val="28"/>
          <w:szCs w:val="28"/>
        </w:rPr>
        <w:t>Большие частицы при Броуновском движении имеют меньшую скорость по сравнению с более мелкими. Рассеянный свет от частиц детектируется как сигнал с отклонениями, соответствующими скоростям Броуновского движения частиц. [5]</w:t>
      </w:r>
    </w:p>
    <w:p>
      <w:pPr>
        <w:pStyle w:val="Textbody"/>
        <w:spacing w:lineRule="auto" w:line="360"/>
        <w:ind w:firstLine="709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Рис. 1 Принцип метода динамического рассеивания света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Оборудование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1362075</wp:posOffset>
            </wp:positionH>
            <wp:positionV relativeFrom="paragraph">
              <wp:posOffset>701040</wp:posOffset>
            </wp:positionV>
            <wp:extent cx="3372485" cy="2247900"/>
            <wp:effectExtent l="0" t="0" r="0" b="0"/>
            <wp:wrapTopAndBottom/>
            <wp:docPr id="2" name="Графический объект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рафический объект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 w:val="28"/>
          <w:szCs w:val="28"/>
        </w:rPr>
        <w:t>Химический стакан, нагревательная плита, термометр, анализатор размеров и формы частиц malvern zetasizer nano zs.</w:t>
      </w:r>
    </w:p>
    <w:p>
      <w:pPr>
        <w:pStyle w:val="Textbody"/>
        <w:spacing w:lineRule="auto" w:line="360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Рис. 2 Анализатор размеров и формы частиц malvern zetasizer nano zs</w:t>
      </w:r>
    </w:p>
    <w:p>
      <w:pPr>
        <w:pStyle w:val="Textbody"/>
        <w:spacing w:lineRule="auto" w:line="360"/>
        <w:ind w:firstLine="734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Получение образцов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Для получения образцов химический стакан с водой нагревался до нужной температуры на нагревательной плите. Затем заранее опустошённый чайный пакетик размещалась в жидкость на 5 минут. (Рис.3)</w:t>
      </w:r>
    </w:p>
    <w:p>
      <w:pPr>
        <w:pStyle w:val="Textbody"/>
        <w:spacing w:lineRule="auto" w:line="360"/>
        <w:ind w:firstLine="709"/>
        <w:jc w:val="center"/>
        <w:rPr/>
      </w:pPr>
      <w:r>
        <w:rPr>
          <w:rFonts w:eastAsia="Times New Roman" w:cs="Times New Roman"/>
          <w:color w:val="000000"/>
          <w:sz w:val="28"/>
          <w:szCs w:val="28"/>
        </w:rPr>
        <w:drawing>
          <wp:anchor behindDoc="0" distT="0" distB="0" distL="114300" distR="114300" simplePos="0" locked="0" layoutInCell="0" allowOverlap="1" relativeHeight="4">
            <wp:simplePos x="0" y="0"/>
            <wp:positionH relativeFrom="column">
              <wp:posOffset>1938655</wp:posOffset>
            </wp:positionH>
            <wp:positionV relativeFrom="paragraph">
              <wp:posOffset>-3810</wp:posOffset>
            </wp:positionV>
            <wp:extent cx="2498090" cy="3171825"/>
            <wp:effectExtent l="0" t="0" r="0" b="0"/>
            <wp:wrapTopAndBottom/>
            <wp:docPr id="3" name="Графический объект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рафический объект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09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color w:val="000000"/>
          <w:sz w:val="28"/>
          <w:szCs w:val="28"/>
        </w:rPr>
        <w:t>Рис.3 Химический стакан с опустошенными чайными пакетиками</w:t>
      </w:r>
    </w:p>
    <w:p>
      <w:pPr>
        <w:pStyle w:val="Textbody"/>
        <w:spacing w:lineRule="auto" w:line="36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Определение размеров наночастиц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Полученные образцы были исследованы в лаборатории с помощью анализатора размеров и формы частиц malvern zetasizer nano zs, который использует метод динамического рассеивания света.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Описание полученных результатов</w:t>
      </w:r>
    </w:p>
    <w:p>
      <w:pPr>
        <w:pStyle w:val="Textbody"/>
        <w:spacing w:lineRule="auto" w:line="360"/>
        <w:jc w:val="right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Таблица 1</w:t>
      </w:r>
    </w:p>
    <w:tbl>
      <w:tblPr>
        <w:tblW w:w="9638" w:type="dxa"/>
        <w:jc w:val="left"/>
        <w:tblInd w:w="45" w:type="dxa"/>
        <w:tblLayout w:type="fixed"/>
        <w:tblCellMar>
          <w:top w:w="0" w:type="dxa"/>
          <w:left w:w="10" w:type="dxa"/>
          <w:bottom w:w="0" w:type="dxa"/>
          <w:right w:w="10" w:type="dxa"/>
        </w:tblCellMar>
        <w:tblLook w:val="0000" w:noHBand="0" w:noVBand="0" w:firstColumn="0" w:lastRow="0" w:lastColumn="0" w:firstRow="0"/>
      </w:tblPr>
      <w:tblGrid>
        <w:gridCol w:w="2409"/>
        <w:gridCol w:w="2409"/>
        <w:gridCol w:w="2407"/>
        <w:gridCol w:w="2412"/>
      </w:tblGrid>
      <w:tr>
        <w:trPr/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Температура</w:t>
            </w:r>
          </w:p>
        </w:tc>
        <w:tc>
          <w:tcPr>
            <w:tcW w:w="240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Textbody"/>
              <w:spacing w:lineRule="auto" w:line="360"/>
              <w:rPr>
                <w:rFonts w:eastAsia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n-US"/>
              </w:rPr>
              <w:t>Curtis</w:t>
            </w:r>
          </w:p>
        </w:tc>
        <w:tc>
          <w:tcPr>
            <w:tcW w:w="2407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Textbody"/>
              <w:spacing w:lineRule="auto" w:line="360"/>
              <w:rPr>
                <w:rFonts w:eastAsia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val="en-US"/>
              </w:rPr>
              <w:t>Tess</w:t>
            </w:r>
          </w:p>
        </w:tc>
        <w:tc>
          <w:tcPr>
            <w:tcW w:w="241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FFFFFF" w:val="clear"/>
          </w:tcPr>
          <w:p>
            <w:pPr>
              <w:pStyle w:val="Textbody"/>
              <w:spacing w:lineRule="auto" w:line="36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Русский</w:t>
            </w:r>
          </w:p>
          <w:p>
            <w:pPr>
              <w:pStyle w:val="Textbody"/>
              <w:spacing w:lineRule="auto" w:line="360"/>
              <w:rPr>
                <w:rFonts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</w:rPr>
              <w:t>Иван-чай</w:t>
            </w:r>
          </w:p>
        </w:tc>
      </w:tr>
      <w:tr>
        <w:trPr/>
        <w:tc>
          <w:tcPr>
            <w:tcW w:w="2409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/>
            </w:pPr>
            <w:r>
              <w:rPr>
                <w:sz w:val="28"/>
                <w:szCs w:val="28"/>
              </w:rPr>
              <w:t>70</w:t>
            </w:r>
            <w:r>
              <w:rPr>
                <w:rFonts w:eastAsia="Times New Roman" w:cs="Times New Roman"/>
                <w:color w:val="000000"/>
              </w:rPr>
              <w:t>º</w:t>
            </w:r>
            <w:r>
              <w:rPr>
                <w:rFonts w:eastAsia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2409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1682</w:t>
            </w:r>
          </w:p>
        </w:tc>
        <w:tc>
          <w:tcPr>
            <w:tcW w:w="2407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405,3</w:t>
            </w:r>
          </w:p>
        </w:tc>
        <w:tc>
          <w:tcPr>
            <w:tcW w:w="241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3419</w:t>
            </w:r>
          </w:p>
        </w:tc>
      </w:tr>
      <w:tr>
        <w:trPr/>
        <w:tc>
          <w:tcPr>
            <w:tcW w:w="2409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/>
            </w:pPr>
            <w:r>
              <w:rPr>
                <w:sz w:val="28"/>
                <w:szCs w:val="28"/>
              </w:rPr>
              <w:t>95</w:t>
            </w:r>
            <w:r>
              <w:rPr>
                <w:rFonts w:eastAsia="Times New Roman" w:cs="Times New Roman"/>
                <w:color w:val="000000"/>
              </w:rPr>
              <w:t>º</w:t>
            </w:r>
            <w:r>
              <w:rPr>
                <w:rFonts w:eastAsia="Times New Roman" w:cs="Times New Roman"/>
                <w:color w:val="000000"/>
                <w:lang w:val="en-US"/>
              </w:rPr>
              <w:t>C</w:t>
            </w:r>
          </w:p>
        </w:tc>
        <w:tc>
          <w:tcPr>
            <w:tcW w:w="2409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1793</w:t>
            </w:r>
          </w:p>
        </w:tc>
        <w:tc>
          <w:tcPr>
            <w:tcW w:w="2407" w:type="dxa"/>
            <w:tcBorders>
              <w:left w:val="single" w:sz="2" w:space="0" w:color="000001"/>
              <w:bottom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604,1</w:t>
            </w:r>
          </w:p>
        </w:tc>
        <w:tc>
          <w:tcPr>
            <w:tcW w:w="2412" w:type="dxa"/>
            <w:tcBorders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color="auto" w:fill="FFFFFF" w:val="clear"/>
          </w:tcPr>
          <w:p>
            <w:pPr>
              <w:pStyle w:val="Style11"/>
              <w:spacing w:lineRule="auto" w:line="36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2080</w:t>
            </w:r>
          </w:p>
        </w:tc>
      </w:tr>
    </w:tbl>
    <w:p>
      <w:pPr>
        <w:pStyle w:val="Textbody"/>
        <w:spacing w:lineRule="auto" w:line="360"/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Размеры частиц микропластика (нм)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Самый большой размер частиц, выделился при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у фирмы-производителя повышенной ценовой категории (Русский Иван-чай).</w:t>
      </w:r>
    </w:p>
    <w:p>
      <w:pPr>
        <w:pStyle w:val="Textbody"/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Размер частицы при термической обработке в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чая от фирмы-производителя (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Tess</w:t>
      </w:r>
      <w:r>
        <w:rPr>
          <w:rFonts w:eastAsia="Times New Roman" w:cs="Times New Roman"/>
          <w:color w:val="000000"/>
          <w:sz w:val="28"/>
          <w:szCs w:val="28"/>
        </w:rPr>
        <w:t>) показал наименьший размер частиц.</w:t>
      </w:r>
    </w:p>
    <w:p>
      <w:pPr>
        <w:pStyle w:val="Textbody"/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Выводы</w:t>
      </w:r>
    </w:p>
    <w:p>
      <w:pPr>
        <w:pStyle w:val="Textbody"/>
        <w:numPr>
          <w:ilvl w:val="0"/>
          <w:numId w:val="4"/>
        </w:numPr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Для проекта были выбраны температуры, равные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фирмы-производители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Curtis</w:t>
      </w:r>
      <w:r>
        <w:rPr>
          <w:rFonts w:eastAsia="Times New Roman" w:cs="Times New Roman"/>
          <w:color w:val="000000"/>
          <w:sz w:val="28"/>
          <w:szCs w:val="28"/>
        </w:rPr>
        <w:t xml:space="preserve">,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Tess</w:t>
      </w:r>
      <w:r>
        <w:rPr>
          <w:rFonts w:eastAsia="Times New Roman" w:cs="Times New Roman"/>
          <w:color w:val="000000"/>
          <w:sz w:val="28"/>
          <w:szCs w:val="28"/>
        </w:rPr>
        <w:t>, Русский Иван-чай;</w:t>
      </w:r>
    </w:p>
    <w:p>
      <w:pPr>
        <w:pStyle w:val="Textbody"/>
        <w:numPr>
          <w:ilvl w:val="0"/>
          <w:numId w:val="4"/>
        </w:numPr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был выбран метод динамического рассеивания света, так как он позволяет определить размер частиц;</w:t>
      </w:r>
    </w:p>
    <w:p>
      <w:pPr>
        <w:pStyle w:val="Textbody"/>
        <w:numPr>
          <w:ilvl w:val="0"/>
          <w:numId w:val="4"/>
        </w:numPr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были получены образцы при различных значениях температурной обработки, равных  70º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 xml:space="preserve"> и 95º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C</w:t>
      </w:r>
      <w:r>
        <w:rPr>
          <w:rFonts w:eastAsia="Times New Roman" w:cs="Times New Roman"/>
          <w:color w:val="000000"/>
          <w:sz w:val="28"/>
          <w:szCs w:val="28"/>
        </w:rPr>
        <w:t>;</w:t>
      </w:r>
    </w:p>
    <w:p>
      <w:pPr>
        <w:pStyle w:val="Textbody"/>
        <w:numPr>
          <w:ilvl w:val="0"/>
          <w:numId w:val="4"/>
        </w:numPr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в образцах были обнаружены частицы микропластика размер который в диапазоне от   405,3 до 3419 нм;</w:t>
      </w:r>
    </w:p>
    <w:p>
      <w:pPr>
        <w:pStyle w:val="Textbody"/>
        <w:numPr>
          <w:ilvl w:val="0"/>
          <w:numId w:val="4"/>
        </w:numPr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в работе было выявлено, что температура не влияет на размер микроплатика, а главным фактором является фирма-производитель чайного пакетика.</w:t>
      </w:r>
    </w:p>
    <w:p>
      <w:pPr>
        <w:pStyle w:val="Textbody"/>
        <w:tabs>
          <w:tab w:val="clear" w:pos="709"/>
          <w:tab w:val="left" w:pos="1276" w:leader="none"/>
        </w:tabs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Перспективы развития проекта</w:t>
      </w:r>
    </w:p>
    <w:p>
      <w:pPr>
        <w:pStyle w:val="Textbody"/>
        <w:tabs>
          <w:tab w:val="clear" w:pos="709"/>
          <w:tab w:val="left" w:pos="1276" w:leader="none"/>
        </w:tabs>
        <w:spacing w:lineRule="auto" w:line="360"/>
        <w:ind w:firstLine="709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В дальнейшем в проекте можно рассмотреть выделение микропластика при повторном использовании чайных пакетиков.</w:t>
      </w:r>
    </w:p>
    <w:p>
      <w:pPr>
        <w:pStyle w:val="Textbody"/>
        <w:tabs>
          <w:tab w:val="clear" w:pos="709"/>
          <w:tab w:val="left" w:pos="1276" w:leader="none"/>
        </w:tabs>
        <w:spacing w:lineRule="auto" w:line="360"/>
        <w:ind w:firstLine="709"/>
        <w:jc w:val="both"/>
        <w:rPr/>
      </w:pPr>
      <w:r>
        <w:rPr/>
      </w:r>
      <w:r>
        <w:br w:type="page"/>
      </w:r>
    </w:p>
    <w:p>
      <w:pPr>
        <w:pStyle w:val="Textbody"/>
        <w:tabs>
          <w:tab w:val="clear" w:pos="709"/>
          <w:tab w:val="left" w:pos="1276" w:leader="none"/>
        </w:tabs>
        <w:spacing w:lineRule="auto" w:line="360"/>
        <w:ind w:firstLine="709"/>
        <w:jc w:val="both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>Список электронных ссылок</w:t>
      </w:r>
    </w:p>
    <w:p>
      <w:pPr>
        <w:pStyle w:val="Textbody"/>
        <w:numPr>
          <w:ilvl w:val="2"/>
          <w:numId w:val="2"/>
        </w:numPr>
        <w:tabs>
          <w:tab w:val="clear" w:pos="709"/>
          <w:tab w:val="left" w:pos="1276" w:leader="none"/>
        </w:tabs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 xml:space="preserve">Скрытая угроза: как микропластик накапливается во внутренних органах/Н. Германович/[Электронный ресурс]//style.rbc: [сайт]. </w:t>
      </w:r>
      <w:r>
        <w:rPr>
          <w:rFonts w:eastAsia="Segoe UI" w:cs="Segoe UI"/>
          <w:color w:val="000000"/>
          <w:sz w:val="28"/>
          <w:szCs w:val="28"/>
        </w:rPr>
        <w:t>—</w:t>
      </w: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URL</w:t>
      </w:r>
      <w:r>
        <w:rPr>
          <w:rFonts w:eastAsia="Times New Roman" w:cs="Times New Roman"/>
          <w:color w:val="000000"/>
          <w:sz w:val="28"/>
          <w:szCs w:val="28"/>
        </w:rPr>
        <w:t xml:space="preserve">: </w:t>
      </w:r>
      <w:hyperlink r:id="rId5" w:tgtFrame="https://style.rbc.ru/health/5f51f0bd9a794765496c80e8">
        <w:r>
          <w:rPr>
            <w:sz w:val="28"/>
            <w:szCs w:val="28"/>
          </w:rPr>
          <w:t>https://style.rbc.ru/health/5f51f0bd9a794765496c80e8</w:t>
        </w:r>
      </w:hyperlink>
      <w:r>
        <w:rPr>
          <w:rFonts w:eastAsia="Times New Roman" w:cs="Times New Roman"/>
          <w:color w:val="000000"/>
          <w:sz w:val="28"/>
          <w:szCs w:val="28"/>
        </w:rPr>
        <w:t xml:space="preserve"> (дата обращения 29.01.2024)</w:t>
      </w:r>
    </w:p>
    <w:p>
      <w:pPr>
        <w:pStyle w:val="Textbody"/>
        <w:numPr>
          <w:ilvl w:val="2"/>
          <w:numId w:val="2"/>
        </w:numPr>
        <w:tabs>
          <w:tab w:val="clear" w:pos="709"/>
          <w:tab w:val="left" w:pos="1276" w:leader="none"/>
        </w:tabs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>Не только пакетики. Чем отличается чай в саше, пирамидках и фильтр-пакетах?/[Электронный ресурс]//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dzen</w:t>
      </w:r>
      <w:r>
        <w:rPr>
          <w:rFonts w:eastAsia="Times New Roman" w:cs="Times New Roman"/>
          <w:color w:val="000000"/>
          <w:sz w:val="28"/>
          <w:szCs w:val="28"/>
        </w:rPr>
        <w:t xml:space="preserve">: [сайт]. </w:t>
      </w:r>
      <w:r>
        <w:rPr>
          <w:rFonts w:eastAsia="Segoe UI" w:cs="Segoe UI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URL</w:t>
      </w:r>
      <w:r>
        <w:rPr>
          <w:rFonts w:eastAsia="Times New Roman" w:cs="Times New Roman"/>
          <w:color w:val="000000"/>
          <w:sz w:val="28"/>
          <w:szCs w:val="28"/>
        </w:rPr>
        <w:t xml:space="preserve">: </w:t>
      </w:r>
      <w:hyperlink r:id="rId6" w:tgtFrame="https://dzen.ru/a/YCz_0Ba5iHjh8Y9m">
        <w:r>
          <w:rPr>
            <w:sz w:val="28"/>
            <w:szCs w:val="28"/>
          </w:rPr>
          <w:t>https://dzen</w:t>
        </w:r>
      </w:hyperlink>
      <w:hyperlink r:id="rId7">
        <w:bookmarkStart w:id="0" w:name="Bookmark"/>
        <w:bookmarkStart w:id="1" w:name="_Hlt158106409"/>
        <w:r>
          <w:rPr>
            <w:sz w:val="28"/>
            <w:szCs w:val="28"/>
          </w:rPr>
          <w:t>.</w:t>
        </w:r>
      </w:hyperlink>
      <w:hyperlink r:id="rId8">
        <w:bookmarkEnd w:id="0"/>
        <w:bookmarkEnd w:id="1"/>
        <w:r>
          <w:rPr>
            <w:sz w:val="28"/>
            <w:szCs w:val="28"/>
          </w:rPr>
          <w:t>ru/a/YCz_0Ba5iHjh8Y9m</w:t>
        </w:r>
      </w:hyperlink>
      <w:r>
        <w:rPr>
          <w:rFonts w:eastAsia="Times New Roman" w:cs="Times New Roman"/>
          <w:color w:val="000000"/>
          <w:sz w:val="28"/>
          <w:szCs w:val="28"/>
        </w:rPr>
        <w:t xml:space="preserve"> (дата обращения 29.01.2024)</w:t>
      </w:r>
    </w:p>
    <w:p>
      <w:pPr>
        <w:pStyle w:val="Textbody"/>
        <w:numPr>
          <w:ilvl w:val="2"/>
          <w:numId w:val="2"/>
        </w:numPr>
        <w:tabs>
          <w:tab w:val="clear" w:pos="709"/>
          <w:tab w:val="left" w:pos="1276" w:leader="none"/>
        </w:tabs>
        <w:spacing w:lineRule="auto" w:line="360"/>
        <w:ind w:firstLine="709" w:left="0"/>
        <w:jc w:val="both"/>
        <w:rPr/>
      </w:pPr>
      <w:r>
        <w:rPr>
          <w:rFonts w:eastAsia="Times New Roman" w:cs="Times New Roman"/>
          <w:color w:val="000000"/>
          <w:sz w:val="28"/>
          <w:szCs w:val="28"/>
        </w:rPr>
        <w:t xml:space="preserve">Нейлон/Википедия/[Электронный ресурс]//wikipedia: [сайт]. </w:t>
      </w:r>
      <w:r>
        <w:rPr>
          <w:rFonts w:eastAsia="Segoe UI" w:cs="Segoe UI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URL</w:t>
      </w:r>
      <w:r>
        <w:rPr>
          <w:rFonts w:eastAsia="Times New Roman" w:cs="Times New Roman"/>
          <w:color w:val="000000"/>
          <w:sz w:val="28"/>
          <w:szCs w:val="28"/>
        </w:rPr>
        <w:t xml:space="preserve">: </w:t>
      </w:r>
      <w:hyperlink r:id="rId9" w:tgtFrame="https://ru.wikipedia.org/wiki/Нейлон">
        <w:r>
          <w:rPr>
            <w:sz w:val="28"/>
            <w:szCs w:val="28"/>
          </w:rPr>
          <w:t>https://ru.wikipedia.org/wiki/Нейлон</w:t>
        </w:r>
      </w:hyperlink>
      <w:r>
        <w:rPr>
          <w:rFonts w:eastAsia="Times New Roman" w:cs="Times New Roman"/>
          <w:color w:val="000000"/>
          <w:sz w:val="28"/>
          <w:szCs w:val="28"/>
        </w:rPr>
        <w:t xml:space="preserve"> (дата обращения 29.01.2024)</w:t>
      </w:r>
    </w:p>
    <w:p>
      <w:pPr>
        <w:pStyle w:val="Textbody"/>
        <w:numPr>
          <w:ilvl w:val="2"/>
          <w:numId w:val="2"/>
        </w:numPr>
        <w:tabs>
          <w:tab w:val="clear" w:pos="709"/>
          <w:tab w:val="left" w:pos="1276" w:leader="none"/>
        </w:tabs>
        <w:spacing w:lineRule="auto" w:line="360"/>
        <w:ind w:firstLine="709" w:left="0"/>
        <w:jc w:val="both"/>
        <w:rPr/>
      </w:pPr>
      <w:bookmarkStart w:id="2" w:name="Bookmark1"/>
      <w:bookmarkEnd w:id="2"/>
      <w:r>
        <w:rPr>
          <w:rFonts w:eastAsia="Times New Roman" w:cs="Times New Roman"/>
          <w:color w:val="000000"/>
          <w:sz w:val="28"/>
          <w:szCs w:val="28"/>
        </w:rPr>
        <w:t>Теория динамического рассеяния света/П. Бородин/[Электронный ресурс]//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studfile</w:t>
      </w:r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net</w:t>
      </w:r>
      <w:r>
        <w:rPr>
          <w:rFonts w:eastAsia="Times New Roman" w:cs="Times New Roman"/>
          <w:color w:val="000000"/>
          <w:sz w:val="28"/>
          <w:szCs w:val="28"/>
        </w:rPr>
        <w:t xml:space="preserve">: [сайт]. </w:t>
      </w:r>
      <w:r>
        <w:rPr>
          <w:rFonts w:eastAsia="Segoe UI" w:cs="Segoe UI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URL</w:t>
      </w:r>
      <w:r>
        <w:rPr>
          <w:rFonts w:eastAsia="Times New Roman" w:cs="Times New Roman"/>
          <w:color w:val="000000"/>
          <w:sz w:val="28"/>
          <w:szCs w:val="28"/>
        </w:rPr>
        <w:t xml:space="preserve">: </w:t>
      </w:r>
      <w:hyperlink r:id="rId10" w:tgtFrame="https://studfile.net/preview/8568703/page:3/">
        <w:r>
          <w:rPr>
            <w:sz w:val="28"/>
            <w:szCs w:val="28"/>
          </w:rPr>
          <w:t>https://studfile.net/preview/8568703/page:3/</w:t>
        </w:r>
      </w:hyperlink>
      <w:r>
        <w:rPr>
          <w:sz w:val="28"/>
          <w:szCs w:val="28"/>
        </w:rPr>
        <w:t xml:space="preserve"> </w:t>
      </w:r>
      <w:r>
        <w:rPr>
          <w:rFonts w:eastAsia="Times New Roman" w:cs="Times New Roman"/>
          <w:color w:val="000000"/>
          <w:sz w:val="28"/>
          <w:szCs w:val="28"/>
        </w:rPr>
        <w:t>(дата обращения 30.01.2024)</w:t>
      </w:r>
    </w:p>
    <w:p>
      <w:pPr>
        <w:pStyle w:val="Textbody"/>
        <w:numPr>
          <w:ilvl w:val="2"/>
          <w:numId w:val="2"/>
        </w:numPr>
        <w:tabs>
          <w:tab w:val="clear" w:pos="709"/>
          <w:tab w:val="left" w:pos="1276" w:leader="none"/>
        </w:tabs>
        <w:spacing w:lineRule="auto" w:line="360"/>
        <w:ind w:firstLine="709" w:left="0"/>
        <w:jc w:val="both"/>
        <w:rPr/>
      </w:pPr>
      <w:r>
        <w:rPr>
          <w:rStyle w:val="StrongEmphasis"/>
          <w:rFonts w:eastAsia="Times New Roman" w:cs="Times New Roman"/>
          <w:b w:val="false"/>
          <w:bCs w:val="false"/>
          <w:color w:val="000000"/>
          <w:sz w:val="28"/>
          <w:szCs w:val="28"/>
        </w:rPr>
        <w:t>Динамическое рассеяние света</w:t>
      </w:r>
      <w:r>
        <w:rPr>
          <w:rFonts w:eastAsia="Times New Roman" w:cs="Times New Roman"/>
          <w:color w:val="000000"/>
          <w:sz w:val="28"/>
          <w:szCs w:val="28"/>
        </w:rPr>
        <w:t>/ [Электронный ресурс]//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laser</w:t>
      </w:r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spbu</w:t>
      </w:r>
      <w:r>
        <w:rPr>
          <w:rFonts w:eastAsia="Times New Roman" w:cs="Times New Roman"/>
          <w:color w:val="000000"/>
          <w:sz w:val="28"/>
          <w:szCs w:val="28"/>
        </w:rPr>
        <w:t>.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ru</w:t>
      </w:r>
      <w:r>
        <w:rPr>
          <w:rFonts w:eastAsia="Times New Roman" w:cs="Times New Roman"/>
          <w:color w:val="000000"/>
          <w:sz w:val="28"/>
          <w:szCs w:val="28"/>
        </w:rPr>
        <w:t xml:space="preserve">: [сайт]. </w:t>
      </w:r>
      <w:r>
        <w:rPr>
          <w:rFonts w:eastAsia="Segoe UI" w:cs="Segoe UI"/>
          <w:color w:val="000000"/>
          <w:sz w:val="28"/>
          <w:szCs w:val="28"/>
        </w:rPr>
        <w:t xml:space="preserve">— </w:t>
      </w:r>
      <w:r>
        <w:rPr>
          <w:rFonts w:eastAsia="Times New Roman" w:cs="Times New Roman"/>
          <w:color w:val="000000"/>
          <w:sz w:val="28"/>
          <w:szCs w:val="28"/>
          <w:lang w:val="en-US"/>
        </w:rPr>
        <w:t>URL</w:t>
      </w:r>
      <w:r>
        <w:rPr>
          <w:rFonts w:eastAsia="Times New Roman" w:cs="Times New Roman"/>
          <w:color w:val="000000"/>
          <w:sz w:val="28"/>
          <w:szCs w:val="28"/>
        </w:rPr>
        <w:t xml:space="preserve">: </w:t>
      </w:r>
      <w:hyperlink r:id="rId11" w:tgtFrame="https://laser.spbu.ru/projects-rus/drl-rus.html">
        <w:r>
          <w:rPr>
            <w:sz w:val="28"/>
            <w:szCs w:val="28"/>
          </w:rPr>
          <w:t>https://laser.spbu.ru/projects-rus/drl-rus.html</w:t>
        </w:r>
      </w:hyperlink>
      <w:r>
        <w:rPr>
          <w:sz w:val="28"/>
          <w:szCs w:val="28"/>
        </w:rPr>
        <w:t xml:space="preserve"> (</w:t>
      </w:r>
      <w:r>
        <w:rPr>
          <w:rFonts w:eastAsia="Times New Roman" w:cs="Times New Roman"/>
          <w:color w:val="000000"/>
          <w:sz w:val="28"/>
          <w:szCs w:val="28"/>
        </w:rPr>
        <w:t>дата обращения 30.01.2024)</w:t>
      </w:r>
    </w:p>
    <w:p>
      <w:pPr>
        <w:pStyle w:val="Textbody"/>
        <w:tabs>
          <w:tab w:val="clear" w:pos="709"/>
          <w:tab w:val="left" w:pos="1276" w:leader="none"/>
        </w:tabs>
        <w:spacing w:lineRule="auto" w:line="360"/>
        <w:jc w:val="both"/>
        <w:rPr/>
      </w:pPr>
      <w:r>
        <w:rPr/>
      </w:r>
    </w:p>
    <w:sectPr>
      <w:footerReference w:type="default" r:id="rId12"/>
      <w:type w:val="nextPage"/>
      <w:pgSz w:w="11906" w:h="16838"/>
      <w:pgMar w:left="1134" w:right="1134" w:gutter="0" w:header="0" w:top="720" w:footer="720" w:bottom="777"/>
      <w:pgNumType w:start="1"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Times New Roman">
    <w:charset w:val="01"/>
    <w:family w:val="swiss"/>
    <w:pitch w:val="variable"/>
  </w:font>
  <w:font w:name="Arial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OpenSymbol">
    <w:altName w:val="Arial Unicode MS"/>
    <w:charset w:val="01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jc w:val="center"/>
      <w:rPr>
        <w:highlight w:val="none"/>
      </w:rPr>
    </w:pPr>
    <w:r>
      <w:rPr/>
      <w:fldChar w:fldCharType="begin"/>
    </w:r>
    <w:r>
      <w:rPr/>
      <w:instrText xml:space="preserve"> PAGE </w:instrText>
    </w:r>
    <w:r>
      <w:rPr/>
      <w:fldChar w:fldCharType="separate"/>
    </w:r>
    <w:r>
      <w:rPr/>
      <w:t>4</w:t>
    </w:r>
    <w:r>
      <w:rPr/>
      <w:fldChar w:fldCharType="end"/>
    </w:r>
  </w:p>
  <w:p>
    <w:pPr>
      <w:pStyle w:val="Footer"/>
      <w:rPr/>
    </w:pPr>
    <w:r>
      <w:rPr/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—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  <w:rPr/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  <w:rPr/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800" w:hanging="360"/>
      </w:pPr>
      <w:rPr/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160" w:hanging="360"/>
      </w:pPr>
      <w:rPr/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520" w:hanging="360"/>
      </w:pPr>
      <w:rPr/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360"/>
      </w:pPr>
      <w:rPr/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240" w:hanging="360"/>
      </w:pPr>
      <w:rPr/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600" w:hanging="360"/>
      </w:pPr>
      <w:rPr/>
    </w:lvl>
  </w:abstractNum>
  <w:abstractNum w:abstractNumId="3">
    <w:lvl w:ilvl="0">
      <w:start w:val="1"/>
      <w:numFmt w:val="bullet"/>
      <w:lvlText w:val="—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4">
    <w:lvl w:ilvl="0">
      <w:start w:val="1"/>
      <w:numFmt w:val="bullet"/>
      <w:lvlText w:val="—"/>
      <w:lvlJc w:val="left"/>
      <w:pPr>
        <w:tabs>
          <w:tab w:val="num" w:pos="0"/>
        </w:tabs>
        <w:ind w:left="720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—"/>
      <w:lvlJc w:val="left"/>
      <w:pPr>
        <w:tabs>
          <w:tab w:val="num" w:pos="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—"/>
      <w:lvlJc w:val="left"/>
      <w:pPr>
        <w:tabs>
          <w:tab w:val="num" w:pos="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—"/>
      <w:lvlJc w:val="left"/>
      <w:pPr>
        <w:tabs>
          <w:tab w:val="num" w:pos="0"/>
        </w:tabs>
        <w:ind w:left="1800" w:hanging="360"/>
      </w:pPr>
      <w:rPr>
        <w:rFonts w:ascii="OpenSymbol" w:hAnsi="OpenSymbol" w:cs="OpenSymbol" w:hint="default"/>
      </w:rPr>
    </w:lvl>
    <w:lvl w:ilvl="4">
      <w:start w:val="1"/>
      <w:numFmt w:val="bullet"/>
      <w:lvlText w:val="—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—"/>
      <w:lvlJc w:val="left"/>
      <w:pPr>
        <w:tabs>
          <w:tab w:val="num" w:pos="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—"/>
      <w:lvlJc w:val="left"/>
      <w:pPr>
        <w:tabs>
          <w:tab w:val="num" w:pos="0"/>
        </w:tabs>
        <w:ind w:left="2880" w:hanging="360"/>
      </w:pPr>
      <w:rPr>
        <w:rFonts w:ascii="OpenSymbol" w:hAnsi="OpenSymbol" w:cs="OpenSymbol" w:hint="default"/>
      </w:rPr>
    </w:lvl>
    <w:lvl w:ilvl="7">
      <w:start w:val="1"/>
      <w:numFmt w:val="bullet"/>
      <w:lvlText w:val="—"/>
      <w:lvlJc w:val="left"/>
      <w:pPr>
        <w:tabs>
          <w:tab w:val="num" w:pos="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—"/>
      <w:lvlJc w:val="left"/>
      <w:pPr>
        <w:tabs>
          <w:tab w:val="num" w:pos="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3"/>
  </w:num>
  <w:num w:numId="7">
    <w:abstractNumId w:val="3"/>
  </w:num>
  <w:num w:numId="8">
    <w:abstractNumId w:val="3"/>
  </w:num>
  <w:num w:numId="9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 w:eastAsia="zh-CN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SimSun" w:cs="Lucida Sans"/>
        <w:sz w:val="24"/>
        <w:szCs w:val="24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4"/>
      <w:szCs w:val="24"/>
      <w:lang w:val="ru-RU" w:eastAsia="zh-CN" w:bidi="hi-IN"/>
    </w:rPr>
  </w:style>
  <w:style w:type="paragraph" w:styleId="Heading1">
    <w:name w:val="Heading 1"/>
    <w:basedOn w:val="Style8"/>
    <w:uiPriority w:val="9"/>
    <w:qFormat/>
    <w:pPr>
      <w:outlineLvl w:val="0"/>
    </w:pPr>
    <w:rPr>
      <w:rFonts w:ascii="Times New Roman" w:hAnsi="Times New Roman" w:eastAsia="SimSun"/>
      <w:b/>
      <w:bCs/>
      <w:sz w:val="48"/>
      <w:szCs w:val="48"/>
    </w:rPr>
  </w:style>
  <w:style w:type="paragraph" w:styleId="Heading2">
    <w:name w:val="Heading 2"/>
    <w:basedOn w:val="Normal"/>
    <w:uiPriority w:val="9"/>
    <w:unhideWhenUsed/>
    <w:qFormat/>
    <w:pPr>
      <w:keepNext w:val="true"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Heading3">
    <w:name w:val="Heading 3"/>
    <w:basedOn w:val="Normal"/>
    <w:uiPriority w:val="9"/>
    <w:unhideWhenUsed/>
    <w:qFormat/>
    <w:pPr>
      <w:keepNext w:val="true"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Heading4">
    <w:name w:val="Heading 4"/>
    <w:basedOn w:val="Normal"/>
    <w:uiPriority w:val="9"/>
    <w:unhideWhenUsed/>
    <w:qFormat/>
    <w:pPr>
      <w:keepNext w:val="true"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Heading5">
    <w:name w:val="Heading 5"/>
    <w:basedOn w:val="Normal"/>
    <w:uiPriority w:val="9"/>
    <w:unhideWhenUsed/>
    <w:qFormat/>
    <w:pPr>
      <w:keepNext w:val="true"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paragraph" w:styleId="Heading6">
    <w:name w:val="Heading 6"/>
    <w:basedOn w:val="Normal"/>
    <w:uiPriority w:val="9"/>
    <w:unhideWhenUsed/>
    <w:qFormat/>
    <w:pPr>
      <w:keepNext w:val="true"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Heading7">
    <w:name w:val="Heading 7"/>
    <w:basedOn w:val="Normal"/>
    <w:uiPriority w:val="9"/>
    <w:unhideWhenUsed/>
    <w:qFormat/>
    <w:pPr>
      <w:keepNext w:val="true"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Heading8">
    <w:name w:val="Heading 8"/>
    <w:basedOn w:val="Normal"/>
    <w:uiPriority w:val="9"/>
    <w:unhideWhenUsed/>
    <w:qFormat/>
    <w:pPr>
      <w:keepNext w:val="true"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Heading9">
    <w:name w:val="Heading 9"/>
    <w:basedOn w:val="Normal"/>
    <w:uiPriority w:val="9"/>
    <w:unhideWhenUsed/>
    <w:qFormat/>
    <w:pPr>
      <w:keepNext w:val="true"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Heading1Char">
    <w:name w:val="Heading 1 Char"/>
    <w:basedOn w:val="DefaultParagraphFont"/>
    <w:uiPriority w:val="9"/>
    <w:qFormat/>
    <w:rPr>
      <w:rFonts w:ascii="Arial" w:hAnsi="Arial" w:eastAsia="Arial" w:cs="Arial"/>
      <w:sz w:val="40"/>
      <w:szCs w:val="40"/>
    </w:rPr>
  </w:style>
  <w:style w:type="character" w:styleId="Heading2Char">
    <w:name w:val="Heading 2 Char"/>
    <w:basedOn w:val="DefaultParagraphFont"/>
    <w:uiPriority w:val="9"/>
    <w:qFormat/>
    <w:rPr>
      <w:rFonts w:ascii="Arial" w:hAnsi="Arial" w:eastAsia="Arial" w:cs="Arial"/>
      <w:sz w:val="34"/>
    </w:rPr>
  </w:style>
  <w:style w:type="character" w:styleId="Heading3Char">
    <w:name w:val="Heading 3 Char"/>
    <w:basedOn w:val="DefaultParagraphFont"/>
    <w:uiPriority w:val="9"/>
    <w:qFormat/>
    <w:rPr>
      <w:rFonts w:ascii="Arial" w:hAnsi="Arial" w:eastAsia="Arial" w:cs="Arial"/>
      <w:sz w:val="30"/>
      <w:szCs w:val="30"/>
    </w:rPr>
  </w:style>
  <w:style w:type="character" w:styleId="Heading4Char">
    <w:name w:val="Heading 4 Char"/>
    <w:basedOn w:val="DefaultParagraphFont"/>
    <w:uiPriority w:val="9"/>
    <w:qFormat/>
    <w:rPr>
      <w:rFonts w:ascii="Arial" w:hAnsi="Arial" w:eastAsia="Arial" w:cs="Arial"/>
      <w:b/>
      <w:bCs/>
      <w:sz w:val="26"/>
      <w:szCs w:val="26"/>
    </w:rPr>
  </w:style>
  <w:style w:type="character" w:styleId="Heading5Char">
    <w:name w:val="Heading 5 Char"/>
    <w:basedOn w:val="DefaultParagraphFont"/>
    <w:uiPriority w:val="9"/>
    <w:qFormat/>
    <w:rPr>
      <w:rFonts w:ascii="Arial" w:hAnsi="Arial" w:eastAsia="Arial" w:cs="Arial"/>
      <w:b/>
      <w:bCs/>
      <w:sz w:val="24"/>
      <w:szCs w:val="24"/>
    </w:rPr>
  </w:style>
  <w:style w:type="character" w:styleId="Heading6Char">
    <w:name w:val="Heading 6 Char"/>
    <w:basedOn w:val="DefaultParagraphFont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Heading7Char">
    <w:name w:val="Heading 7 Char"/>
    <w:basedOn w:val="DefaultParagraphFont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Heading8Char">
    <w:name w:val="Heading 8 Char"/>
    <w:basedOn w:val="DefaultParagraphFont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Heading9Char">
    <w:name w:val="Heading 9 Char"/>
    <w:basedOn w:val="DefaultParagraphFont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TitleChar">
    <w:name w:val="Title Char"/>
    <w:basedOn w:val="DefaultParagraphFont"/>
    <w:uiPriority w:val="10"/>
    <w:qFormat/>
    <w:rPr>
      <w:sz w:val="48"/>
      <w:szCs w:val="48"/>
    </w:rPr>
  </w:style>
  <w:style w:type="character" w:styleId="SubtitleChar">
    <w:name w:val="Subtitle Char"/>
    <w:basedOn w:val="DefaultParagraphFont"/>
    <w:uiPriority w:val="11"/>
    <w:qFormat/>
    <w:rPr>
      <w:sz w:val="24"/>
      <w:szCs w:val="24"/>
    </w:rPr>
  </w:style>
  <w:style w:type="character" w:styleId="QuoteChar">
    <w:name w:val="Quote Char"/>
    <w:uiPriority w:val="29"/>
    <w:qFormat/>
    <w:rPr>
      <w:i/>
    </w:rPr>
  </w:style>
  <w:style w:type="character" w:styleId="IntenseQuoteChar">
    <w:name w:val="Intense Quote Char"/>
    <w:uiPriority w:val="30"/>
    <w:qFormat/>
    <w:rPr>
      <w:i/>
    </w:rPr>
  </w:style>
  <w:style w:type="character" w:styleId="HeaderChar">
    <w:name w:val="Header Char"/>
    <w:basedOn w:val="DefaultParagraphFont"/>
    <w:uiPriority w:val="99"/>
    <w:qFormat/>
    <w:rPr/>
  </w:style>
  <w:style w:type="character" w:styleId="FooterChar">
    <w:name w:val="Footer Char"/>
    <w:basedOn w:val="DefaultParagraphFont"/>
    <w:uiPriority w:val="99"/>
    <w:qFormat/>
    <w:rPr/>
  </w:style>
  <w:style w:type="character" w:styleId="CaptionChar">
    <w:name w:val="Caption Char"/>
    <w:uiPriority w:val="99"/>
    <w:qFormat/>
    <w:rPr/>
  </w:style>
  <w:style w:type="character" w:styleId="Hyperlink">
    <w:name w:val="Hyperlink"/>
    <w:uiPriority w:val="99"/>
    <w:unhideWhenUsed/>
    <w:rPr>
      <w:color w:themeColor="hyperlink" w:val="0000FF"/>
      <w:u w:val="single"/>
    </w:rPr>
  </w:style>
  <w:style w:type="character" w:styleId="FootnoteTextChar">
    <w:name w:val="Footnote Text Char"/>
    <w:uiPriority w:val="99"/>
    <w:qFormat/>
    <w:rPr>
      <w:sz w:val="18"/>
    </w:rPr>
  </w:style>
  <w:style w:type="character" w:styleId="Style5">
    <w:name w:val="Символ сноски"/>
    <w:uiPriority w:val="99"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EndnoteTextChar">
    <w:name w:val="Endnote Text Char"/>
    <w:uiPriority w:val="99"/>
    <w:qFormat/>
    <w:rPr>
      <w:sz w:val="20"/>
    </w:rPr>
  </w:style>
  <w:style w:type="character" w:styleId="Style6">
    <w:name w:val="Символ концевой сноски"/>
    <w:uiPriority w:val="99"/>
    <w:semiHidden/>
    <w:unhideWhenUsed/>
    <w:qFormat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7" w:customStyle="1">
    <w:name w:val="Маркеры"/>
    <w:qFormat/>
    <w:rPr>
      <w:rFonts w:ascii="OpenSymbol" w:hAnsi="OpenSymbol" w:eastAsia="OpenSymbol" w:cs="OpenSymbol"/>
    </w:rPr>
  </w:style>
  <w:style w:type="character" w:styleId="Internetlink" w:customStyle="1">
    <w:name w:val="Internet link"/>
    <w:qFormat/>
    <w:rPr>
      <w:color w:val="000080"/>
      <w:u w:val="single"/>
    </w:rPr>
  </w:style>
  <w:style w:type="character" w:styleId="VisitedInternetLink" w:customStyle="1">
    <w:name w:val="Visited Internet Link"/>
    <w:qFormat/>
    <w:rPr>
      <w:color w:val="800000"/>
      <w:u w:val="single"/>
    </w:rPr>
  </w:style>
  <w:style w:type="character" w:styleId="StrongEmphasis" w:customStyle="1">
    <w:name w:val="Strong Emphasis"/>
    <w:qFormat/>
    <w:rPr>
      <w:b/>
      <w:bCs/>
    </w:rPr>
  </w:style>
  <w:style w:type="paragraph" w:styleId="Style8" w:customStyle="1">
    <w:name w:val="Заголовок"/>
    <w:basedOn w:val="Standard"/>
    <w:next w:val="BodyText"/>
    <w:qFormat/>
    <w:pPr>
      <w:keepNext w:val="true"/>
      <w:spacing w:before="240" w:after="120"/>
    </w:pPr>
    <w:rPr>
      <w:rFonts w:ascii="Arial" w:hAnsi="Arial" w:eastAsia="Microsoft YaHe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/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Style9" w:customStyle="1">
    <w:name w:val="Указатель"/>
    <w:basedOn w:val="Standard"/>
    <w:qFormat/>
    <w:pPr>
      <w:suppressLineNumbers/>
    </w:pPr>
    <w:rPr/>
  </w:style>
  <w:style w:type="paragraph" w:styleId="ListParagraph">
    <w:name w:val="List Paragraph"/>
    <w:basedOn w:val="Normal"/>
    <w:uiPriority w:val="34"/>
    <w:qFormat/>
    <w:pPr>
      <w:spacing w:before="0" w:after="0"/>
      <w:ind w:left="720"/>
      <w:contextualSpacing/>
    </w:pPr>
    <w:rPr/>
  </w:style>
  <w:style w:type="paragraph" w:styleId="NoSpacing">
    <w:name w:val="No Spacing"/>
    <w:uiPriority w:val="1"/>
    <w:qFormat/>
    <w:pPr>
      <w:widowControl w:val="false"/>
      <w:bidi w:val="0"/>
      <w:spacing w:lineRule="auto" w:line="240" w:before="0" w:after="0"/>
      <w:jc w:val="left"/>
    </w:pPr>
    <w:rPr>
      <w:rFonts w:ascii="Times New Roman" w:hAnsi="Times New Roman" w:eastAsia="SimSun" w:cs="Lucida Sans"/>
      <w:color w:val="auto"/>
      <w:kern w:val="0"/>
      <w:sz w:val="24"/>
      <w:szCs w:val="24"/>
      <w:lang w:val="ru-RU" w:eastAsia="zh-CN" w:bidi="hi-IN"/>
    </w:rPr>
  </w:style>
  <w:style w:type="paragraph" w:styleId="Title">
    <w:name w:val="Title"/>
    <w:basedOn w:val="Normal"/>
    <w:uiPriority w:val="10"/>
    <w:qFormat/>
    <w:pPr>
      <w:spacing w:before="300" w:after="200"/>
      <w:contextualSpacing/>
    </w:pPr>
    <w:rPr>
      <w:sz w:val="48"/>
      <w:szCs w:val="48"/>
    </w:rPr>
  </w:style>
  <w:style w:type="paragraph" w:styleId="Subtitle">
    <w:name w:val="Subtitle"/>
    <w:basedOn w:val="Normal"/>
    <w:uiPriority w:val="11"/>
    <w:qFormat/>
    <w:pPr>
      <w:spacing w:before="200" w:after="200"/>
    </w:pPr>
    <w:rPr>
      <w:sz w:val="24"/>
      <w:szCs w:val="24"/>
    </w:rPr>
  </w:style>
  <w:style w:type="paragraph" w:styleId="Quote">
    <w:name w:val="Quote"/>
    <w:basedOn w:val="Normal"/>
    <w:uiPriority w:val="29"/>
    <w:qFormat/>
    <w:pPr>
      <w:ind w:left="720" w:right="720"/>
    </w:pPr>
    <w:rPr>
      <w:i/>
    </w:rPr>
  </w:style>
  <w:style w:type="paragraph" w:styleId="IntenseQuote">
    <w:name w:val="Intense Quote"/>
    <w:basedOn w:val="Normal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before="0" w:after="0"/>
      <w:ind w:left="720" w:right="720"/>
    </w:pPr>
    <w:rPr>
      <w:i/>
    </w:rPr>
  </w:style>
  <w:style w:type="paragraph" w:styleId="Style10">
    <w:name w:val="Колонтитул"/>
    <w:basedOn w:val="Normal"/>
    <w:qFormat/>
    <w:pPr/>
    <w:rPr/>
  </w:style>
  <w:style w:type="paragraph" w:styleId="Header">
    <w:name w:val="Header"/>
    <w:basedOn w:val="Normal"/>
    <w:uiPriority w:val="99"/>
    <w:unhideWhenUsed/>
    <w:pPr>
      <w:tabs>
        <w:tab w:val="clear" w:pos="709"/>
        <w:tab w:val="center" w:pos="7143" w:leader="none"/>
        <w:tab w:val="right" w:pos="14287" w:leader="none"/>
      </w:tabs>
      <w:spacing w:lineRule="auto" w:line="240" w:before="0" w:after="0"/>
    </w:pPr>
    <w:rPr/>
  </w:style>
  <w:style w:type="paragraph" w:styleId="FootnoteText">
    <w:name w:val="Footnote Text"/>
    <w:basedOn w:val="Normal"/>
    <w:uiPriority w:val="99"/>
    <w:semiHidden/>
    <w:unhideWhenUsed/>
    <w:pPr>
      <w:spacing w:lineRule="auto" w:line="240" w:before="0" w:after="40"/>
    </w:pPr>
    <w:rPr>
      <w:sz w:val="18"/>
    </w:rPr>
  </w:style>
  <w:style w:type="paragraph" w:styleId="EndnoteText">
    <w:name w:val="Endnote Text"/>
    <w:basedOn w:val="Normal"/>
    <w:uiPriority w:val="99"/>
    <w:semiHidden/>
    <w:unhideWhenUsed/>
    <w:pPr>
      <w:spacing w:lineRule="auto" w:line="240" w:before="0" w:after="0"/>
    </w:pPr>
    <w:rPr>
      <w:sz w:val="20"/>
    </w:rPr>
  </w:style>
  <w:style w:type="paragraph" w:styleId="TOC1">
    <w:name w:val="TOC 1"/>
    <w:basedOn w:val="Normal"/>
    <w:uiPriority w:val="39"/>
    <w:unhideWhenUsed/>
    <w:pPr>
      <w:spacing w:before="0" w:after="57"/>
      <w:ind w:hanging="0" w:left="0" w:right="0"/>
    </w:pPr>
    <w:rPr/>
  </w:style>
  <w:style w:type="paragraph" w:styleId="TOC2">
    <w:name w:val="TOC 2"/>
    <w:basedOn w:val="Normal"/>
    <w:uiPriority w:val="39"/>
    <w:unhideWhenUsed/>
    <w:pPr>
      <w:spacing w:before="0" w:after="57"/>
      <w:ind w:hanging="0" w:left="283" w:right="0"/>
    </w:pPr>
    <w:rPr/>
  </w:style>
  <w:style w:type="paragraph" w:styleId="TOC3">
    <w:name w:val="TOC 3"/>
    <w:basedOn w:val="Normal"/>
    <w:uiPriority w:val="39"/>
    <w:unhideWhenUsed/>
    <w:pPr>
      <w:spacing w:before="0" w:after="57"/>
      <w:ind w:hanging="0" w:left="567" w:right="0"/>
    </w:pPr>
    <w:rPr/>
  </w:style>
  <w:style w:type="paragraph" w:styleId="TOC4">
    <w:name w:val="TOC 4"/>
    <w:basedOn w:val="Normal"/>
    <w:uiPriority w:val="39"/>
    <w:unhideWhenUsed/>
    <w:pPr>
      <w:spacing w:before="0" w:after="57"/>
      <w:ind w:hanging="0" w:left="850" w:right="0"/>
    </w:pPr>
    <w:rPr/>
  </w:style>
  <w:style w:type="paragraph" w:styleId="TOC5">
    <w:name w:val="TOC 5"/>
    <w:basedOn w:val="Normal"/>
    <w:uiPriority w:val="39"/>
    <w:unhideWhenUsed/>
    <w:pPr>
      <w:spacing w:before="0" w:after="57"/>
      <w:ind w:hanging="0" w:left="1134" w:right="0"/>
    </w:pPr>
    <w:rPr/>
  </w:style>
  <w:style w:type="paragraph" w:styleId="TOC6">
    <w:name w:val="TOC 6"/>
    <w:basedOn w:val="Normal"/>
    <w:uiPriority w:val="39"/>
    <w:unhideWhenUsed/>
    <w:pPr>
      <w:spacing w:before="0" w:after="57"/>
      <w:ind w:hanging="0" w:left="1417" w:right="0"/>
    </w:pPr>
    <w:rPr/>
  </w:style>
  <w:style w:type="paragraph" w:styleId="TOC7">
    <w:name w:val="TOC 7"/>
    <w:basedOn w:val="Normal"/>
    <w:uiPriority w:val="39"/>
    <w:unhideWhenUsed/>
    <w:pPr>
      <w:spacing w:before="0" w:after="57"/>
      <w:ind w:hanging="0" w:left="1701" w:right="0"/>
    </w:pPr>
    <w:rPr/>
  </w:style>
  <w:style w:type="paragraph" w:styleId="TOC8">
    <w:name w:val="TOC 8"/>
    <w:basedOn w:val="Normal"/>
    <w:uiPriority w:val="39"/>
    <w:unhideWhenUsed/>
    <w:pPr>
      <w:spacing w:before="0" w:after="57"/>
      <w:ind w:hanging="0" w:left="1984" w:right="0"/>
    </w:pPr>
    <w:rPr/>
  </w:style>
  <w:style w:type="paragraph" w:styleId="TOC9">
    <w:name w:val="TOC 9"/>
    <w:basedOn w:val="Normal"/>
    <w:uiPriority w:val="39"/>
    <w:unhideWhenUsed/>
    <w:pPr>
      <w:spacing w:before="0" w:after="57"/>
      <w:ind w:hanging="0" w:left="2268" w:right="0"/>
    </w:pPr>
    <w:rPr/>
  </w:style>
  <w:style w:type="paragraph" w:styleId="IndexHeading">
    <w:name w:val="Index Heading"/>
    <w:basedOn w:val="Style8"/>
    <w:pPr/>
    <w:rPr/>
  </w:style>
  <w:style w:type="paragraph" w:styleId="TOCHeading">
    <w:name w:val="TOC Heading"/>
    <w:uiPriority w:val="39"/>
    <w:unhideWhenUsed/>
    <w:qFormat/>
    <w:pPr>
      <w:widowControl w:val="false"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4"/>
      <w:szCs w:val="24"/>
      <w:lang w:val="ru-RU" w:eastAsia="zh-CN" w:bidi="hi-IN"/>
    </w:rPr>
  </w:style>
  <w:style w:type="paragraph" w:styleId="TableofFigures">
    <w:name w:val="Table of Figures"/>
    <w:basedOn w:val="Normal"/>
    <w:uiPriority w:val="99"/>
    <w:unhideWhenUsed/>
    <w:pPr>
      <w:spacing w:before="0" w:afterAutospacing="0" w:after="0"/>
    </w:pPr>
    <w:rPr/>
  </w:style>
  <w:style w:type="paragraph" w:styleId="Standard" w:customStyle="1">
    <w:name w:val="Standard"/>
    <w:qFormat/>
    <w:pPr>
      <w:widowControl/>
      <w:bidi w:val="0"/>
      <w:spacing w:before="0" w:after="0"/>
      <w:jc w:val="left"/>
    </w:pPr>
    <w:rPr>
      <w:rFonts w:ascii="Times New Roman" w:hAnsi="Times New Roman" w:eastAsia="SimSun" w:cs="Lucida Sans"/>
      <w:color w:val="auto"/>
      <w:kern w:val="0"/>
      <w:sz w:val="24"/>
      <w:szCs w:val="24"/>
      <w:lang w:val="ru-RU" w:eastAsia="zh-CN" w:bidi="hi-IN"/>
    </w:rPr>
  </w:style>
  <w:style w:type="paragraph" w:styleId="Textbody" w:customStyle="1">
    <w:name w:val="Text body"/>
    <w:basedOn w:val="Standard"/>
    <w:qFormat/>
    <w:pPr/>
    <w:rPr/>
  </w:style>
  <w:style w:type="paragraph" w:styleId="Style11" w:customStyle="1">
    <w:name w:val="Содержимое таблицы"/>
    <w:basedOn w:val="Standard"/>
    <w:qFormat/>
    <w:pPr>
      <w:suppressLineNumbers/>
    </w:pPr>
    <w:rPr/>
  </w:style>
  <w:style w:type="paragraph" w:styleId="ContentsHeading" w:customStyle="1">
    <w:name w:val="Contents Heading"/>
    <w:basedOn w:val="Style8"/>
    <w:qFormat/>
    <w:pPr>
      <w:suppressLineNumbers/>
    </w:pPr>
    <w:rPr>
      <w:b/>
      <w:bCs/>
      <w:sz w:val="32"/>
      <w:szCs w:val="32"/>
    </w:rPr>
  </w:style>
  <w:style w:type="paragraph" w:styleId="Footer">
    <w:name w:val="Footer"/>
    <w:basedOn w:val="Standard"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numbering" w:styleId="NoList" w:default="1">
    <w:name w:val="No List"/>
    <w:uiPriority w:val="99"/>
    <w:semiHidden/>
    <w:unhideWhenUsed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jpeg"/><Relationship Id="rId5" Type="http://schemas.openxmlformats.org/officeDocument/2006/relationships/hyperlink" Target="https://style.rbc.ru/health/5f51f0bd9a794765496c80e8" TargetMode="External"/><Relationship Id="rId6" Type="http://schemas.openxmlformats.org/officeDocument/2006/relationships/hyperlink" Target="https://dzen.ru/a/YCz_0Ba5iHjh8Y9m" TargetMode="External"/><Relationship Id="rId7" Type="http://schemas.openxmlformats.org/officeDocument/2006/relationships/hyperlink" Target="https://dzen.ru/a/YCz_0Ba5iHjh8Y9m" TargetMode="External"/><Relationship Id="rId8" Type="http://schemas.openxmlformats.org/officeDocument/2006/relationships/hyperlink" Target="https://dzen.ru/a/YCz_0Ba5iHjh8Y9m" TargetMode="External"/><Relationship Id="rId9" Type="http://schemas.openxmlformats.org/officeDocument/2006/relationships/hyperlink" Target="https://ru.wikipedia.org/wiki/&#1053;&#1077;&#1081;&#1083;&#1086;&#1085;" TargetMode="External"/><Relationship Id="rId10" Type="http://schemas.openxmlformats.org/officeDocument/2006/relationships/hyperlink" Target="https://studfile.net/preview/8568703/page:3/" TargetMode="External"/><Relationship Id="rId11" Type="http://schemas.openxmlformats.org/officeDocument/2006/relationships/hyperlink" Target="https://laser.spbu.ru/projects-rus/drl-rus.html" TargetMode="External"/><Relationship Id="rId12" Type="http://schemas.openxmlformats.org/officeDocument/2006/relationships/footer" Target="footer1.xml"/><Relationship Id="rId13" Type="http://schemas.openxmlformats.org/officeDocument/2006/relationships/numbering" Target="numbering.xml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itchFamily="0" charset="1"/>
        <a:ea typeface="Arial" pitchFamily="0" charset="1"/>
        <a:cs typeface="Arial" pitchFamily="0" charset="1"/>
      </a:majorFont>
      <a:minorFont>
        <a:latin typeface="Calibri" pitchFamily="0" charset="1"/>
        <a:ea typeface="Arial" pitchFamily="0" charset="1"/>
        <a:cs typeface="Arial" pitchFamily="0" charset="1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LibreOffice/7.6.4.1$Linux_X86_64 LibreOffice_project/60$Build-1</Application>
  <AppVersion>15.0000</AppVersion>
  <Pages>7</Pages>
  <Words>773</Words>
  <Characters>5759</Characters>
  <CharactersWithSpaces>6446</CharactersWithSpaces>
  <Paragraphs>90</Paragraphs>
  <Company>Школа 1212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2024-02-14T18:23:00Z</dcterms:created>
  <dc:creator>Тамбовцева Елена</dc:creator>
  <dc:description/>
  <dc:language>ru-RU</dc:language>
  <cp:lastModifiedBy/>
  <dcterms:modified xsi:type="dcterms:W3CDTF">2024-02-15T06:51:58Z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0</vt:bool>
  </property>
  <property fmtid="{D5CDD505-2E9C-101B-9397-08002B2CF9AE}" pid="3" name="LinksUpToDate">
    <vt:bool>0</vt:bool>
  </property>
  <property fmtid="{D5CDD505-2E9C-101B-9397-08002B2CF9AE}" pid="4" name="ScaleCrop">
    <vt:bool>0</vt:bool>
  </property>
  <property fmtid="{D5CDD505-2E9C-101B-9397-08002B2CF9AE}" pid="5" name="ShareDoc">
    <vt:bool>0</vt:bool>
  </property>
</Properties>
</file>