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Научно-исследовательская работа на тему: </w:t>
      </w:r>
      <w:r>
        <w:rPr>
          <w:b w:val="0"/>
          <w:bCs w:val="0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ИССЛЕДОВАНИЕ ЗАГРЯЗНЕНИЯ НЕФТЕПРОДУКТАМИ ОКРУЖАЮЩЕЙ СРЕЛЫ В ОКРЕСТНОСТЯХ Г. ТАРКО-САЛЕ</w:t>
      </w:r>
      <w:r/>
    </w:p>
    <w:p>
      <w:pPr>
        <w:ind w:firstLine="567"/>
        <w:jc w:val="center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center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center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center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center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center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righ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</w:t>
      </w:r>
      <w:r/>
    </w:p>
    <w:p>
      <w:pPr>
        <w:ind w:firstLine="567"/>
        <w:jc w:val="right"/>
        <w:spacing w:after="0" w:line="36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Галушинский Виктор Витальевич</w:t>
      </w:r>
      <w:r/>
    </w:p>
    <w:p>
      <w:pPr>
        <w:ind w:firstLine="567"/>
        <w:jc w:val="righ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Россия, ЯНАО, г. Тарко-Сале</w:t>
      </w:r>
      <w:r/>
    </w:p>
    <w:p>
      <w:pPr>
        <w:ind w:firstLine="567"/>
        <w:jc w:val="righ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«СОШ №2», 8 класс</w:t>
      </w:r>
      <w:r/>
    </w:p>
    <w:p>
      <w:pPr>
        <w:ind w:firstLine="567"/>
        <w:jc w:val="righ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/>
    </w:p>
    <w:p>
      <w:pPr>
        <w:jc w:val="righ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Алиева Руфина Манзуровна</w:t>
      </w:r>
      <w:r/>
    </w:p>
    <w:p>
      <w:pPr>
        <w:jc w:val="righ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физики</w:t>
      </w:r>
      <w:r/>
    </w:p>
    <w:p>
      <w:pPr>
        <w:jc w:val="righ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«СОШ №2» г. Тарко-Сале</w:t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sz w:val="24"/>
          <w:szCs w:val="24"/>
        </w:rPr>
        <w:sectPr>
          <w:headerReference w:type="default" r:id="rId9"/>
          <w:headerReference w:type="first" r:id="rId10"/>
          <w:footerReference w:type="default" r:id="rId11"/>
          <w:footnotePr/>
          <w:endnotePr/>
          <w:type w:val="nextPage"/>
          <w:pgSz w:w="11906" w:h="16838" w:orient="portrait"/>
          <w:pgMar w:top="851" w:right="851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sz w:val="24"/>
          <w:szCs w:val="24"/>
        </w:rPr>
        <w:t xml:space="preserve">Тарко-Сале, </w:t>
      </w:r>
      <w:r>
        <w:rPr>
          <w:rFonts w:ascii="Times New Roman" w:hAnsi="Times New Roman" w:cs="Times New Roman"/>
          <w:sz w:val="24"/>
          <w:szCs w:val="24"/>
        </w:rPr>
        <w:t xml:space="preserve">2024 год</w:t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</w:t>
      </w:r>
      <w:r/>
    </w:p>
    <w:tbl>
      <w:tblPr>
        <w:tblStyle w:val="758"/>
        <w:tblW w:w="9782" w:type="dxa"/>
        <w:tblInd w:w="-2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7853"/>
        <w:gridCol w:w="714"/>
      </w:tblGrid>
      <w:tr>
        <w:trPr>
          <w:trHeight w:val="341"/>
        </w:trPr>
        <w:tc>
          <w:tcPr>
            <w:tcW w:w="1215" w:type="dxa"/>
            <w:textDirection w:val="lrTb"/>
            <w:noWrap w:val="false"/>
          </w:tcPr>
          <w:p>
            <w:pPr>
              <w:ind w:firstLine="23"/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853" w:type="dxa"/>
            <w:textDirection w:val="lrTb"/>
            <w:noWrap w:val="false"/>
          </w:tcPr>
          <w:p>
            <w:pPr>
              <w:ind w:firstLine="23"/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Введение………………………………………………………………………..</w:t>
            </w:r>
            <w:r/>
          </w:p>
        </w:tc>
        <w:tc>
          <w:tcPr>
            <w:tcW w:w="714" w:type="dxa"/>
            <w:textDirection w:val="lrTb"/>
            <w:noWrap w:val="false"/>
          </w:tcPr>
          <w:p>
            <w:pPr>
              <w:ind w:firstLine="2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</w:tr>
      <w:tr>
        <w:trPr>
          <w:trHeight w:val="341"/>
        </w:trPr>
        <w:tc>
          <w:tcPr>
            <w:tcW w:w="1215" w:type="dxa"/>
            <w:textDirection w:val="lrTb"/>
            <w:noWrap w:val="false"/>
          </w:tcPr>
          <w:p>
            <w:pPr>
              <w:ind w:firstLine="23"/>
              <w:jc w:val="righ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1.</w:t>
            </w:r>
            <w:r/>
          </w:p>
        </w:tc>
        <w:tc>
          <w:tcPr>
            <w:tcW w:w="7853" w:type="dxa"/>
            <w:textDirection w:val="lrTb"/>
            <w:noWrap w:val="false"/>
          </w:tcPr>
          <w:p>
            <w:pPr>
              <w:ind w:firstLine="23"/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основы…………………………………………………………</w:t>
            </w:r>
            <w:r/>
          </w:p>
        </w:tc>
        <w:tc>
          <w:tcPr>
            <w:tcW w:w="714" w:type="dxa"/>
            <w:textDirection w:val="lrTb"/>
            <w:noWrap w:val="false"/>
          </w:tcPr>
          <w:p>
            <w:pPr>
              <w:ind w:firstLine="2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</w:tr>
      <w:tr>
        <w:trPr>
          <w:trHeight w:val="341"/>
        </w:trPr>
        <w:tc>
          <w:tcPr>
            <w:tcW w:w="1215" w:type="dxa"/>
            <w:textDirection w:val="lrTb"/>
            <w:noWrap w:val="false"/>
          </w:tcPr>
          <w:p>
            <w:pPr>
              <w:ind w:firstLine="23"/>
              <w:jc w:val="righ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</w:t>
            </w:r>
            <w:r/>
          </w:p>
        </w:tc>
        <w:tc>
          <w:tcPr>
            <w:tcW w:w="7853" w:type="dxa"/>
            <w:textDirection w:val="lrTb"/>
            <w:noWrap w:val="false"/>
          </w:tcPr>
          <w:p>
            <w:pPr>
              <w:ind w:firstLine="23"/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Происхождение нефти и его химический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…………………………….</w:t>
            </w:r>
            <w:r/>
          </w:p>
        </w:tc>
        <w:tc>
          <w:tcPr>
            <w:tcW w:w="714" w:type="dxa"/>
            <w:textDirection w:val="lrTb"/>
            <w:noWrap w:val="false"/>
          </w:tcPr>
          <w:p>
            <w:pPr>
              <w:ind w:firstLine="2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</w:tr>
      <w:tr>
        <w:trPr>
          <w:trHeight w:val="357"/>
        </w:trPr>
        <w:tc>
          <w:tcPr>
            <w:tcW w:w="1215" w:type="dxa"/>
            <w:textDirection w:val="lrTb"/>
            <w:noWrap w:val="false"/>
          </w:tcPr>
          <w:p>
            <w:pPr>
              <w:ind w:firstLine="23"/>
              <w:jc w:val="righ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</w:t>
            </w:r>
            <w:r/>
          </w:p>
        </w:tc>
        <w:tc>
          <w:tcPr>
            <w:tcW w:w="7853" w:type="dxa"/>
            <w:textDirection w:val="lrTb"/>
            <w:noWrap w:val="false"/>
          </w:tcPr>
          <w:p>
            <w:pPr>
              <w:ind w:firstLine="23"/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Физико-химические свойства нефти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……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……………………………………</w:t>
            </w:r>
            <w:r/>
          </w:p>
        </w:tc>
        <w:tc>
          <w:tcPr>
            <w:tcW w:w="714" w:type="dxa"/>
            <w:textDirection w:val="lrTb"/>
            <w:noWrap w:val="false"/>
          </w:tcPr>
          <w:p>
            <w:pPr>
              <w:ind w:firstLine="2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</w:tr>
      <w:tr>
        <w:trPr>
          <w:trHeight w:val="341"/>
        </w:trPr>
        <w:tc>
          <w:tcPr>
            <w:tcW w:w="1215" w:type="dxa"/>
            <w:textDirection w:val="lrTb"/>
            <w:noWrap w:val="false"/>
          </w:tcPr>
          <w:p>
            <w:pPr>
              <w:ind w:firstLine="23"/>
              <w:jc w:val="righ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</w:t>
            </w:r>
            <w:r/>
          </w:p>
        </w:tc>
        <w:tc>
          <w:tcPr>
            <w:tcW w:w="7853" w:type="dxa"/>
            <w:textDirection w:val="lrTb"/>
            <w:noWrap w:val="false"/>
          </w:tcPr>
          <w:p>
            <w:pPr>
              <w:ind w:firstLine="23"/>
              <w:jc w:val="both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загрязнения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……………………………………..</w:t>
            </w:r>
            <w:r/>
          </w:p>
        </w:tc>
        <w:tc>
          <w:tcPr>
            <w:tcW w:w="714" w:type="dxa"/>
            <w:textDirection w:val="lrTb"/>
            <w:noWrap w:val="false"/>
          </w:tcPr>
          <w:p>
            <w:pPr>
              <w:ind w:firstLine="2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</w:tc>
      </w:tr>
      <w:tr>
        <w:trPr>
          <w:trHeight w:val="341"/>
        </w:trPr>
        <w:tc>
          <w:tcPr>
            <w:tcW w:w="1215" w:type="dxa"/>
            <w:textDirection w:val="lrTb"/>
            <w:noWrap w:val="false"/>
          </w:tcPr>
          <w:p>
            <w:pPr>
              <w:ind w:firstLine="23"/>
              <w:jc w:val="righ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</w:t>
            </w:r>
            <w:r/>
          </w:p>
        </w:tc>
        <w:tc>
          <w:tcPr>
            <w:tcW w:w="7853" w:type="dxa"/>
            <w:textDirection w:val="lrTb"/>
            <w:noWrap w:val="false"/>
          </w:tcPr>
          <w:p>
            <w:pPr>
              <w:ind w:firstLine="23"/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последствия загрязнения окружающей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…………….</w:t>
            </w:r>
            <w:r/>
          </w:p>
        </w:tc>
        <w:tc>
          <w:tcPr>
            <w:tcW w:w="714" w:type="dxa"/>
            <w:textDirection w:val="lrTb"/>
            <w:noWrap w:val="false"/>
          </w:tcPr>
          <w:p>
            <w:pPr>
              <w:ind w:firstLine="2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</w:tc>
      </w:tr>
      <w:tr>
        <w:trPr>
          <w:trHeight w:val="341"/>
        </w:trPr>
        <w:tc>
          <w:tcPr>
            <w:tcW w:w="1215" w:type="dxa"/>
            <w:textDirection w:val="lrTb"/>
            <w:noWrap w:val="false"/>
          </w:tcPr>
          <w:p>
            <w:pPr>
              <w:ind w:firstLine="23"/>
              <w:jc w:val="righ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</w:t>
            </w:r>
            <w:r/>
          </w:p>
        </w:tc>
        <w:tc>
          <w:tcPr>
            <w:tcW w:w="7853" w:type="dxa"/>
            <w:textDirection w:val="lrTb"/>
            <w:noWrap w:val="false"/>
          </w:tcPr>
          <w:p>
            <w:pPr>
              <w:ind w:firstLine="23"/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………………………………………………………….</w:t>
            </w:r>
            <w:r/>
          </w:p>
        </w:tc>
        <w:tc>
          <w:tcPr>
            <w:tcW w:w="714" w:type="dxa"/>
            <w:textDirection w:val="lrTb"/>
            <w:noWrap w:val="false"/>
          </w:tcPr>
          <w:p>
            <w:pPr>
              <w:ind w:firstLine="2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</w:tr>
      <w:tr>
        <w:trPr>
          <w:trHeight w:val="327"/>
        </w:trPr>
        <w:tc>
          <w:tcPr>
            <w:tcW w:w="1215" w:type="dxa"/>
            <w:textDirection w:val="lrTb"/>
            <w:noWrap w:val="false"/>
          </w:tcPr>
          <w:p>
            <w:pPr>
              <w:ind w:firstLine="23"/>
              <w:jc w:val="righ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2.</w:t>
            </w:r>
            <w:r/>
          </w:p>
        </w:tc>
        <w:tc>
          <w:tcPr>
            <w:tcW w:w="7853" w:type="dxa"/>
            <w:textDirection w:val="lrTb"/>
            <w:noWrap w:val="false"/>
          </w:tcPr>
          <w:p>
            <w:pPr>
              <w:ind w:firstLine="23"/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часть……………………………………………………...</w:t>
            </w:r>
            <w:r/>
          </w:p>
        </w:tc>
        <w:tc>
          <w:tcPr>
            <w:tcW w:w="714" w:type="dxa"/>
            <w:textDirection w:val="lrTb"/>
            <w:noWrap w:val="false"/>
          </w:tcPr>
          <w:p>
            <w:pPr>
              <w:ind w:firstLine="2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</w:tc>
      </w:tr>
      <w:tr>
        <w:trPr>
          <w:trHeight w:val="401"/>
        </w:trPr>
        <w:tc>
          <w:tcPr>
            <w:tcW w:w="1215" w:type="dxa"/>
            <w:textDirection w:val="lrTb"/>
            <w:noWrap w:val="false"/>
          </w:tcPr>
          <w:p>
            <w:pPr>
              <w:ind w:firstLine="23"/>
              <w:jc w:val="righ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</w:t>
            </w:r>
            <w:r/>
          </w:p>
        </w:tc>
        <w:tc>
          <w:tcPr>
            <w:tcW w:w="7853" w:type="dxa"/>
            <w:textDirection w:val="lrTb"/>
            <w:noWrap w:val="false"/>
          </w:tcPr>
          <w:p>
            <w:pPr>
              <w:ind w:firstLine="23"/>
              <w:jc w:val="both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определения содержания нефтепродуктов в пробах воды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……..</w:t>
            </w:r>
            <w:r/>
          </w:p>
        </w:tc>
        <w:tc>
          <w:tcPr>
            <w:tcW w:w="714" w:type="dxa"/>
            <w:textDirection w:val="lrTb"/>
            <w:noWrap w:val="false"/>
          </w:tcPr>
          <w:p>
            <w:pPr>
              <w:ind w:firstLine="2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/>
          </w:p>
        </w:tc>
      </w:tr>
      <w:tr>
        <w:trPr>
          <w:trHeight w:val="437"/>
        </w:trPr>
        <w:tc>
          <w:tcPr>
            <w:tcW w:w="1215" w:type="dxa"/>
            <w:textDirection w:val="lrTb"/>
            <w:noWrap w:val="false"/>
          </w:tcPr>
          <w:p>
            <w:pPr>
              <w:ind w:firstLine="23"/>
              <w:jc w:val="righ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</w:t>
            </w:r>
            <w:r/>
          </w:p>
        </w:tc>
        <w:tc>
          <w:tcPr>
            <w:tcW w:w="7853" w:type="dxa"/>
            <w:textDirection w:val="lrTb"/>
            <w:noWrap w:val="false"/>
          </w:tcPr>
          <w:p>
            <w:pPr>
              <w:ind w:firstLine="23"/>
              <w:jc w:val="both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определения содержания нефтепродуктов в пробах почвы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……</w:t>
            </w:r>
            <w:r/>
          </w:p>
        </w:tc>
        <w:tc>
          <w:tcPr>
            <w:tcW w:w="714" w:type="dxa"/>
            <w:textDirection w:val="lrTb"/>
            <w:noWrap w:val="false"/>
          </w:tcPr>
          <w:p>
            <w:pPr>
              <w:ind w:firstLine="2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/>
          </w:p>
        </w:tc>
      </w:tr>
      <w:tr>
        <w:trPr>
          <w:trHeight w:val="342"/>
        </w:trPr>
        <w:tc>
          <w:tcPr>
            <w:tcW w:w="1215" w:type="dxa"/>
            <w:textDirection w:val="lrTb"/>
            <w:noWrap w:val="false"/>
          </w:tcPr>
          <w:p>
            <w:pPr>
              <w:ind w:firstLine="23"/>
              <w:jc w:val="righ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</w:t>
            </w:r>
            <w:r/>
          </w:p>
        </w:tc>
        <w:tc>
          <w:tcPr>
            <w:tcW w:w="7853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проведенного исследования на газоанализаторе ГИАМ-305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…….</w:t>
            </w:r>
            <w:r/>
          </w:p>
        </w:tc>
        <w:tc>
          <w:tcPr>
            <w:tcW w:w="71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/>
          </w:p>
        </w:tc>
      </w:tr>
      <w:tr>
        <w:trPr>
          <w:trHeight w:val="341"/>
        </w:trPr>
        <w:tc>
          <w:tcPr>
            <w:tcW w:w="1215" w:type="dxa"/>
            <w:textDirection w:val="lrTb"/>
            <w:noWrap w:val="false"/>
          </w:tcPr>
          <w:p>
            <w:pPr>
              <w:ind w:firstLine="23"/>
              <w:jc w:val="righ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853" w:type="dxa"/>
            <w:textDirection w:val="lrTb"/>
            <w:noWrap w:val="false"/>
          </w:tcPr>
          <w:p>
            <w:pPr>
              <w:ind w:firstLine="2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использованных источников и литературы…………………………</w:t>
            </w:r>
            <w:r/>
          </w:p>
        </w:tc>
        <w:tc>
          <w:tcPr>
            <w:tcW w:w="714" w:type="dxa"/>
            <w:textDirection w:val="lrTb"/>
            <w:noWrap w:val="false"/>
          </w:tcPr>
          <w:p>
            <w:pPr>
              <w:ind w:firstLine="2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/>
          </w:p>
        </w:tc>
      </w:tr>
      <w:tr>
        <w:trPr>
          <w:trHeight w:val="341"/>
        </w:trPr>
        <w:tc>
          <w:tcPr>
            <w:tcW w:w="1215" w:type="dxa"/>
            <w:textDirection w:val="lrTb"/>
            <w:noWrap w:val="false"/>
          </w:tcPr>
          <w:p>
            <w:pPr>
              <w:ind w:firstLine="23"/>
              <w:jc w:val="righ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853" w:type="dxa"/>
            <w:textDirection w:val="lrTb"/>
            <w:noWrap w:val="false"/>
          </w:tcPr>
          <w:p>
            <w:pPr>
              <w:ind w:firstLine="2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1…………………………………………………………………..</w:t>
            </w:r>
            <w:r/>
          </w:p>
        </w:tc>
        <w:tc>
          <w:tcPr>
            <w:tcW w:w="714" w:type="dxa"/>
            <w:textDirection w:val="lrTb"/>
            <w:noWrap w:val="false"/>
          </w:tcPr>
          <w:p>
            <w:pPr>
              <w:ind w:firstLine="2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XII</w:t>
            </w:r>
            <w:r/>
          </w:p>
        </w:tc>
      </w:tr>
    </w:tbl>
    <w:p>
      <w:pPr>
        <w:jc w:val="center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>
          <w:footnotePr/>
          <w:endnotePr/>
          <w:type w:val="nextPage"/>
          <w:pgSz w:w="11906" w:h="16838" w:orient="portrait"/>
          <w:pgMar w:top="851" w:right="851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Исследование уровня загрязнения нефтепродуктами окружающей среды в </w:t>
      </w:r>
      <w:r>
        <w:rPr>
          <w:rFonts w:ascii="Times New Roman" w:hAnsi="Times New Roman" w:cs="Times New Roman"/>
          <w:b/>
          <w:sz w:val="24"/>
          <w:szCs w:val="24"/>
        </w:rPr>
        <w:t xml:space="preserve">Пуровском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районе ЯНАО</w:t>
      </w:r>
      <w:r/>
    </w:p>
    <w:p>
      <w:pPr>
        <w:jc w:val="center"/>
        <w:spacing w:after="0" w:line="360" w:lineRule="auto"/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Галушинский Виктор Витальевич</w:t>
      </w:r>
      <w:r/>
    </w:p>
    <w:p>
      <w:pPr>
        <w:jc w:val="center"/>
        <w:spacing w:after="0" w:line="360" w:lineRule="auto"/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ЯНАО,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Пуровский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район, город Тарко-Сале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jc w:val="center"/>
        <w:spacing w:after="0" w:line="360" w:lineRule="auto"/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МБОУ «СОШ №2»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класс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360" w:lineRule="auto"/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360" w:lineRule="auto"/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/>
    </w:p>
    <w:p>
      <w:pPr>
        <w:pStyle w:val="757"/>
        <w:ind w:firstLine="567"/>
        <w:jc w:val="both"/>
        <w:spacing w:before="0" w:beforeAutospacing="0" w:after="0" w:afterAutospacing="0" w:line="360" w:lineRule="auto"/>
      </w:pPr>
      <w:r>
        <w:rPr>
          <w:b/>
        </w:rPr>
        <w:t xml:space="preserve">Цель работы:</w:t>
      </w:r>
      <w:r>
        <w:t xml:space="preserve"> определить концентрацию нефтепродуктов в воде, почве и воздухе в окрестностях г. Тарко-Сале.</w:t>
      </w:r>
      <w:r/>
    </w:p>
    <w:p>
      <w:pPr>
        <w:ind w:firstLine="567"/>
        <w:jc w:val="both"/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Основные этапы исследования: </w:t>
      </w:r>
      <w:r/>
    </w:p>
    <w:p>
      <w:pPr>
        <w:pStyle w:val="759"/>
        <w:numPr>
          <w:ilvl w:val="0"/>
          <w:numId w:val="21"/>
        </w:numPr>
        <w:ind w:left="0" w:firstLine="567"/>
        <w:jc w:val="both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анализ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научно-популярной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литературы;</w:t>
      </w:r>
      <w:r/>
    </w:p>
    <w:p>
      <w:pPr>
        <w:pStyle w:val="759"/>
        <w:numPr>
          <w:ilvl w:val="0"/>
          <w:numId w:val="21"/>
        </w:numPr>
        <w:ind w:left="0" w:firstLine="567"/>
        <w:jc w:val="both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изучение методов определения нефтепродуктов в воде, почве и воздухе;</w:t>
      </w:r>
      <w:r/>
    </w:p>
    <w:p>
      <w:pPr>
        <w:pStyle w:val="759"/>
        <w:numPr>
          <w:ilvl w:val="0"/>
          <w:numId w:val="21"/>
        </w:numPr>
        <w:ind w:left="0" w:firstLine="567"/>
        <w:jc w:val="both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измерений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отобранных проб на предмет содержания нефтепродуктов;</w:t>
      </w:r>
      <w:r/>
    </w:p>
    <w:p>
      <w:pPr>
        <w:pStyle w:val="759"/>
        <w:numPr>
          <w:ilvl w:val="0"/>
          <w:numId w:val="21"/>
        </w:numPr>
        <w:ind w:left="0" w:firstLine="567"/>
        <w:jc w:val="both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апробация полученных результатов исследования;</w:t>
      </w:r>
      <w:r/>
    </w:p>
    <w:p>
      <w:pPr>
        <w:pStyle w:val="759"/>
        <w:numPr>
          <w:ilvl w:val="0"/>
          <w:numId w:val="21"/>
        </w:numPr>
        <w:ind w:left="0" w:firstLine="567"/>
        <w:jc w:val="both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оформление результатов исследования;</w:t>
      </w:r>
      <w:r/>
    </w:p>
    <w:p>
      <w:pPr>
        <w:pStyle w:val="759"/>
        <w:numPr>
          <w:ilvl w:val="0"/>
          <w:numId w:val="21"/>
        </w:numPr>
        <w:ind w:left="0" w:firstLine="567"/>
        <w:jc w:val="both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представление результатов исследования.</w:t>
      </w:r>
      <w:r/>
    </w:p>
    <w:p>
      <w:pPr>
        <w:ind w:firstLine="567"/>
        <w:jc w:val="both"/>
        <w:spacing w:after="0" w:line="360" w:lineRule="auto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Выводы по работе: </w:t>
      </w:r>
      <w:r/>
    </w:p>
    <w:p>
      <w:pPr>
        <w:pStyle w:val="759"/>
        <w:numPr>
          <w:ilvl w:val="0"/>
          <w:numId w:val="19"/>
        </w:numPr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было выявлено, что нефть является одним из наиболее широко применяемых человеком ресурсов - используется для производства масел, топлива, синтетических каучуков, растворителей и даже лекарственных препаратов;</w:t>
      </w:r>
      <w:r/>
    </w:p>
    <w:p>
      <w:pPr>
        <w:pStyle w:val="759"/>
        <w:numPr>
          <w:ilvl w:val="0"/>
          <w:numId w:val="19"/>
        </w:numPr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проведенные исследования проб воды по показателю «содержание нефтепродуктов» показывают, что питьевая вода в г. Тарко-Сале соответствует нормативным показателям (ГОСТ 2874 – 82,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СанПиН 2.1.4.1074-01);</w:t>
      </w:r>
      <w:r/>
    </w:p>
    <w:p>
      <w:pPr>
        <w:pStyle w:val="759"/>
        <w:numPr>
          <w:ilvl w:val="0"/>
          <w:numId w:val="19"/>
        </w:num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исследования проб почвы и воздуха по показателю «содержание нефтепродуктов» показывают, что данные природные объекты в окрестностях г. Тарко-Сале, включая Восточно-</w:t>
      </w:r>
      <w:r>
        <w:rPr>
          <w:rFonts w:ascii="Times New Roman" w:hAnsi="Times New Roman" w:cs="Times New Roman"/>
          <w:sz w:val="24"/>
          <w:szCs w:val="24"/>
        </w:rPr>
        <w:t xml:space="preserve">Таркосалинское</w:t>
      </w:r>
      <w:r>
        <w:rPr>
          <w:rFonts w:ascii="Times New Roman" w:hAnsi="Times New Roman" w:cs="Times New Roman"/>
          <w:sz w:val="24"/>
          <w:szCs w:val="24"/>
        </w:rPr>
        <w:t xml:space="preserve"> месторождение соответствует нормативным показателям согласно (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СанПиН 2.1.7.1287-03</w:t>
      </w:r>
      <w:r>
        <w:rPr>
          <w:rFonts w:ascii="Times New Roman" w:hAnsi="Times New Roman" w:cs="Times New Roman"/>
          <w:sz w:val="24"/>
          <w:szCs w:val="24"/>
        </w:rPr>
        <w:t xml:space="preserve">, ПНД Ф 16.1:2.21-98);</w:t>
      </w:r>
      <w:r/>
    </w:p>
    <w:p>
      <w:pPr>
        <w:pStyle w:val="759"/>
        <w:numPr>
          <w:ilvl w:val="0"/>
          <w:numId w:val="19"/>
        </w:num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дальнейшего столь бережного отношения к окружающей среде со стороны нефтегазовых предприятий города выявлено, что ухудшение ситуации возможно лишь в аварийной ситуации;</w:t>
      </w:r>
      <w:r/>
    </w:p>
    <w:p>
      <w:pPr>
        <w:pStyle w:val="759"/>
        <w:numPr>
          <w:ilvl w:val="0"/>
          <w:numId w:val="19"/>
        </w:numPr>
        <w:jc w:val="both"/>
        <w:spacing w:after="0" w:line="360" w:lineRule="auto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рекомендуется проведение мониторинговых наблюдений не реже одного раза в полугодие.</w:t>
      </w:r>
      <w:r>
        <w:rPr>
          <w:rFonts w:ascii="Times New Roman" w:hAnsi="Times New Roman" w:cs="Times New Roman"/>
          <w:sz w:val="24"/>
          <w:szCs w:val="24"/>
        </w:rPr>
        <w:br w:type="page" w:clear="all"/>
      </w:r>
      <w:r/>
    </w:p>
    <w:p>
      <w:pPr>
        <w:pStyle w:val="759"/>
        <w:ind w:left="1211"/>
        <w:jc w:val="center"/>
        <w:spacing w:after="0" w:line="360" w:lineRule="auto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</w:t>
      </w:r>
      <w:r>
        <w:rPr>
          <w:rFonts w:ascii="Times New Roman" w:hAnsi="Times New Roman" w:cs="Times New Roman"/>
          <w:b/>
          <w:sz w:val="24"/>
          <w:szCs w:val="24"/>
        </w:rPr>
        <w:t xml:space="preserve">ведение</w:t>
      </w:r>
      <w:r/>
    </w:p>
    <w:p>
      <w:pPr>
        <w:ind w:firstLine="567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в России остро стоит проблема загрязнения окружающей среды нефтепродуктами </w:t>
      </w:r>
      <w:r>
        <w:rPr>
          <w:rFonts w:ascii="Times New Roman" w:hAnsi="Times New Roman" w:cs="Times New Roman"/>
          <w:sz w:val="24"/>
          <w:szCs w:val="24"/>
        </w:rPr>
        <w:t xml:space="preserve">в связи с повсеместностью их пользования в различных сферах народного хозяйства. Оценка степени загрязненности урбанизированных территорий, и, в частности на участках различных производственных объектов, крайне важна для контроля качества окружающей среды.</w:t>
      </w:r>
      <w:r/>
    </w:p>
    <w:p>
      <w:pPr>
        <w:ind w:firstLine="567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Огромные запасы углеводородного сырья позволяют называть Ямало-Ненецкий автономный округ крупнейшей мировой ресурсной базой по нефти и газу. На территории округа наход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ится примерно 78% запасов российского газа (по разведанным запасам и добыче которого округ занимает первое место в РФ) и 18% запасов нефти (по разведанным запасам жидких углеводородов ЯНАО занимает второе место после Ханты-Мансийского автономного округа) (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Енукова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2013).</w:t>
      </w:r>
      <w:r/>
    </w:p>
    <w:p>
      <w:pPr>
        <w:ind w:firstLine="567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Сегодня экономику города Тарко-Сале определяют нефтяники и газодобытчики. Доля добычи газа составляет 6%, а нефти 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газоконденсата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- 10% от всего объёма добычи в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Пуровском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районе. Из 114 газовых, газоконденсатных и нефтяных месторождений, разведанных в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Пуровском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районе, 15 расположено вблизи г. Тарко-Сале.</w:t>
      </w:r>
      <w:r/>
    </w:p>
    <w:p>
      <w:pPr>
        <w:ind w:firstLine="567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городе на полную мощность введен в эксплуатацию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Пуровский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завод по переработке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газоконденсата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ПАО «НОВАТЭК».</w:t>
      </w:r>
      <w:r/>
    </w:p>
    <w:p>
      <w:pPr>
        <w:ind w:firstLine="567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силу уникальности и практической неисчерпаемости углеводородных запасов и ценных минеральных богатств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Пуровский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район обладает перспективой экономического роста.</w:t>
      </w:r>
      <w:r/>
    </w:p>
    <w:p>
      <w:pPr>
        <w:ind w:firstLine="567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Для этого, уже сейчас, необходимо определить степень влияния нефтегазовой промышленности на растительный и животный мир в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Пуровском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районе в целом, но в рамках данной работы была поставлена задача именно в окрестностях г. Тарко-Сале.</w:t>
      </w:r>
      <w:r/>
    </w:p>
    <w:p>
      <w:pPr>
        <w:ind w:firstLine="567"/>
        <w:jc w:val="both"/>
        <w:spacing w:after="0" w:line="360" w:lineRule="auto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Актуальность работы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свя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зана с тотальным загрязнением окружающей среды (ОС) различными видами нефтепродуктов (НП), имеющими техногенное начало. Масштабное углеводородное загрязнение ОС в результате потерь нефти и нефтепродуктов обусловливает необходимость анализа рисков, возникаю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щих для различных компонентов окружающей среды.</w:t>
      </w:r>
      <w:r/>
    </w:p>
    <w:p>
      <w:pPr>
        <w:ind w:firstLine="567"/>
        <w:jc w:val="both"/>
        <w:spacing w:after="0" w:line="360" w:lineRule="auto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Проблема исследования:</w:t>
      </w:r>
      <w:r>
        <w:rPr>
          <w:rFonts w:ascii="Times New Roman" w:hAnsi="Times New Roman" w:cs="Times New Roman"/>
          <w:sz w:val="24"/>
          <w:szCs w:val="24"/>
        </w:rPr>
        <w:t xml:space="preserve"> аварийные разливы продуктов нефтедобычи могут привести к отрицательному влиянию на окружающую природу и ухудшению здоровья и жизни населения.</w:t>
      </w:r>
      <w:r/>
    </w:p>
    <w:p>
      <w:pPr>
        <w:pStyle w:val="757"/>
        <w:ind w:firstLine="567"/>
        <w:jc w:val="both"/>
        <w:spacing w:before="0" w:beforeAutospacing="0" w:after="0" w:afterAutospacing="0" w:line="360" w:lineRule="auto"/>
      </w:pPr>
      <w:r>
        <w:rPr>
          <w:b/>
        </w:rPr>
        <w:t xml:space="preserve">Цель работы:</w:t>
      </w:r>
      <w:r>
        <w:t xml:space="preserve"> определить концентрацию нефтепродуктов в воде, почве и воздухе в окрестностях г. Тарко-Сале.</w:t>
      </w:r>
      <w:r/>
    </w:p>
    <w:p>
      <w:pPr>
        <w:ind w:firstLine="567"/>
        <w:jc w:val="both"/>
        <w:spacing w:after="0" w:line="360" w:lineRule="auto"/>
        <w:rPr>
          <w:rFonts w:ascii="Times New Roman" w:hAnsi="Times New Roman" w:eastAsia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shd w:val="clear" w:color="auto" w:fill="ffffff"/>
          <w:lang w:eastAsia="ru-RU"/>
        </w:rPr>
        <w:t xml:space="preserve">Задачи</w:t>
      </w:r>
      <w:r>
        <w:rPr>
          <w:rFonts w:ascii="Times New Roman" w:hAnsi="Times New Roman" w:eastAsia="Times New Roman" w:cs="Times New Roman"/>
          <w:b/>
          <w:sz w:val="24"/>
          <w:szCs w:val="24"/>
          <w:shd w:val="clear" w:color="auto" w:fill="ffffff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shd w:val="clear" w:color="auto" w:fill="ffffff"/>
          <w:lang w:eastAsia="ru-RU"/>
        </w:rPr>
        <w:t xml:space="preserve">исследования: </w:t>
      </w:r>
      <w:r/>
    </w:p>
    <w:p>
      <w:pPr>
        <w:pStyle w:val="759"/>
        <w:numPr>
          <w:ilvl w:val="0"/>
          <w:numId w:val="1"/>
        </w:numPr>
        <w:ind w:left="0" w:firstLine="567"/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изучить доступную литературу по теме исследования;</w:t>
      </w:r>
      <w:r/>
    </w:p>
    <w:p>
      <w:pPr>
        <w:pStyle w:val="759"/>
        <w:numPr>
          <w:ilvl w:val="0"/>
          <w:numId w:val="1"/>
        </w:numPr>
        <w:ind w:left="0" w:firstLine="567"/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изучить информацию про нефть и источники загрязнения нефтепродуктами окружающей среды;</w:t>
      </w:r>
      <w:r/>
    </w:p>
    <w:p>
      <w:pPr>
        <w:pStyle w:val="759"/>
        <w:numPr>
          <w:ilvl w:val="0"/>
          <w:numId w:val="1"/>
        </w:numPr>
        <w:ind w:left="0" w:firstLine="567"/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последствия техногенных воздействий на природную среду в районах нефтедобычи вблизи г. Тарко-Сале;</w:t>
      </w:r>
      <w:r/>
    </w:p>
    <w:p>
      <w:pPr>
        <w:pStyle w:val="759"/>
        <w:numPr>
          <w:ilvl w:val="0"/>
          <w:numId w:val="1"/>
        </w:numPr>
        <w:ind w:left="0" w:firstLine="567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 xml:space="preserve">изучить и выбрать наиболее оптимальные для реализации методики определения;</w:t>
      </w:r>
      <w:r/>
    </w:p>
    <w:p>
      <w:pPr>
        <w:pStyle w:val="759"/>
        <w:numPr>
          <w:ilvl w:val="0"/>
          <w:numId w:val="1"/>
        </w:numPr>
        <w:ind w:left="0" w:firstLine="567"/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провести исследования проб на наличие нефтепродуктов инструментальными методами.</w:t>
      </w:r>
      <w:r/>
    </w:p>
    <w:p>
      <w:pPr>
        <w:ind w:firstLine="567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качестве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объектов исследования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были выбраны:</w:t>
      </w:r>
      <w:r/>
    </w:p>
    <w:p>
      <w:pPr>
        <w:pStyle w:val="759"/>
        <w:numPr>
          <w:ilvl w:val="0"/>
          <w:numId w:val="23"/>
        </w:numPr>
        <w:ind w:left="0" w:firstLine="567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пробы атмосферного воздуха, почвы, воды поверхностной р.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Пяку-Пур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;</w:t>
      </w:r>
      <w:r/>
    </w:p>
    <w:p>
      <w:pPr>
        <w:pStyle w:val="759"/>
        <w:numPr>
          <w:ilvl w:val="0"/>
          <w:numId w:val="23"/>
        </w:numPr>
        <w:ind w:left="0" w:firstLine="567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питьевая водопроводная вода, почва и атмосферный воздух с трех точек г. Тарко-Сале - район МБОУ ДО «ЦЕН», центр города (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мкр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Комсомольский), окраина города (ул. Солнечная);</w:t>
      </w:r>
      <w:r/>
    </w:p>
    <w:p>
      <w:pPr>
        <w:pStyle w:val="759"/>
        <w:numPr>
          <w:ilvl w:val="0"/>
          <w:numId w:val="23"/>
        </w:numPr>
        <w:ind w:left="0" w:firstLine="567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пробы пластовой воды, поверхностной природной воды, почвы и атмосферного воздуха с нефтяного месторождения ООО «НОВАТЭК-ТАРКОСАЛЕНЕФТЕГАЗ» (Восточно-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Таркосалинское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).</w:t>
      </w:r>
      <w:r/>
    </w:p>
    <w:p>
      <w:pPr>
        <w:ind w:firstLine="567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Предмет исследования -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нефтепродукты, влияющие на окружающую среду.</w:t>
      </w:r>
      <w:r/>
    </w:p>
    <w:p>
      <w:pPr>
        <w:ind w:firstLine="567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Гипотеза исследования: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окружающая среда имеет определенную степень загрязненности.</w:t>
      </w:r>
      <w:r/>
    </w:p>
    <w:p>
      <w:pPr>
        <w:ind w:firstLine="567"/>
        <w:jc w:val="both"/>
        <w:spacing w:after="0" w:line="360" w:lineRule="auto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Методы исследования:</w:t>
      </w:r>
      <w:r/>
    </w:p>
    <w:p>
      <w:pPr>
        <w:numPr>
          <w:ilvl w:val="0"/>
          <w:numId w:val="22"/>
        </w:numPr>
        <w:ind w:left="0" w:firstLine="567"/>
        <w:jc w:val="both"/>
        <w:spacing w:after="0" w:line="360" w:lineRule="auto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анализ;</w:t>
      </w:r>
      <w:r/>
    </w:p>
    <w:p>
      <w:pPr>
        <w:numPr>
          <w:ilvl w:val="0"/>
          <w:numId w:val="22"/>
        </w:numPr>
        <w:ind w:left="0" w:firstLine="567"/>
        <w:jc w:val="both"/>
        <w:spacing w:after="0" w:line="360" w:lineRule="auto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наблюдение;</w:t>
      </w:r>
      <w:r/>
    </w:p>
    <w:p>
      <w:pPr>
        <w:numPr>
          <w:ilvl w:val="0"/>
          <w:numId w:val="22"/>
        </w:numPr>
        <w:ind w:left="0" w:firstLine="567"/>
        <w:jc w:val="both"/>
        <w:spacing w:after="0" w:line="360" w:lineRule="auto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эксперимент;</w:t>
      </w:r>
      <w:r/>
    </w:p>
    <w:p>
      <w:pPr>
        <w:numPr>
          <w:ilvl w:val="0"/>
          <w:numId w:val="22"/>
        </w:numPr>
        <w:ind w:left="0" w:firstLine="567"/>
        <w:jc w:val="both"/>
        <w:spacing w:after="0" w:line="360" w:lineRule="auto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описание.</w:t>
      </w:r>
      <w:r/>
    </w:p>
    <w:p>
      <w:pPr>
        <w:ind w:firstLine="567"/>
        <w:jc w:val="both"/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Основные этапы исследования: </w:t>
      </w:r>
      <w:r/>
    </w:p>
    <w:p>
      <w:pPr>
        <w:pStyle w:val="759"/>
        <w:numPr>
          <w:ilvl w:val="0"/>
          <w:numId w:val="21"/>
        </w:numPr>
        <w:ind w:left="0" w:firstLine="567"/>
        <w:jc w:val="both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анализ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научно-популярной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литературы;</w:t>
      </w:r>
      <w:r/>
    </w:p>
    <w:p>
      <w:pPr>
        <w:pStyle w:val="759"/>
        <w:numPr>
          <w:ilvl w:val="0"/>
          <w:numId w:val="21"/>
        </w:numPr>
        <w:ind w:left="0" w:firstLine="567"/>
        <w:jc w:val="both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изучение методов определения нефтепродуктов в воде, почве и воздухе;</w:t>
      </w:r>
      <w:r/>
    </w:p>
    <w:p>
      <w:pPr>
        <w:pStyle w:val="759"/>
        <w:numPr>
          <w:ilvl w:val="0"/>
          <w:numId w:val="21"/>
        </w:numPr>
        <w:ind w:left="0" w:firstLine="567"/>
        <w:jc w:val="both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проведение измерений отобранных проб на предмет содержания нефтепродуктов;</w:t>
      </w:r>
      <w:r/>
    </w:p>
    <w:p>
      <w:pPr>
        <w:pStyle w:val="759"/>
        <w:numPr>
          <w:ilvl w:val="0"/>
          <w:numId w:val="21"/>
        </w:numPr>
        <w:ind w:left="0" w:firstLine="567"/>
        <w:jc w:val="both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апробация полученных результатов исследования;</w:t>
      </w:r>
      <w:r/>
    </w:p>
    <w:p>
      <w:pPr>
        <w:pStyle w:val="759"/>
        <w:numPr>
          <w:ilvl w:val="0"/>
          <w:numId w:val="21"/>
        </w:numPr>
        <w:ind w:left="0" w:firstLine="567"/>
        <w:jc w:val="both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оформление результатов исследования;</w:t>
      </w:r>
      <w:r/>
    </w:p>
    <w:p>
      <w:pPr>
        <w:pStyle w:val="759"/>
        <w:numPr>
          <w:ilvl w:val="0"/>
          <w:numId w:val="21"/>
        </w:numPr>
        <w:ind w:left="0" w:firstLine="567"/>
        <w:jc w:val="both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представление результатов исследования.</w:t>
      </w:r>
      <w:r/>
    </w:p>
    <w:p>
      <w:pPr>
        <w:ind w:firstLine="567"/>
        <w:jc w:val="both"/>
        <w:spacing w:after="0" w:line="360" w:lineRule="auto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567"/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Практическая значимость работы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состоит в применении результатов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исследований при мониторинге и диагностике экологического состояния почв, воды и воздуха, загрязненных углеводородами нефтепродуктов, также при разработке рекомендаций по снижению токсико-экологических последствий загрязнения углеводородами нефтепродуктов.</w:t>
      </w:r>
      <w:r/>
    </w:p>
    <w:p>
      <w:pPr>
        <w:ind w:firstLine="567"/>
        <w:jc w:val="both"/>
        <w:spacing w:after="0" w:line="360" w:lineRule="auto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Структура работы: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исследовательская работа изложена на 1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 страницах компьютерного набора и состоит из введения, двух глав, выводов, списка использованных источников и литературы, приложений.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Теоретические основы</w:t>
      </w:r>
      <w:r/>
    </w:p>
    <w:p>
      <w:pPr>
        <w:contextualSpacing/>
        <w:jc w:val="center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  <w:t xml:space="preserve">1.1 </w:t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  <w:t xml:space="preserve">Происхождение нефти и </w:t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  <w:t xml:space="preserve">его </w:t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  <w:t xml:space="preserve">химический состав</w:t>
      </w:r>
      <w:r/>
    </w:p>
    <w:p>
      <w:pPr>
        <w:ind w:firstLine="567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Нефть является топливом для средств передвижения и поддерживает мировой экономически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й рост. </w:t>
      </w:r>
      <w:r/>
    </w:p>
    <w:p>
      <w:pPr>
        <w:ind w:firstLine="567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Больш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инство ученых согласны с тем, что углеводороды (нефть и природный газ) имеют органическое происхождение. Однако некоторые ученые придерживаются мнения, что природный газ мог образоваться глубоко под землей, где тепло, которое плавит породы, могло образоват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ь его и неорганическ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им путем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Тем не менее, львиная доля данных свидетельствует в пользу органического происхождения нефти, согласно которому нефть является продуктом растений, а возможно и животных, которые залегли и окаменели в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нефтематеринской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осадочной породе. После этого нефть химическим путем изменилась в неочищенную нефть и газ.</w:t>
      </w:r>
      <w:r/>
    </w:p>
    <w:p>
      <w:pPr>
        <w:ind w:firstLine="567"/>
        <w:jc w:val="both"/>
        <w:spacing w:after="0" w:line="360" w:lineRule="auto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Нефть представляет собой сложную смесь из органических составляющих соединений. Одним из таких химических соединений в сырой нефти является порфирин.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z w:val="24"/>
          <w:szCs w:val="24"/>
        </w:rPr>
        <w:t xml:space="preserve">представляют собой органические молекулы, которые по </w:t>
      </w:r>
      <w:r>
        <w:rPr>
          <w:rFonts w:ascii="Times New Roman" w:hAnsi="Times New Roman" w:cs="Times New Roman"/>
          <w:sz w:val="24"/>
          <w:szCs w:val="24"/>
        </w:rPr>
        <w:t xml:space="preserve">химической </w:t>
      </w:r>
      <w:r>
        <w:rPr>
          <w:rFonts w:ascii="Times New Roman" w:hAnsi="Times New Roman" w:cs="Times New Roman"/>
          <w:sz w:val="24"/>
          <w:szCs w:val="24"/>
        </w:rPr>
        <w:t xml:space="preserve">структуре </w:t>
      </w:r>
      <w:r>
        <w:rPr>
          <w:rFonts w:ascii="Times New Roman" w:hAnsi="Times New Roman" w:cs="Times New Roman"/>
          <w:sz w:val="24"/>
          <w:szCs w:val="24"/>
        </w:rPr>
        <w:t xml:space="preserve">схожи</w:t>
      </w:r>
      <w:r>
        <w:rPr>
          <w:rFonts w:ascii="Times New Roman" w:hAnsi="Times New Roman" w:cs="Times New Roman"/>
          <w:sz w:val="24"/>
          <w:szCs w:val="24"/>
        </w:rPr>
        <w:t xml:space="preserve"> на хлорофилл растений и на гемоглобин, содержащийся в крови животных.</w:t>
      </w:r>
      <w:r>
        <w:rPr>
          <w:rFonts w:ascii="Times New Roman" w:hAnsi="Times New Roman" w:cs="Times New Roman"/>
          <w:sz w:val="24"/>
          <w:szCs w:val="24"/>
        </w:rPr>
        <w:t xml:space="preserve"> Они относятся в группе тетрапиррольных соединений и часто содержат мета</w:t>
      </w:r>
      <w:r>
        <w:rPr>
          <w:rFonts w:ascii="Times New Roman" w:hAnsi="Times New Roman" w:cs="Times New Roman"/>
          <w:sz w:val="24"/>
          <w:szCs w:val="24"/>
        </w:rPr>
        <w:t xml:space="preserve">ллы, такие как никель и ванадий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</w:t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1.2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Физико-химические свойства нефти</w:t>
      </w:r>
      <w:r/>
    </w:p>
    <w:p>
      <w:pPr>
        <w:ind w:firstLine="567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Плотность</w:t>
      </w:r>
      <w:r>
        <w:rPr>
          <w:rFonts w:ascii="Times New Roman" w:hAnsi="Times New Roman" w:cs="Times New Roman"/>
          <w:sz w:val="24"/>
          <w:szCs w:val="24"/>
        </w:rPr>
        <w:t xml:space="preserve"> ‒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количеством массы в единице объема. Единицей плотности является кг/м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 На практике пользуются относительной плотностью, которая представляет собой отношение пло</w:t>
      </w:r>
      <w:r>
        <w:rPr>
          <w:rFonts w:ascii="Times New Roman" w:hAnsi="Times New Roman" w:cs="Times New Roman"/>
          <w:sz w:val="24"/>
          <w:szCs w:val="24"/>
        </w:rPr>
        <w:t xml:space="preserve">тности нефти при температуре 20</w:t>
      </w:r>
      <w:r>
        <w:rPr>
          <w:rFonts w:ascii="Times New Roman" w:hAnsi="Times New Roman" w:cs="Times New Roman"/>
          <w:sz w:val="24"/>
          <w:szCs w:val="24"/>
        </w:rPr>
        <w:t xml:space="preserve">°С к плотности воды при 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°С. Наиболее распространенные величины плотности нефти — 0,82-0,92 г/см³.</w:t>
      </w:r>
      <w:r/>
    </w:p>
    <w:p>
      <w:pPr>
        <w:ind w:firstLine="567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Обычно нефть в природе встречаются в жидком состоянии. Однако некоторые нефти загусте</w:t>
      </w:r>
      <w:r>
        <w:rPr>
          <w:rFonts w:ascii="Times New Roman" w:hAnsi="Times New Roman" w:cs="Times New Roman"/>
          <w:sz w:val="24"/>
          <w:szCs w:val="24"/>
        </w:rPr>
        <w:t xml:space="preserve">вают при незначительном охлаждении. Температура застывания нефти зависит от ее состава. Чем больше в ней твердых парафинов, тем выше ее температура застывания. Смолистые вещества оказывают противоположное влияние ‒ с повышением их содержания температура за</w:t>
      </w:r>
      <w:r>
        <w:rPr>
          <w:rFonts w:ascii="Times New Roman" w:hAnsi="Times New Roman" w:cs="Times New Roman"/>
          <w:sz w:val="24"/>
          <w:szCs w:val="24"/>
        </w:rPr>
        <w:t xml:space="preserve">стывания понижается.</w:t>
      </w:r>
      <w:r/>
    </w:p>
    <w:p>
      <w:pPr>
        <w:ind w:firstLine="567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Испаряемость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процесс перехода жидкости у поверхности на открытом воздухе из жидкого состояния в парообразное. П</w:t>
      </w:r>
      <w:r>
        <w:rPr>
          <w:rFonts w:ascii="Times New Roman" w:hAnsi="Times New Roman" w:cs="Times New Roman"/>
          <w:sz w:val="24"/>
          <w:szCs w:val="24"/>
        </w:rPr>
        <w:t xml:space="preserve">ри этом нефть теряет наиболее ле</w:t>
      </w:r>
      <w:r>
        <w:rPr>
          <w:rFonts w:ascii="Times New Roman" w:hAnsi="Times New Roman" w:cs="Times New Roman"/>
          <w:sz w:val="24"/>
          <w:szCs w:val="24"/>
        </w:rPr>
        <w:t xml:space="preserve">гкие фракции. Если нефть находится в закры</w:t>
      </w:r>
      <w:r>
        <w:rPr>
          <w:rFonts w:ascii="Times New Roman" w:hAnsi="Times New Roman" w:cs="Times New Roman"/>
          <w:sz w:val="24"/>
          <w:szCs w:val="24"/>
        </w:rPr>
        <w:t xml:space="preserve">тых резервуарах, то при определе</w:t>
      </w:r>
      <w:r>
        <w:rPr>
          <w:rFonts w:ascii="Times New Roman" w:hAnsi="Times New Roman" w:cs="Times New Roman"/>
          <w:sz w:val="24"/>
          <w:szCs w:val="24"/>
        </w:rPr>
        <w:t xml:space="preserve">нных условиях возможно испарение до какой-то предельной величины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firstLine="567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Растворимость </w:t>
      </w:r>
      <w:r>
        <w:rPr>
          <w:rFonts w:ascii="Times New Roman" w:hAnsi="Times New Roman" w:cs="Times New Roman"/>
          <w:sz w:val="24"/>
          <w:szCs w:val="24"/>
        </w:rPr>
        <w:t xml:space="preserve">‒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нефть и нефтепродукты легко растворяются в органических растворителях: бензине, хлороформе, сероуглероде. Растворимость нефти в воде мала.</w:t>
      </w:r>
      <w:r/>
    </w:p>
    <w:p>
      <w:pPr>
        <w:ind w:firstLine="567"/>
        <w:jc w:val="both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Химические свойства </w:t>
      </w:r>
      <w:r>
        <w:rPr>
          <w:rFonts w:ascii="Times New Roman" w:hAnsi="Times New Roman" w:cs="Times New Roman"/>
          <w:sz w:val="24"/>
          <w:szCs w:val="24"/>
        </w:rPr>
        <w:t xml:space="preserve">‒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рассматривать с точки зрения элементарно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 состава, то </w:t>
      </w:r>
      <w:r>
        <w:rPr>
          <w:rFonts w:ascii="Times New Roman" w:hAnsi="Times New Roman" w:cs="Times New Roman"/>
          <w:sz w:val="24"/>
          <w:szCs w:val="24"/>
        </w:rPr>
        <w:t xml:space="preserve">нефть и нефтепродукты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содержат углерод и водород. Эти два элемента образуют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соединения различного строения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1, рис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Химия нефти – это сложная смесь органических углеводородных соединений, строение которых различно. Состав нефти, добытых на разных месторождениях, зачастую сильно отличается.</w:t>
      </w:r>
      <w:r/>
    </w:p>
    <w:p>
      <w:pPr>
        <w:jc w:val="center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1.3 Источники загрязнения</w:t>
      </w:r>
      <w:r/>
    </w:p>
    <w:p>
      <w:pPr>
        <w:ind w:firstLine="567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Большинство нефтепродуктов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поступают в поверхностные и грунтовые воды при транспортировании нефти, со сточными водами предприятий, со стоками с автомагистралей, бензозаправок, с аэрозольной фракцией выхлопных газов, с хозяйственно-бытовыми водами.</w:t>
      </w:r>
      <w:r/>
    </w:p>
    <w:p>
      <w:pPr>
        <w:ind w:firstLine="567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Нефтепродукты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(НП)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 это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бензин, дизельное топливо, керосин, мазут, смазочные материалы, электроизоляционные среды, рас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творители, нефтехимическое сырье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и т.п.</w:t>
      </w:r>
      <w:r/>
    </w:p>
    <w:p>
      <w:pPr>
        <w:ind w:firstLine="567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Также к источникам загрязнения относятся системы отопления, работающие на нефти, операции обслуживания автомобилей (мойки, стоянки, автозаправочные станции, станции техобсл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уживания), несанкционированные свалки отходов, загрязненных нефтепродуктами (опилки, песок, шлам, ветошь), гаражи, хранилища нефтепродуктов. Существенный вклад в поступление нефтепродуктов в водные объекты вносят дождевые стоки и талые воды с загрязненных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территорий и автомагистралей.</w:t>
      </w:r>
      <w:r/>
    </w:p>
    <w:p>
      <w:pPr>
        <w:jc w:val="center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1.4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Экологические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по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следствия загрязнени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я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окружающей среды</w:t>
      </w:r>
      <w:r/>
    </w:p>
    <w:p>
      <w:pPr>
        <w:ind w:firstLine="567"/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Одним из видов негативного воздействия является загрязнение углеводородами нефти, продуктов ее переработки, сжигания и веществ, сопутствующих добыче нефти.</w:t>
      </w:r>
      <w:r/>
    </w:p>
    <w:p>
      <w:pPr>
        <w:ind w:firstLine="567"/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 чему приводит такое интенсивное загрязнение почвы нефтью? Во-первых, оказавшись в грунте, нефтепродукты могут взаимодействовать с водоносными горизонтами и попадать в питьевую воду. Во-вторых, ухудшается структура самой почвы, п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овышается ее кислотность, в почве накапливаются патогенные микроорганизмы, происходит разрушение почвенной микрофлоры, нарушается почвенный микробиоценоз. Общий экономический ущерб в результате этих процессов оценивается в сотни миллиардов рублей ежегодно.</w:t>
      </w:r>
      <w:r/>
    </w:p>
    <w:p>
      <w:pPr>
        <w:ind w:firstLine="567"/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Между тем, естественное восстановление плодородия почв при заг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рязнении нефтью происходит значительно медленнее, чем при других техногенных загрязнениях. Однако нефтяные пятна на земле достаточно легко устранимы, поскольку вокруг пятна можно быстро насыпать вал, предотвращающий попадание диких животных в опасную зону.</w:t>
      </w:r>
      <w:r/>
    </w:p>
    <w:p>
      <w:pPr>
        <w:ind w:firstLine="567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Нефть, разлитая на море, представляет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собой куда большую опасность чем нефть, разлитая на суше. Поскольку на воде нефтяное пятно может расползтись на сотни килолитров и превратиться в масляную пленку, которая покрывает даже пляжи. Такое развитие событий может привести к гибели морских птиц, мл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екопитающих и других организмов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jc w:val="center"/>
        <w:spacing w:after="0" w:line="36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1.5 Методы исследования</w:t>
      </w:r>
      <w:r/>
    </w:p>
    <w:p>
      <w:pPr>
        <w:ind w:firstLine="567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 настоящее время применяют методы определения содержания нефтепродуктов в воздухе, воде, почве, основанные на различных физических свойствах нефтепродуктов.</w:t>
      </w:r>
      <w:r/>
    </w:p>
    <w:p>
      <w:pPr>
        <w:ind w:firstLine="567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Рассмотрев методики количественного химического анализа нефтепродуктов в окружающей среде, которые предлагает научная литература, для этой работы выбраны следующие методики измерений:</w:t>
      </w:r>
      <w:r/>
    </w:p>
    <w:p>
      <w:pPr>
        <w:ind w:firstLine="567"/>
        <w:jc w:val="both"/>
        <w:spacing w:after="0" w:line="360" w:lineRule="auto"/>
        <w:rPr>
          <w:rFonts w:ascii="Times New Roman" w:hAnsi="Times New Roman" w:eastAsia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lang w:eastAsia="ru-RU"/>
        </w:rPr>
        <w:t xml:space="preserve">Методика измерений массовой концентрации нефтепродуктов в пробах природных, питьевых, сточных вод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lang w:eastAsia="ru-RU"/>
        </w:rPr>
        <w:t xml:space="preserve">флуориметрическим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lang w:eastAsia="ru-RU"/>
        </w:rPr>
        <w:t xml:space="preserve"> методом на анализаторе жидкости «ФЛЮОРАТ-02» (М 01-05-2012).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(ПНД Ф 14.1:2:4.128-98).</w:t>
      </w:r>
      <w:r/>
    </w:p>
    <w:p>
      <w:pPr>
        <w:ind w:firstLine="567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Отбор проб проводят по ГОСТ Р 51592 (ГОСТ 51592 – 2000) и нормативным доку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ментам, распространяющимися на отдельные виды вод: ГОСТ Р 51593, ГОСТ 17.1.5.05, ПНД Ф 12.15.1-08 (ПНД Ф 12.15. 1-2008). Отбор проб воды производят в предварительно подготовленную и высушенную стеклянную посуду. Объем отбираемой пробы приблизительно 100 см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vertAlign w:val="superscript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 вариации в пределах от 80 до 150 см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допустимы. Пробы хранят в плотно закрытой емкости не более 8 часов, при температуре не выше 4˚С – не более 4 суток.</w:t>
      </w:r>
      <w:r/>
    </w:p>
    <w:p>
      <w:pPr>
        <w:ind w:firstLine="567"/>
        <w:jc w:val="both"/>
        <w:spacing w:after="0" w:line="360" w:lineRule="auto"/>
        <w:rPr>
          <w:rFonts w:ascii="Times New Roman" w:hAnsi="Times New Roman" w:eastAsia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lang w:eastAsia="ru-RU"/>
        </w:rPr>
        <w:t xml:space="preserve">Методика измерений массовой доли нефтепродуктов в пробах почв и грунтов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lang w:eastAsia="ru-RU"/>
        </w:rPr>
        <w:t xml:space="preserve">флуориметрическим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lang w:eastAsia="ru-RU"/>
        </w:rPr>
        <w:t xml:space="preserve"> методом на анализаторе жидкости «ФЛЮОРАТ-02» (М 03-03-2012).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(ПНД Ф 16.1:2.21-98).</w:t>
      </w:r>
      <w:r/>
    </w:p>
    <w:p>
      <w:pPr>
        <w:ind w:firstLine="567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Флуориметрический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метод измерений массовой доли НП в почве заключается в последовательном проведении следующих операций:</w:t>
      </w:r>
      <w:r/>
    </w:p>
    <w:p>
      <w:pPr>
        <w:numPr>
          <w:ilvl w:val="0"/>
          <w:numId w:val="17"/>
        </w:numPr>
        <w:ind w:left="0" w:firstLine="567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экстракция НП из навески, взятой из пробы почвы,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гексаном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;</w:t>
      </w:r>
      <w:r/>
    </w:p>
    <w:p>
      <w:pPr>
        <w:numPr>
          <w:ilvl w:val="0"/>
          <w:numId w:val="17"/>
        </w:numPr>
        <w:ind w:left="0" w:firstLine="567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измерении массовой концентрации НП в очищенном экстракте на анализаторе жидкости «ФЛЮОРАТ-02» с использованием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градуировочной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характеристики, полученной с использованием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градуировочных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растворов;</w:t>
      </w:r>
      <w:r/>
    </w:p>
    <w:p>
      <w:pPr>
        <w:numPr>
          <w:ilvl w:val="0"/>
          <w:numId w:val="17"/>
        </w:numPr>
        <w:ind w:left="0" w:firstLine="567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вычислении массовой доли НП.</w:t>
      </w:r>
      <w:r/>
    </w:p>
    <w:p>
      <w:pPr>
        <w:ind w:firstLine="567"/>
        <w:jc w:val="both"/>
        <w:spacing w:after="0" w:line="360" w:lineRule="auto"/>
        <w:rPr>
          <w:rFonts w:ascii="Times New Roman" w:hAnsi="Times New Roman" w:eastAsia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lang w:eastAsia="ru-RU"/>
        </w:rPr>
        <w:t xml:space="preserve">Методика измерений концентрации нефтепродуктов в воздухе газоанализатором ГИАМ-305 №37.</w:t>
      </w:r>
      <w:r/>
    </w:p>
    <w:p>
      <w:pPr>
        <w:ind w:firstLine="567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Газоанализатор ГИАМ-305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предназначен для контроля суммы предельных углеродов в воздухе рабочей зоны и атмосферном воздухе. Он применяется в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нефте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- и газодобывающих отраслях, складах ГСМ, заправочных станциях, на морских и речных судах,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устанавливается в контролируемой зоне (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ГН 2.1.6.3492-17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). </w:t>
      </w:r>
      <w:r/>
    </w:p>
    <w:p>
      <w:pPr>
        <w:ind w:firstLine="567"/>
        <w:jc w:val="center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2.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Экспериментальная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часть</w:t>
      </w:r>
      <w:r/>
    </w:p>
    <w:p>
      <w:pPr>
        <w:jc w:val="center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2.1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Рез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ультаты определения содержания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нефтепродуктов в пробах воды</w:t>
      </w:r>
      <w:r/>
    </w:p>
    <w:p>
      <w:pPr>
        <w:ind w:firstLine="567"/>
        <w:jc w:val="both"/>
        <w:spacing w:after="0" w:line="360" w:lineRule="auto"/>
        <w:shd w:val="clear" w:color="auto" w:fill="ffffff"/>
        <w:tabs>
          <w:tab w:val="left" w:pos="871" w:leader="none"/>
          <w:tab w:val="right" w:pos="9921" w:leader="none"/>
        </w:tabs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Для проведения анализа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флуориметрическим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методом были отобраны пробы воды в объеме 100 мл (по 2 пробы для параллельных измерений), выделены из них экстракты с помощью гексана, проведены измерения концентрации нефтепр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одуктов в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гексановом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экстракте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 летний и весенний период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Результаты расчетов представлены в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прил.1, табл.1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</w:t>
      </w:r>
      <w:r/>
    </w:p>
    <w:p>
      <w:pPr>
        <w:ind w:firstLine="567"/>
        <w:jc w:val="both"/>
        <w:spacing w:after="0" w:line="360" w:lineRule="auto"/>
        <w:shd w:val="clear" w:color="auto" w:fill="ffffff"/>
        <w:tabs>
          <w:tab w:val="left" w:pos="871" w:leader="none"/>
          <w:tab w:val="right" w:pos="9921" w:leader="none"/>
        </w:tabs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Вывод по результатам расчетов: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</w:t>
      </w:r>
      <w:r/>
    </w:p>
    <w:p>
      <w:pPr>
        <w:pStyle w:val="759"/>
        <w:numPr>
          <w:ilvl w:val="0"/>
          <w:numId w:val="16"/>
        </w:numPr>
        <w:ind w:left="0" w:firstLine="567"/>
        <w:jc w:val="both"/>
        <w:spacing w:after="0" w:line="360" w:lineRule="auto"/>
        <w:shd w:val="clear" w:color="auto" w:fill="ffffff"/>
        <w:tabs>
          <w:tab w:val="left" w:pos="871" w:leader="none"/>
          <w:tab w:val="right" w:pos="9921" w:leader="none"/>
        </w:tabs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концентрация нефтепродуктов в исследуемых образцах поверхностной воды находится в пределах 0,021-0,0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30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мг/дм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, что не превышает нормативный показатель (ПДК=0,05 мг/дм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perscript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) (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Приказ №552, 2016).</w:t>
      </w:r>
      <w:r/>
    </w:p>
    <w:p>
      <w:pPr>
        <w:pStyle w:val="759"/>
        <w:numPr>
          <w:ilvl w:val="0"/>
          <w:numId w:val="16"/>
        </w:numPr>
        <w:ind w:left="0" w:firstLine="567"/>
        <w:jc w:val="both"/>
        <w:spacing w:after="0" w:line="360" w:lineRule="auto"/>
        <w:shd w:val="clear" w:color="auto" w:fill="ffffff"/>
        <w:tabs>
          <w:tab w:val="left" w:pos="871" w:leader="none"/>
          <w:tab w:val="right" w:pos="9921" w:leader="none"/>
        </w:tabs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к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онцентрация нефтепродуктов в образах водопроводно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й питьевой воды составляет 0,008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- 0,012 мг/дм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perscript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с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погрешностью измерения 0,004 мг/дм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perscript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(Приказ №552, 2016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),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что не превышает нормативный показатель (ПДК=0,1 мг/дм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perscript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)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СанПиН 2.1.4.1074-01)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.</w:t>
      </w:r>
      <w:r/>
    </w:p>
    <w:p>
      <w:pPr>
        <w:pStyle w:val="759"/>
        <w:numPr>
          <w:ilvl w:val="0"/>
          <w:numId w:val="16"/>
        </w:numPr>
        <w:ind w:left="0" w:firstLine="567"/>
        <w:jc w:val="both"/>
        <w:spacing w:after="0" w:line="360" w:lineRule="auto"/>
        <w:shd w:val="clear" w:color="auto" w:fill="ffffff"/>
        <w:tabs>
          <w:tab w:val="left" w:pos="871" w:leader="none"/>
          <w:tab w:val="right" w:pos="9921" w:leader="none"/>
        </w:tabs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концентрация нефтепродуктов в образце воды с нагнетательной скважины составила 2 мг/дм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perscript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в летнее время, 2,44 в весенний период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с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погрешностью измерения 0,6 мг/дм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perscript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, что не превышает отраслевой стандарт (ПДК=50 мг/дм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perscript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) (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ОСТ-39-225-88).</w:t>
      </w:r>
      <w:r/>
    </w:p>
    <w:p>
      <w:pPr>
        <w:ind w:firstLine="567"/>
        <w:jc w:val="center"/>
        <w:spacing w:after="0" w:line="360" w:lineRule="auto"/>
        <w:shd w:val="clear" w:color="auto" w:fill="ffffff"/>
        <w:tabs>
          <w:tab w:val="left" w:pos="871" w:leader="none"/>
          <w:tab w:val="right" w:pos="9921" w:leader="none"/>
        </w:tabs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2.2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Рез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ультаты определения содержания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нефтепродуктов в пробах почвы</w:t>
      </w:r>
      <w:r/>
    </w:p>
    <w:p>
      <w:pPr>
        <w:ind w:firstLine="567"/>
        <w:jc w:val="both"/>
        <w:spacing w:after="0" w:line="360" w:lineRule="auto"/>
        <w:shd w:val="clear" w:color="auto" w:fill="ffffff"/>
        <w:tabs>
          <w:tab w:val="left" w:pos="871" w:leader="none"/>
          <w:tab w:val="right" w:pos="9921" w:leader="none"/>
        </w:tabs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Для проведения анализа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флюориметрическим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методом были отобраны аликвотные навески проб почвы, выделены из них экстракты с помощью гексана, проведены измерения содержания нефтепр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оду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ктов в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гексановом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экстракте (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ГН 2.1.6.3492-17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).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Результаты расчетов представлены в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прил.1, табл.2.</w:t>
      </w:r>
      <w:r/>
    </w:p>
    <w:p>
      <w:pPr>
        <w:ind w:hanging="142"/>
        <w:jc w:val="both"/>
        <w:spacing w:after="0" w:line="360" w:lineRule="auto"/>
        <w:shd w:val="clear" w:color="auto" w:fill="ffffff"/>
        <w:tabs>
          <w:tab w:val="left" w:pos="871" w:leader="none"/>
          <w:tab w:val="right" w:pos="9921" w:leader="none"/>
        </w:tabs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Вывод по результатам расчетов: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</w:t>
      </w:r>
      <w:r/>
    </w:p>
    <w:p>
      <w:pPr>
        <w:pStyle w:val="759"/>
        <w:numPr>
          <w:ilvl w:val="0"/>
          <w:numId w:val="18"/>
        </w:numPr>
        <w:ind w:hanging="142"/>
        <w:jc w:val="both"/>
        <w:spacing w:after="0" w:line="360" w:lineRule="auto"/>
        <w:shd w:val="clear" w:color="auto" w:fill="ffffff"/>
        <w:tabs>
          <w:tab w:val="left" w:pos="871" w:leader="none"/>
          <w:tab w:val="right" w:pos="9921" w:leader="none"/>
        </w:tabs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концентрация нефтепродуктов в пробе почвы из лесопарковой зоны на въезде в город составляет 36,2 мг/кг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в летний и весенний период;</w:t>
      </w:r>
      <w:r/>
    </w:p>
    <w:p>
      <w:pPr>
        <w:pStyle w:val="759"/>
        <w:numPr>
          <w:ilvl w:val="0"/>
          <w:numId w:val="18"/>
        </w:numPr>
        <w:ind w:hanging="142"/>
        <w:jc w:val="both"/>
        <w:spacing w:after="0" w:line="360" w:lineRule="auto"/>
        <w:shd w:val="clear" w:color="auto" w:fill="ffffff"/>
        <w:tabs>
          <w:tab w:val="left" w:pos="871" w:leader="none"/>
          <w:tab w:val="right" w:pos="9921" w:leader="none"/>
        </w:tabs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концентрация нефтепродуктов в исследуемых образ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ц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ах почвы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в пределах города составляет 36,8 – 51,2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мг/кг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;</w:t>
      </w:r>
      <w:r/>
    </w:p>
    <w:p>
      <w:pPr>
        <w:pStyle w:val="759"/>
        <w:numPr>
          <w:ilvl w:val="0"/>
          <w:numId w:val="18"/>
        </w:numPr>
        <w:ind w:hanging="142"/>
        <w:jc w:val="both"/>
        <w:spacing w:after="0" w:line="360" w:lineRule="auto"/>
        <w:shd w:val="clear" w:color="auto" w:fill="ffffff"/>
        <w:tabs>
          <w:tab w:val="left" w:pos="871" w:leader="none"/>
          <w:tab w:val="right" w:pos="9921" w:leader="none"/>
        </w:tabs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концентрация нефтепродуктов в образце почвы с месторождения составила 247 мг/кг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в летний период и 250 мг/кг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в весенний период,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с</w:t>
      </w: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п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огрешностью измерения 0,6 мг/кг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(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ПНД Ф 16.1:2.21-98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).</w:t>
      </w:r>
      <w:r/>
    </w:p>
    <w:p>
      <w:pPr>
        <w:ind w:firstLine="567"/>
        <w:jc w:val="both"/>
        <w:spacing w:after="0" w:line="360" w:lineRule="auto"/>
        <w:shd w:val="clear" w:color="auto" w:fill="ffffff"/>
        <w:tabs>
          <w:tab w:val="left" w:pos="871" w:leader="none"/>
          <w:tab w:val="right" w:pos="9921" w:leader="none"/>
        </w:tabs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ind w:firstLine="567"/>
        <w:jc w:val="both"/>
        <w:spacing w:after="0" w:line="360" w:lineRule="auto"/>
        <w:shd w:val="clear" w:color="auto" w:fill="ffffff"/>
        <w:tabs>
          <w:tab w:val="left" w:pos="871" w:leader="none"/>
          <w:tab w:val="right" w:pos="9921" w:leader="none"/>
        </w:tabs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ПДК нефтепродуктов в России официально не установлено. Для оценки загрязненности почвы принята классификация показателей уровня загрязнения по концентрации нефтепродуктов в почве,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согласно которой допустимый уровень загрязнений почвы нефтепродуктами меньше 1000 мг/кг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(</w:t>
      </w:r>
      <w:r>
        <w:rPr>
          <w:rFonts w:ascii="Times New Roman" w:hAnsi="Times New Roman" w:cs="Times New Roman"/>
          <w:sz w:val="24"/>
          <w:szCs w:val="24"/>
        </w:rPr>
        <w:t xml:space="preserve">Чендева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, 2017).</w:t>
      </w:r>
      <w:r/>
    </w:p>
    <w:p>
      <w:pPr>
        <w:ind w:firstLine="567"/>
        <w:jc w:val="center"/>
        <w:spacing w:after="0" w:line="360" w:lineRule="auto"/>
        <w:shd w:val="clear" w:color="auto" w:fill="ffffff"/>
        <w:tabs>
          <w:tab w:val="left" w:pos="871" w:leader="none"/>
          <w:tab w:val="left" w:pos="2715" w:leader="none"/>
          <w:tab w:val="center" w:pos="5457" w:leader="none"/>
          <w:tab w:val="right" w:pos="9921" w:leader="none"/>
        </w:tabs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2.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Резу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льтат проведенного исследования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газоанализаторе ГИАМ-305</w:t>
      </w:r>
      <w:r/>
    </w:p>
    <w:p>
      <w:pPr>
        <w:ind w:firstLine="567"/>
        <w:jc w:val="both"/>
        <w:spacing w:after="0" w:line="360" w:lineRule="auto"/>
        <w:shd w:val="clear" w:color="auto" w:fill="ffffff"/>
        <w:tabs>
          <w:tab w:val="left" w:pos="871" w:leader="none"/>
          <w:tab w:val="right" w:pos="9921" w:leader="none"/>
        </w:tabs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Проведен анализ содержания нефтепродуктов в пробах воздуха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лесопарковой зоне на въезде в город, в пределах города (три точки), на территории Восточно-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Таркосалинского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месторождения: среднее содержание нефтепродуктов составило 114,0±11,4 мг/м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  <w:lang w:eastAsia="ru-RU"/>
        </w:rPr>
        <w:t xml:space="preserve">3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(погрешность 10 %, согласно методике анализа), что не превышает ПДК равное 200 мг/м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  <w:lang w:eastAsia="ru-RU"/>
        </w:rPr>
        <w:t xml:space="preserve">3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(</w:t>
      </w:r>
      <w:r>
        <w:rPr>
          <w:rFonts w:ascii="Times New Roman" w:hAnsi="Times New Roman" w:cs="Times New Roman"/>
          <w:bCs/>
          <w:sz w:val="24"/>
          <w:szCs w:val="24"/>
        </w:rPr>
        <w:t xml:space="preserve">ГН 2.1.6.3492-17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).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 пробе воздуха обнаружены предельные алифатические углеводороды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. </w:t>
      </w:r>
      <w:r/>
    </w:p>
    <w:p>
      <w:pPr>
        <w:ind w:firstLine="567"/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Выводы по результатам работы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: </w:t>
      </w:r>
      <w:r/>
    </w:p>
    <w:p>
      <w:pPr>
        <w:pStyle w:val="759"/>
        <w:numPr>
          <w:ilvl w:val="0"/>
          <w:numId w:val="25"/>
        </w:numPr>
        <w:ind w:left="0" w:firstLine="567"/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было выявлено, что нефть является одним из наиболее широко применяемых человеком ресурсов - используется для производства масел, топлива, синтетических каучуков, растворителей и даже лекарственных препаратов;</w:t>
      </w:r>
      <w:r/>
    </w:p>
    <w:p>
      <w:pPr>
        <w:pStyle w:val="759"/>
        <w:numPr>
          <w:ilvl w:val="0"/>
          <w:numId w:val="25"/>
        </w:numPr>
        <w:ind w:left="0" w:firstLine="567"/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проведенные исследования проб воды по показателю «содержание нефтепродуктов» показывают, что питьевая вода в г. Тарко-Сале соответст</w:t>
      </w:r>
      <w:r>
        <w:rPr>
          <w:rFonts w:ascii="Times New Roman" w:hAnsi="Times New Roman" w:cs="Times New Roman"/>
          <w:sz w:val="24"/>
          <w:szCs w:val="24"/>
        </w:rPr>
        <w:t xml:space="preserve">вует нормативным показателям </w:t>
      </w:r>
      <w:r>
        <w:rPr>
          <w:rFonts w:ascii="Times New Roman" w:hAnsi="Times New Roman" w:cs="Times New Roman"/>
          <w:sz w:val="24"/>
          <w:szCs w:val="24"/>
        </w:rPr>
        <w:t xml:space="preserve">(ГОСТ 2874 – 82,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СанПиН 2.1.4.1074-01);</w:t>
      </w:r>
      <w:r/>
    </w:p>
    <w:p>
      <w:pPr>
        <w:pStyle w:val="759"/>
        <w:numPr>
          <w:ilvl w:val="0"/>
          <w:numId w:val="25"/>
        </w:numPr>
        <w:ind w:left="0" w:firstLine="567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исследования проб почвы и воздуха по показателю «содержание нефтепродуктов» показывают, что данные природные объекты в окрестностях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Тарко-Сале, включая Восточно-</w:t>
      </w:r>
      <w:r>
        <w:rPr>
          <w:rFonts w:ascii="Times New Roman" w:hAnsi="Times New Roman" w:cs="Times New Roman"/>
          <w:sz w:val="24"/>
          <w:szCs w:val="24"/>
        </w:rPr>
        <w:t xml:space="preserve">Таркосалинское</w:t>
      </w:r>
      <w:r>
        <w:rPr>
          <w:rFonts w:ascii="Times New Roman" w:hAnsi="Times New Roman" w:cs="Times New Roman"/>
          <w:sz w:val="24"/>
          <w:szCs w:val="24"/>
        </w:rPr>
        <w:t xml:space="preserve"> месторождение соответствует но</w:t>
      </w:r>
      <w:r>
        <w:rPr>
          <w:rFonts w:ascii="Times New Roman" w:hAnsi="Times New Roman" w:cs="Times New Roman"/>
          <w:sz w:val="24"/>
          <w:szCs w:val="24"/>
        </w:rPr>
        <w:t xml:space="preserve">рмативным показателям согласно (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СанПиН 2.1.7.1287-03</w:t>
      </w:r>
      <w:r>
        <w:rPr>
          <w:rFonts w:ascii="Times New Roman" w:hAnsi="Times New Roman" w:cs="Times New Roman"/>
          <w:sz w:val="24"/>
          <w:szCs w:val="24"/>
        </w:rPr>
        <w:t xml:space="preserve">, ПНД Ф 16.1:2.21-98</w:t>
      </w:r>
      <w:r>
        <w:rPr>
          <w:rFonts w:ascii="Times New Roman" w:hAnsi="Times New Roman" w:cs="Times New Roman"/>
          <w:sz w:val="24"/>
          <w:szCs w:val="24"/>
        </w:rPr>
        <w:t xml:space="preserve">);</w:t>
      </w:r>
      <w:r/>
    </w:p>
    <w:p>
      <w:pPr>
        <w:pStyle w:val="759"/>
        <w:numPr>
          <w:ilvl w:val="0"/>
          <w:numId w:val="25"/>
        </w:numPr>
        <w:ind w:left="0" w:firstLine="567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дальнейшего столь бережного отношения к окружающей среде со стороны нефтегазовых предприятий города выявлено, что ухудшение ситуации возможно лишь в аварийной ситуации;</w:t>
      </w:r>
      <w:r/>
    </w:p>
    <w:p>
      <w:pPr>
        <w:pStyle w:val="759"/>
        <w:numPr>
          <w:ilvl w:val="0"/>
          <w:numId w:val="25"/>
        </w:numPr>
        <w:ind w:left="0" w:firstLine="567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рекомендуется проведение мониторинговых наблюдений не реже одного раза в полугодие.</w:t>
      </w:r>
      <w:r/>
    </w:p>
    <w:p>
      <w:pPr>
        <w:jc w:val="center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 w:clear="all"/>
      </w:r>
      <w:r/>
    </w:p>
    <w:p>
      <w:pPr>
        <w:jc w:val="center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используемых источников и литературы</w:t>
      </w:r>
      <w:r/>
    </w:p>
    <w:p>
      <w:pPr>
        <w:pStyle w:val="757"/>
        <w:numPr>
          <w:ilvl w:val="0"/>
          <w:numId w:val="10"/>
        </w:numPr>
        <w:jc w:val="both"/>
        <w:spacing w:before="0" w:beforeAutospacing="0" w:after="0" w:afterAutospacing="0" w:line="360" w:lineRule="auto"/>
      </w:pPr>
      <w:r>
        <w:t xml:space="preserve">Енукова</w:t>
      </w:r>
      <w:r>
        <w:t xml:space="preserve"> А.А. </w:t>
      </w:r>
      <w:r>
        <w:t xml:space="preserve">Ископаемые </w:t>
      </w:r>
      <w:r>
        <w:t xml:space="preserve">ЯНАО</w:t>
      </w:r>
      <w:r>
        <w:t xml:space="preserve">. </w:t>
      </w:r>
      <w:r>
        <w:t xml:space="preserve">Недродобывание</w:t>
      </w:r>
      <w:r>
        <w:t xml:space="preserve"> Ямало-Н</w:t>
      </w:r>
      <w:r>
        <w:t xml:space="preserve">енецкого автономного округа. - </w:t>
      </w:r>
      <w:r>
        <w:rPr>
          <w:lang w:val="en-US"/>
        </w:rPr>
        <w:t xml:space="preserve">URL</w:t>
      </w:r>
      <w:r>
        <w:t xml:space="preserve">: </w:t>
      </w:r>
      <w:hyperlink r:id="rId13" w:tooltip="https://xn--90aukhw.xn--p1ai/iskopaemye-yanao-nedrodobyvanie-yamalo-neneckogo-avtonomnogo-okruga/" w:history="1">
        <w:r>
          <w:rPr>
            <w:rStyle w:val="762"/>
          </w:rPr>
          <w:t xml:space="preserve">https://xn--90aukhw.xn--p1ai/iskopaemye-yanao-nedrodobyvanie-yamalo-neneckogo-avtonomnogo-okruga/</w:t>
        </w:r>
      </w:hyperlink>
      <w:r>
        <w:t xml:space="preserve"> (дата обращения 13.09.2022).</w:t>
      </w:r>
      <w:r/>
    </w:p>
    <w:p>
      <w:pPr>
        <w:pStyle w:val="757"/>
        <w:numPr>
          <w:ilvl w:val="0"/>
          <w:numId w:val="10"/>
        </w:numPr>
        <w:jc w:val="both"/>
        <w:spacing w:before="0" w:beforeAutospacing="0" w:after="0" w:afterAutospacing="0" w:line="360" w:lineRule="auto"/>
      </w:pPr>
      <w:r>
        <w:t xml:space="preserve">Вода питьевая. Гигиенические требования и контроль за качеством: ГОСТ 2874 – 82. –  М., Издательство стандартов, 1983. –  87 с.</w:t>
      </w:r>
      <w:r/>
    </w:p>
    <w:p>
      <w:pPr>
        <w:pStyle w:val="759"/>
        <w:numPr>
          <w:ilvl w:val="0"/>
          <w:numId w:val="10"/>
        </w:num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Вода. Общие требования к отбору проб: ГОСТ 51592– 2000. – М., Издательство стандартов, 2000. –  31 с. </w:t>
      </w:r>
      <w:r/>
    </w:p>
    <w:p>
      <w:pPr>
        <w:pStyle w:val="759"/>
        <w:numPr>
          <w:ilvl w:val="0"/>
          <w:numId w:val="10"/>
        </w:num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указания по отбору проб для анализа сточных вод. ПНД Ф 12.15. 1-2008. – М., 2002. – 13 с.</w:t>
      </w:r>
      <w:r/>
    </w:p>
    <w:p>
      <w:pPr>
        <w:pStyle w:val="759"/>
        <w:numPr>
          <w:ilvl w:val="0"/>
          <w:numId w:val="10"/>
        </w:numPr>
        <w:jc w:val="both"/>
        <w:spacing w:before="375" w:after="450" w:line="36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СанПиН 2.1.4.1074-01 Питьевая вода. Гигиенические требования к качеству воды централизованных систем питьевого водоснабжения. </w:t>
      </w:r>
      <w:r/>
    </w:p>
    <w:p>
      <w:pPr>
        <w:pStyle w:val="759"/>
        <w:numPr>
          <w:ilvl w:val="0"/>
          <w:numId w:val="10"/>
        </w:numPr>
        <w:jc w:val="both"/>
        <w:spacing w:before="375" w:after="450" w:line="36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ОСТ-39-225-88. Вода для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заводнения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нефтяных пластов. Требования к качеству.</w:t>
      </w:r>
      <w:r/>
    </w:p>
    <w:p>
      <w:pPr>
        <w:pStyle w:val="759"/>
        <w:numPr>
          <w:ilvl w:val="0"/>
          <w:numId w:val="10"/>
        </w:numPr>
        <w:jc w:val="both"/>
        <w:spacing w:before="375" w:after="450" w:line="36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Чендева</w:t>
      </w:r>
      <w:r>
        <w:rPr>
          <w:rFonts w:ascii="Times New Roman" w:hAnsi="Times New Roman" w:cs="Times New Roman"/>
          <w:sz w:val="24"/>
          <w:szCs w:val="24"/>
        </w:rPr>
        <w:t xml:space="preserve"> А.А. </w:t>
      </w:r>
      <w:r>
        <w:rPr>
          <w:rFonts w:ascii="Times New Roman" w:hAnsi="Times New Roman" w:cs="Times New Roman"/>
          <w:sz w:val="24"/>
          <w:szCs w:val="24"/>
        </w:rPr>
        <w:t xml:space="preserve">Загрязнение почв нефтепродуктами на территории городской застройки.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URL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tooltip="https://ceiis.mos.ru/presscenter/news/detail/6933754.html?ysclid=lpu74i95fx601910358" w:history="1">
        <w:r>
          <w:rPr>
            <w:rStyle w:val="762"/>
            <w:rFonts w:ascii="Times New Roman" w:hAnsi="Times New Roman" w:cs="Times New Roman"/>
            <w:sz w:val="24"/>
            <w:szCs w:val="24"/>
          </w:rPr>
          <w:t xml:space="preserve">https://ceiis.mos.ru/presscenter/news/detail/6933754.html?ysclid=lpu74i95fx601910358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(дата обращения25.10.2023).</w:t>
      </w:r>
      <w:r/>
    </w:p>
    <w:p>
      <w:pPr>
        <w:pStyle w:val="759"/>
        <w:numPr>
          <w:ilvl w:val="0"/>
          <w:numId w:val="10"/>
        </w:numPr>
        <w:spacing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СанПиН 2.1.7.1287-03 Санитарно-эпидемиологические требования к качеству почвы.</w:t>
      </w:r>
      <w:r/>
    </w:p>
    <w:p>
      <w:pPr>
        <w:pStyle w:val="759"/>
        <w:numPr>
          <w:ilvl w:val="0"/>
          <w:numId w:val="10"/>
        </w:numPr>
        <w:jc w:val="both"/>
        <w:spacing w:before="375" w:after="450" w:line="36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ПНД Ф 16.1:2.21-98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Количественный химический анализ почв.</w:t>
      </w:r>
      <w:r/>
    </w:p>
    <w:p>
      <w:pPr>
        <w:pStyle w:val="759"/>
        <w:numPr>
          <w:ilvl w:val="0"/>
          <w:numId w:val="10"/>
        </w:numPr>
        <w:jc w:val="both"/>
        <w:spacing w:before="375" w:after="450" w:line="36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ПНД Ф 14.1:2:4.128-98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Количественный химический анализ вод.</w:t>
      </w:r>
      <w:r/>
    </w:p>
    <w:p>
      <w:pPr>
        <w:pStyle w:val="759"/>
        <w:numPr>
          <w:ilvl w:val="0"/>
          <w:numId w:val="10"/>
        </w:numPr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Приказ №552 от 13 декабря 2016 года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«</w:t>
      </w:r>
      <w:r>
        <w:rPr>
          <w:rFonts w:ascii="Times New Roman" w:hAnsi="Times New Roman" w:cs="Times New Roman"/>
          <w:bCs/>
          <w:spacing w:val="2"/>
          <w:sz w:val="24"/>
          <w:szCs w:val="24"/>
        </w:rPr>
        <w:t xml:space="preserve">Об утверждении нормативов качества воды водных объектов рыбохозяйственного значения, в том числе нормативов предельно допустимых концентраций вредных веществ в водах водных объектов рыбохозяйственного значения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".</w:t>
      </w:r>
      <w:r/>
    </w:p>
    <w:p>
      <w:pPr>
        <w:pStyle w:val="757"/>
        <w:numPr>
          <w:ilvl w:val="0"/>
          <w:numId w:val="10"/>
        </w:numPr>
        <w:jc w:val="both"/>
        <w:spacing w:before="0" w:beforeAutospacing="0" w:after="0" w:afterAutospacing="0" w:line="360" w:lineRule="auto"/>
        <w:shd w:val="clear" w:color="auto" w:fill="ffffff"/>
        <w:tabs>
          <w:tab w:val="left" w:pos="871" w:leader="none"/>
          <w:tab w:val="right" w:pos="9921" w:leader="none"/>
        </w:tabs>
        <w:rPr>
          <w:bCs/>
        </w:rPr>
      </w:pPr>
      <w:r>
        <w:rPr>
          <w:bCs/>
        </w:rPr>
        <w:t xml:space="preserve"> </w:t>
      </w:r>
      <w:r>
        <w:rPr>
          <w:bCs/>
        </w:rPr>
        <w:t xml:space="preserve">ГН 2.1.6.3492-17 «ПДК</w:t>
      </w:r>
      <w:r>
        <w:rPr>
          <w:bCs/>
        </w:rPr>
        <w:t xml:space="preserve"> загрязняющих веществ в атмосферном воздухе город</w:t>
      </w:r>
      <w:r>
        <w:rPr>
          <w:bCs/>
        </w:rPr>
        <w:t xml:space="preserve">ских и сельских поселений».</w:t>
      </w:r>
      <w:r/>
    </w:p>
    <w:p>
      <w:pPr>
        <w:pStyle w:val="757"/>
        <w:ind w:left="1423"/>
        <w:jc w:val="both"/>
        <w:spacing w:before="0" w:beforeAutospacing="0" w:after="0" w:afterAutospacing="0" w:line="360" w:lineRule="auto"/>
        <w:shd w:val="clear" w:color="auto" w:fill="ffffff"/>
        <w:tabs>
          <w:tab w:val="left" w:pos="871" w:leader="none"/>
          <w:tab w:val="right" w:pos="9921" w:leader="none"/>
        </w:tabs>
        <w:rPr>
          <w:bCs/>
        </w:rPr>
      </w:pPr>
      <w:r>
        <w:rPr>
          <w:bCs/>
        </w:rPr>
      </w:r>
      <w:r/>
    </w:p>
    <w:p>
      <w:pPr>
        <w:ind w:firstLine="70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nextPage"/>
          <w:pgSz w:w="11906" w:h="16838" w:orient="portrait"/>
          <w:pgMar w:top="851" w:right="851" w:bottom="1134" w:left="1701" w:header="709" w:footer="709" w:gutter="0"/>
          <w:pgNumType w:start="3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right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Приложение 1</w:t>
      </w:r>
      <w:r/>
    </w:p>
    <w:p>
      <w:pPr>
        <w:pStyle w:val="757"/>
        <w:ind w:firstLine="709"/>
        <w:spacing w:before="0" w:beforeAutospacing="0" w:after="0" w:afterAutospacing="0" w:line="360" w:lineRule="auto"/>
        <w:rPr>
          <w:b/>
        </w:rPr>
      </w:pPr>
      <w:r>
        <w:rPr>
          <w:b/>
        </w:rPr>
      </w:r>
      <w:r/>
    </w:p>
    <w:p>
      <w:pPr>
        <w:pStyle w:val="757"/>
        <w:ind w:firstLine="709"/>
        <w:jc w:val="center"/>
        <w:spacing w:before="0" w:beforeAutospacing="0" w:after="0" w:afterAutospacing="0" w:line="360" w:lineRule="auto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821502" cy="2343200"/>
                <wp:effectExtent l="0" t="0" r="7620" b="0"/>
                <wp:docPr id="1" name="Рисунок 1" descr="https://cf2.ppt-online.org/files2/slide/r/RuezhHgVCPGTUkB5iL4pc6AWKd2jxytN8aYbnQDmX/slide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cf2.ppt-online.org/files2/slide/r/RuezhHgVCPGTUkB5iL4pc6AWKd2jxytN8aYbnQDmX/slide-4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5"/>
                        <a:srcRect l="6680" t="18230" r="2828" b="7674"/>
                        <a:stretch/>
                      </pic:blipFill>
                      <pic:spPr bwMode="auto">
                        <a:xfrm>
                          <a:off x="0" y="0"/>
                          <a:ext cx="3824656" cy="2345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00.9pt;height:184.5pt;mso-wrap-distance-left:0.0pt;mso-wrap-distance-top:0.0pt;mso-wrap-distance-right:0.0pt;mso-wrap-distance-bottom:0.0pt;" stroked="f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ind w:firstLine="709"/>
        <w:jc w:val="center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  <w:t xml:space="preserve">Рис. 1 Химический состав нефти</w:t>
      </w:r>
      <w:r/>
    </w:p>
    <w:p>
      <w:pPr>
        <w:ind w:firstLine="709"/>
        <w:jc w:val="center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</w:r>
      <w:r/>
    </w:p>
    <w:p>
      <w:pPr>
        <w:pStyle w:val="757"/>
        <w:ind w:firstLine="709"/>
        <w:jc w:val="right"/>
        <w:spacing w:before="0" w:beforeAutospacing="0" w:after="0" w:afterAutospacing="0" w:line="360" w:lineRule="auto"/>
        <w:rPr>
          <w:bCs/>
        </w:rPr>
      </w:pPr>
      <w:r>
        <w:t xml:space="preserve">Таблица 1. </w:t>
      </w:r>
      <w:r>
        <w:rPr>
          <w:bCs/>
        </w:rPr>
        <w:t xml:space="preserve">Обработка результатов измерения для проб воды</w:t>
      </w:r>
      <w:r/>
    </w:p>
    <w:tbl>
      <w:tblPr>
        <w:tblStyle w:val="758"/>
        <w:tblW w:w="9351" w:type="dxa"/>
        <w:jc w:val="center"/>
        <w:tblLook w:val="04A0" w:firstRow="1" w:lastRow="0" w:firstColumn="1" w:lastColumn="0" w:noHBand="0" w:noVBand="1"/>
      </w:tblPr>
      <w:tblGrid>
        <w:gridCol w:w="594"/>
        <w:gridCol w:w="2207"/>
        <w:gridCol w:w="2309"/>
        <w:gridCol w:w="2119"/>
        <w:gridCol w:w="2122"/>
      </w:tblGrid>
      <w:tr>
        <w:trPr>
          <w:jc w:val="center"/>
          <w:trHeight w:val="255"/>
        </w:trPr>
        <w:tc>
          <w:tcPr>
            <w:tcW w:w="594" w:type="dxa"/>
            <w:textDirection w:val="lrTb"/>
            <w:noWrap/>
          </w:tcPr>
          <w:p>
            <w:pPr>
              <w:jc w:val="center"/>
              <w:spacing w:line="36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№</w:t>
            </w:r>
            <w:r/>
          </w:p>
          <w:p>
            <w:pPr>
              <w:jc w:val="center"/>
              <w:spacing w:line="36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  <w:t xml:space="preserve">/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п</w:t>
            </w:r>
            <w:r/>
          </w:p>
        </w:tc>
        <w:tc>
          <w:tcPr>
            <w:tcW w:w="2207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Наименование точки отбора пробы</w:t>
            </w:r>
            <w:r/>
          </w:p>
        </w:tc>
        <w:tc>
          <w:tcPr>
            <w:tcW w:w="2309" w:type="dxa"/>
            <w:textDirection w:val="lrTb"/>
            <w:noWrap/>
          </w:tcPr>
          <w:p>
            <w:pPr>
              <w:jc w:val="center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Концентрация нефтепродуктов в экстракте, мг/дм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3</w:t>
            </w:r>
            <w:r/>
          </w:p>
        </w:tc>
        <w:tc>
          <w:tcPr>
            <w:tcW w:w="211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Концентрация нефтепродуктов в воде, мг/дм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3</w:t>
            </w:r>
            <w:r/>
          </w:p>
          <w:p>
            <w:pPr>
              <w:jc w:val="center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(лето)</w:t>
            </w:r>
            <w:r/>
          </w:p>
        </w:tc>
        <w:tc>
          <w:tcPr>
            <w:tcW w:w="2122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Концентрация нефтепродуктов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воде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(к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онтрольное измерение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-весной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)</w:t>
            </w:r>
            <w:r/>
          </w:p>
        </w:tc>
      </w:tr>
      <w:tr>
        <w:trPr>
          <w:jc w:val="center"/>
          <w:trHeight w:val="255"/>
        </w:trPr>
        <w:tc>
          <w:tcPr>
            <w:tcW w:w="594" w:type="dxa"/>
            <w:textDirection w:val="lrTb"/>
            <w:noWrap/>
          </w:tcPr>
          <w:p>
            <w:pPr>
              <w:jc w:val="center"/>
              <w:spacing w:line="36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2207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Поверхностная вода р.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Пяку-Пур</w:t>
            </w:r>
            <w:r/>
          </w:p>
        </w:tc>
        <w:tc>
          <w:tcPr>
            <w:tcW w:w="2309" w:type="dxa"/>
            <w:textDirection w:val="lrTb"/>
            <w:noWrap/>
          </w:tcPr>
          <w:p>
            <w:pPr>
              <w:jc w:val="center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0,21</w:t>
            </w:r>
            <w:r/>
          </w:p>
        </w:tc>
        <w:tc>
          <w:tcPr>
            <w:tcW w:w="2119" w:type="dxa"/>
            <w:textDirection w:val="lrTb"/>
            <w:noWrap w:val="false"/>
          </w:tcPr>
          <w:p>
            <w:pPr>
              <w:ind w:firstLine="709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0,021</w:t>
            </w:r>
            <w:r/>
          </w:p>
        </w:tc>
        <w:tc>
          <w:tcPr>
            <w:tcW w:w="2122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0,0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27</w:t>
            </w:r>
            <w:r/>
          </w:p>
        </w:tc>
      </w:tr>
      <w:tr>
        <w:trPr>
          <w:jc w:val="center"/>
          <w:trHeight w:val="255"/>
        </w:trPr>
        <w:tc>
          <w:tcPr>
            <w:tcW w:w="594" w:type="dxa"/>
            <w:textDirection w:val="lrTb"/>
            <w:noWrap/>
          </w:tcPr>
          <w:p>
            <w:pPr>
              <w:jc w:val="center"/>
              <w:spacing w:line="36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2207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Водопроводная питьевая вода МБОУ ДО «ЦЕН»</w:t>
            </w:r>
            <w:r/>
          </w:p>
        </w:tc>
        <w:tc>
          <w:tcPr>
            <w:tcW w:w="2309" w:type="dxa"/>
            <w:textDirection w:val="lrTb"/>
            <w:noWrap/>
          </w:tcPr>
          <w:p>
            <w:pPr>
              <w:jc w:val="center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0,106</w:t>
            </w:r>
            <w:r/>
          </w:p>
        </w:tc>
        <w:tc>
          <w:tcPr>
            <w:tcW w:w="2119" w:type="dxa"/>
            <w:textDirection w:val="lrTb"/>
            <w:noWrap w:val="false"/>
          </w:tcPr>
          <w:p>
            <w:pPr>
              <w:ind w:firstLine="709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0,0106</w:t>
            </w:r>
            <w:r/>
          </w:p>
        </w:tc>
        <w:tc>
          <w:tcPr>
            <w:tcW w:w="2122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0,010</w:t>
            </w:r>
            <w:r/>
          </w:p>
        </w:tc>
      </w:tr>
      <w:tr>
        <w:trPr>
          <w:jc w:val="center"/>
          <w:trHeight w:val="255"/>
        </w:trPr>
        <w:tc>
          <w:tcPr>
            <w:tcW w:w="594" w:type="dxa"/>
            <w:textDirection w:val="lrTb"/>
            <w:noWrap/>
          </w:tcPr>
          <w:p>
            <w:pPr>
              <w:jc w:val="center"/>
              <w:spacing w:line="36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W w:w="2207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Водопроводная питьевая вода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мкр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. Комсомольский</w:t>
            </w:r>
            <w:r/>
          </w:p>
        </w:tc>
        <w:tc>
          <w:tcPr>
            <w:tcW w:w="2309" w:type="dxa"/>
            <w:textDirection w:val="lrTb"/>
            <w:noWrap/>
          </w:tcPr>
          <w:p>
            <w:pPr>
              <w:jc w:val="center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0,12</w:t>
            </w:r>
            <w:r/>
          </w:p>
        </w:tc>
        <w:tc>
          <w:tcPr>
            <w:tcW w:w="2119" w:type="dxa"/>
            <w:textDirection w:val="lrTb"/>
            <w:noWrap w:val="false"/>
          </w:tcPr>
          <w:p>
            <w:pPr>
              <w:ind w:firstLine="709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0,012</w:t>
            </w:r>
            <w:r/>
          </w:p>
        </w:tc>
        <w:tc>
          <w:tcPr>
            <w:tcW w:w="2122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0,012</w:t>
            </w:r>
            <w:r/>
          </w:p>
        </w:tc>
      </w:tr>
      <w:tr>
        <w:trPr>
          <w:jc w:val="center"/>
          <w:trHeight w:val="255"/>
        </w:trPr>
        <w:tc>
          <w:tcPr>
            <w:tcW w:w="594" w:type="dxa"/>
            <w:textDirection w:val="lrTb"/>
            <w:noWrap/>
          </w:tcPr>
          <w:p>
            <w:pPr>
              <w:jc w:val="center"/>
              <w:spacing w:line="36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W w:w="2207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Водопроводная питьевая вода ул. Солнечная</w:t>
            </w:r>
            <w:r/>
          </w:p>
        </w:tc>
        <w:tc>
          <w:tcPr>
            <w:tcW w:w="2309" w:type="dxa"/>
            <w:textDirection w:val="lrTb"/>
            <w:noWrap/>
          </w:tcPr>
          <w:p>
            <w:pPr>
              <w:jc w:val="center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0,09</w:t>
            </w:r>
            <w:r/>
          </w:p>
        </w:tc>
        <w:tc>
          <w:tcPr>
            <w:tcW w:w="2119" w:type="dxa"/>
            <w:textDirection w:val="lrTb"/>
            <w:noWrap w:val="false"/>
          </w:tcPr>
          <w:p>
            <w:pPr>
              <w:ind w:firstLine="709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0,009</w:t>
            </w:r>
            <w:r/>
          </w:p>
        </w:tc>
        <w:tc>
          <w:tcPr>
            <w:tcW w:w="2122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0,008</w:t>
            </w:r>
            <w:r/>
          </w:p>
        </w:tc>
      </w:tr>
      <w:tr>
        <w:trPr>
          <w:jc w:val="center"/>
          <w:trHeight w:val="255"/>
        </w:trPr>
        <w:tc>
          <w:tcPr>
            <w:tcW w:w="594" w:type="dxa"/>
            <w:textDirection w:val="lrTb"/>
            <w:noWrap/>
          </w:tcPr>
          <w:p>
            <w:pPr>
              <w:jc w:val="center"/>
              <w:spacing w:line="36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5.</w:t>
            </w:r>
            <w:r/>
          </w:p>
        </w:tc>
        <w:tc>
          <w:tcPr>
            <w:tcW w:w="2207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Поверхностная вода вблизи месторождения</w:t>
            </w:r>
            <w:r/>
          </w:p>
        </w:tc>
        <w:tc>
          <w:tcPr>
            <w:tcW w:w="2309" w:type="dxa"/>
            <w:textDirection w:val="lrTb"/>
            <w:noWrap/>
          </w:tcPr>
          <w:p>
            <w:pPr>
              <w:jc w:val="center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0,260</w:t>
            </w:r>
            <w:r/>
          </w:p>
        </w:tc>
        <w:tc>
          <w:tcPr>
            <w:tcW w:w="2119" w:type="dxa"/>
            <w:textDirection w:val="lrTb"/>
            <w:noWrap w:val="false"/>
          </w:tcPr>
          <w:p>
            <w:pPr>
              <w:ind w:firstLine="709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0,026</w:t>
            </w:r>
            <w:r/>
          </w:p>
        </w:tc>
        <w:tc>
          <w:tcPr>
            <w:tcW w:w="2122" w:type="dxa"/>
            <w:textDirection w:val="lrTb"/>
            <w:noWrap w:val="false"/>
          </w:tcPr>
          <w:p>
            <w:pPr>
              <w:ind w:firstLine="709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0,030</w:t>
            </w:r>
            <w:r/>
          </w:p>
        </w:tc>
      </w:tr>
      <w:tr>
        <w:trPr>
          <w:jc w:val="center"/>
          <w:trHeight w:val="255"/>
        </w:trPr>
        <w:tc>
          <w:tcPr>
            <w:tcW w:w="594" w:type="dxa"/>
            <w:textDirection w:val="lrTb"/>
            <w:noWrap/>
          </w:tcPr>
          <w:p>
            <w:pPr>
              <w:jc w:val="center"/>
              <w:spacing w:line="36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6.</w:t>
            </w:r>
            <w:r/>
          </w:p>
        </w:tc>
        <w:tc>
          <w:tcPr>
            <w:tcW w:w="2207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Вода с нагнетательной скважины месторождения</w:t>
            </w:r>
            <w:r/>
          </w:p>
        </w:tc>
        <w:tc>
          <w:tcPr>
            <w:tcW w:w="2309" w:type="dxa"/>
            <w:textDirection w:val="lrTb"/>
            <w:noWrap/>
          </w:tcPr>
          <w:p>
            <w:pPr>
              <w:ind w:firstLine="709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20,04</w:t>
            </w:r>
            <w:r/>
          </w:p>
        </w:tc>
        <w:tc>
          <w:tcPr>
            <w:tcW w:w="211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2122" w:type="dxa"/>
            <w:textDirection w:val="lrTb"/>
            <w:noWrap w:val="false"/>
          </w:tcPr>
          <w:p>
            <w:pPr>
              <w:ind w:firstLine="709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2,44</w:t>
            </w:r>
            <w:r/>
          </w:p>
        </w:tc>
      </w:tr>
    </w:tbl>
    <w:p>
      <w:pPr>
        <w:pStyle w:val="757"/>
        <w:ind w:firstLine="709"/>
        <w:spacing w:before="0" w:beforeAutospacing="0" w:after="0" w:afterAutospacing="0" w:line="360" w:lineRule="auto"/>
        <w:shd w:val="clear" w:color="auto" w:fill="ffffff"/>
        <w:rPr>
          <w:bCs/>
        </w:rPr>
      </w:pPr>
      <w:r>
        <w:rPr>
          <w:bCs/>
        </w:rPr>
      </w:r>
      <w:r/>
    </w:p>
    <w:p>
      <w:pPr>
        <w:jc w:val="righ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Таблица 2. Обработка результатов измерения в пробах </w:t>
      </w:r>
      <w:r>
        <w:rPr>
          <w:rFonts w:ascii="Times New Roman" w:hAnsi="Times New Roman" w:cs="Times New Roman"/>
          <w:sz w:val="24"/>
          <w:szCs w:val="24"/>
        </w:rPr>
        <w:t xml:space="preserve">почвы </w:t>
      </w:r>
      <w:r/>
    </w:p>
    <w:tbl>
      <w:tblPr>
        <w:tblStyle w:val="758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80"/>
        <w:gridCol w:w="1967"/>
        <w:gridCol w:w="1843"/>
        <w:gridCol w:w="1607"/>
        <w:gridCol w:w="1795"/>
        <w:gridCol w:w="1701"/>
      </w:tblGrid>
      <w:tr>
        <w:trPr>
          <w:jc w:val="center"/>
          <w:trHeight w:val="255"/>
        </w:trPr>
        <w:tc>
          <w:tcPr>
            <w:tcW w:w="580" w:type="dxa"/>
            <w:textDirection w:val="lrTb"/>
            <w:noWrap/>
          </w:tcPr>
          <w:p>
            <w:pPr>
              <w:ind w:right="-15"/>
              <w:jc w:val="center"/>
              <w:spacing w:line="36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№</w:t>
            </w:r>
            <w:r/>
          </w:p>
          <w:p>
            <w:pPr>
              <w:ind w:right="-15"/>
              <w:jc w:val="center"/>
              <w:spacing w:line="36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  <w:t xml:space="preserve">/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п</w:t>
            </w:r>
            <w:r/>
          </w:p>
        </w:tc>
        <w:tc>
          <w:tcPr>
            <w:tcW w:w="196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Наименование точки отбора пробы</w:t>
            </w:r>
            <w:r/>
          </w:p>
        </w:tc>
        <w:tc>
          <w:tcPr>
            <w:tcW w:w="1843" w:type="dxa"/>
            <w:textDirection w:val="lrTb"/>
            <w:noWrap/>
          </w:tcPr>
          <w:p>
            <w:pPr>
              <w:jc w:val="center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Концентрация нефтепродуктов в экстракте, мг/кг</w:t>
            </w:r>
            <w:r/>
          </w:p>
        </w:tc>
        <w:tc>
          <w:tcPr>
            <w:tcW w:w="160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Масса пробы взятой для анализа, г</w:t>
            </w:r>
            <w:r/>
          </w:p>
        </w:tc>
        <w:tc>
          <w:tcPr>
            <w:tcW w:w="179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Концентрация нефтепродуктов в почве, мг/кг</w:t>
            </w:r>
            <w:r/>
          </w:p>
          <w:p>
            <w:pPr>
              <w:jc w:val="center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(лето)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Концентрация нефтепродуктов в почве (контрольное измерение-весной)</w:t>
            </w:r>
            <w:r/>
          </w:p>
        </w:tc>
      </w:tr>
      <w:tr>
        <w:trPr>
          <w:jc w:val="center"/>
          <w:trHeight w:val="255"/>
        </w:trPr>
        <w:tc>
          <w:tcPr>
            <w:tcW w:w="580" w:type="dxa"/>
            <w:textDirection w:val="lrTb"/>
            <w:noWrap/>
          </w:tcPr>
          <w:p>
            <w:pPr>
              <w:jc w:val="center"/>
              <w:spacing w:line="36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196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Почва с лесопарковой зоны на въезде в г. Тарко-Сале</w:t>
            </w:r>
            <w:r/>
          </w:p>
        </w:tc>
        <w:tc>
          <w:tcPr>
            <w:tcW w:w="1843" w:type="dxa"/>
            <w:textDirection w:val="lrTb"/>
            <w:noWrap/>
          </w:tcPr>
          <w:p>
            <w:pPr>
              <w:jc w:val="center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1,39</w:t>
            </w:r>
            <w:r/>
          </w:p>
        </w:tc>
        <w:tc>
          <w:tcPr>
            <w:tcW w:w="160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0,96</w:t>
            </w:r>
            <w:r/>
          </w:p>
        </w:tc>
        <w:tc>
          <w:tcPr>
            <w:tcW w:w="179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36,2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36,8</w:t>
            </w:r>
            <w:r/>
          </w:p>
        </w:tc>
      </w:tr>
      <w:tr>
        <w:trPr>
          <w:jc w:val="center"/>
          <w:trHeight w:val="255"/>
        </w:trPr>
        <w:tc>
          <w:tcPr>
            <w:tcW w:w="580" w:type="dxa"/>
            <w:textDirection w:val="lrTb"/>
            <w:noWrap/>
          </w:tcPr>
          <w:p>
            <w:pPr>
              <w:jc w:val="center"/>
              <w:spacing w:line="36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196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Почва в районе МБОУ ДО «ЦЕН»</w:t>
            </w:r>
            <w:r/>
          </w:p>
        </w:tc>
        <w:tc>
          <w:tcPr>
            <w:tcW w:w="1843" w:type="dxa"/>
            <w:textDirection w:val="lrTb"/>
            <w:noWrap/>
          </w:tcPr>
          <w:p>
            <w:pPr>
              <w:jc w:val="center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1,45</w:t>
            </w:r>
            <w:r/>
          </w:p>
        </w:tc>
        <w:tc>
          <w:tcPr>
            <w:tcW w:w="160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0,98</w:t>
            </w:r>
            <w:r/>
          </w:p>
        </w:tc>
        <w:tc>
          <w:tcPr>
            <w:tcW w:w="179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37,0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36,8</w:t>
            </w:r>
            <w:r/>
          </w:p>
        </w:tc>
      </w:tr>
      <w:tr>
        <w:trPr>
          <w:jc w:val="center"/>
          <w:trHeight w:val="255"/>
        </w:trPr>
        <w:tc>
          <w:tcPr>
            <w:tcW w:w="580" w:type="dxa"/>
            <w:textDirection w:val="lrTb"/>
            <w:noWrap/>
          </w:tcPr>
          <w:p>
            <w:pPr>
              <w:jc w:val="center"/>
              <w:spacing w:line="36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W w:w="196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Почва на окраине города</w:t>
            </w:r>
            <w:r/>
          </w:p>
        </w:tc>
        <w:tc>
          <w:tcPr>
            <w:tcW w:w="1843" w:type="dxa"/>
            <w:textDirection w:val="lrTb"/>
            <w:noWrap/>
          </w:tcPr>
          <w:p>
            <w:pPr>
              <w:jc w:val="center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2,12</w:t>
            </w:r>
            <w:r/>
          </w:p>
        </w:tc>
        <w:tc>
          <w:tcPr>
            <w:tcW w:w="160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1,05</w:t>
            </w:r>
            <w:r/>
          </w:p>
        </w:tc>
        <w:tc>
          <w:tcPr>
            <w:tcW w:w="179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50,5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51,2</w:t>
            </w:r>
            <w:r/>
          </w:p>
        </w:tc>
      </w:tr>
      <w:tr>
        <w:trPr>
          <w:jc w:val="center"/>
          <w:trHeight w:val="255"/>
        </w:trPr>
        <w:tc>
          <w:tcPr>
            <w:tcW w:w="580" w:type="dxa"/>
            <w:textDirection w:val="lrTb"/>
            <w:noWrap/>
          </w:tcPr>
          <w:p>
            <w:pPr>
              <w:jc w:val="center"/>
              <w:spacing w:line="36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W w:w="196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Почва с центра города</w:t>
            </w:r>
            <w:r/>
          </w:p>
        </w:tc>
        <w:tc>
          <w:tcPr>
            <w:tcW w:w="1843" w:type="dxa"/>
            <w:textDirection w:val="lrTb"/>
            <w:noWrap/>
          </w:tcPr>
          <w:p>
            <w:pPr>
              <w:jc w:val="center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1,84</w:t>
            </w:r>
            <w:r/>
          </w:p>
        </w:tc>
        <w:tc>
          <w:tcPr>
            <w:tcW w:w="160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1,00</w:t>
            </w:r>
            <w:r/>
          </w:p>
        </w:tc>
        <w:tc>
          <w:tcPr>
            <w:tcW w:w="179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46,0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46,8</w:t>
            </w:r>
            <w:r/>
          </w:p>
        </w:tc>
      </w:tr>
      <w:tr>
        <w:trPr>
          <w:jc w:val="center"/>
          <w:trHeight w:val="255"/>
        </w:trPr>
        <w:tc>
          <w:tcPr>
            <w:tcW w:w="580" w:type="dxa"/>
            <w:textDirection w:val="lrTb"/>
            <w:noWrap/>
          </w:tcPr>
          <w:p>
            <w:pPr>
              <w:jc w:val="center"/>
              <w:spacing w:line="36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W w:w="196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Почва с Восточно-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Таркосалинского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месторождения</w:t>
            </w:r>
            <w:r/>
          </w:p>
        </w:tc>
        <w:tc>
          <w:tcPr>
            <w:tcW w:w="1843" w:type="dxa"/>
            <w:textDirection w:val="lrTb"/>
            <w:noWrap/>
          </w:tcPr>
          <w:p>
            <w:pPr>
              <w:jc w:val="center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10,14</w:t>
            </w:r>
            <w:r/>
          </w:p>
        </w:tc>
        <w:tc>
          <w:tcPr>
            <w:tcW w:w="160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1,02</w:t>
            </w:r>
            <w:r/>
          </w:p>
        </w:tc>
        <w:tc>
          <w:tcPr>
            <w:tcW w:w="179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247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250</w:t>
            </w:r>
            <w:r/>
          </w:p>
        </w:tc>
      </w:tr>
    </w:tbl>
    <w:p>
      <w:pPr>
        <w:ind w:firstLine="70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851" w:right="851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3"/>
      <w:jc w:val="center"/>
    </w:pPr>
    <w:r/>
    <w:r/>
  </w:p>
  <w:p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817636901"/>
      <w:docPartObj>
        <w:docPartGallery w:val="Page Numbers (Top of Page)"/>
        <w:docPartUnique w:val="true"/>
      </w:docPartObj>
      <w:rPr/>
    </w:sdtPr>
    <w:sdtContent>
      <w:p>
        <w:pPr>
          <w:pStyle w:val="751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xiv</w:t>
        </w:r>
        <w:r>
          <w:fldChar w:fldCharType="end"/>
        </w:r>
        <w:r/>
      </w:p>
    </w:sdtContent>
  </w:sdt>
  <w:p>
    <w:pPr>
      <w:pStyle w:val="75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77646276"/>
      <w:docPartObj>
        <w:docPartGallery w:val="Page Numbers (Top of Page)"/>
        <w:docPartUnique w:val="true"/>
      </w:docPartObj>
      <w:rPr/>
    </w:sdtPr>
    <w:sdtContent>
      <w:p>
        <w:pPr>
          <w:pStyle w:val="751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xiii</w:t>
        </w:r>
        <w:r>
          <w:fldChar w:fldCharType="end"/>
        </w:r>
        <w:r/>
      </w:p>
    </w:sdtContent>
  </w:sdt>
  <w:p>
    <w:pPr>
      <w:pStyle w:val="75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346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66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86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06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26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946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66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86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06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647" w:hanging="360"/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36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8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80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52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24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96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8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407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9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1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3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5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7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9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1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3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55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236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8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80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52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24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96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8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407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135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7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9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1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3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95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7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9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10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37" w:hanging="360"/>
      </w:pPr>
      <w:rPr>
        <w:rFonts w:hint="default" w:ascii="Symbol" w:hAnsi="Symbol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4"/>
  </w:num>
  <w:num w:numId="4">
    <w:abstractNumId w:val="23"/>
  </w:num>
  <w:num w:numId="5">
    <w:abstractNumId w:val="10"/>
  </w:num>
  <w:num w:numId="6">
    <w:abstractNumId w:val="18"/>
  </w:num>
  <w:num w:numId="7">
    <w:abstractNumId w:val="4"/>
  </w:num>
  <w:num w:numId="8">
    <w:abstractNumId w:val="11"/>
  </w:num>
  <w:num w:numId="9">
    <w:abstractNumId w:val="20"/>
  </w:num>
  <w:num w:numId="10">
    <w:abstractNumId w:val="6"/>
  </w:num>
  <w:num w:numId="11">
    <w:abstractNumId w:val="12"/>
  </w:num>
  <w:num w:numId="12">
    <w:abstractNumId w:val="0"/>
  </w:num>
  <w:num w:numId="13">
    <w:abstractNumId w:val="17"/>
  </w:num>
  <w:num w:numId="14">
    <w:abstractNumId w:val="15"/>
  </w:num>
  <w:num w:numId="15">
    <w:abstractNumId w:val="14"/>
  </w:num>
  <w:num w:numId="16">
    <w:abstractNumId w:val="9"/>
  </w:num>
  <w:num w:numId="17">
    <w:abstractNumId w:val="13"/>
  </w:num>
  <w:num w:numId="18">
    <w:abstractNumId w:val="2"/>
  </w:num>
  <w:num w:numId="19">
    <w:abstractNumId w:val="16"/>
  </w:num>
  <w:num w:numId="20">
    <w:abstractNumId w:val="8"/>
  </w:num>
  <w:num w:numId="21">
    <w:abstractNumId w:val="21"/>
  </w:num>
  <w:num w:numId="22">
    <w:abstractNumId w:val="22"/>
  </w:num>
  <w:num w:numId="23">
    <w:abstractNumId w:val="3"/>
  </w:num>
  <w:num w:numId="24">
    <w:abstractNumId w:val="1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748"/>
    <w:link w:val="747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746"/>
    <w:next w:val="74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748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46"/>
    <w:next w:val="746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748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746"/>
    <w:next w:val="74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748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746"/>
    <w:next w:val="74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748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46"/>
    <w:next w:val="74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748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46"/>
    <w:next w:val="74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748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46"/>
    <w:next w:val="74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48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46"/>
    <w:next w:val="74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48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746"/>
    <w:next w:val="74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748"/>
    <w:link w:val="33"/>
    <w:uiPriority w:val="10"/>
    <w:rPr>
      <w:sz w:val="48"/>
      <w:szCs w:val="48"/>
    </w:rPr>
  </w:style>
  <w:style w:type="paragraph" w:styleId="35">
    <w:name w:val="Subtitle"/>
    <w:basedOn w:val="746"/>
    <w:next w:val="74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48"/>
    <w:link w:val="35"/>
    <w:uiPriority w:val="11"/>
    <w:rPr>
      <w:sz w:val="24"/>
      <w:szCs w:val="24"/>
    </w:rPr>
  </w:style>
  <w:style w:type="paragraph" w:styleId="37">
    <w:name w:val="Quote"/>
    <w:basedOn w:val="746"/>
    <w:next w:val="74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46"/>
    <w:next w:val="74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48"/>
    <w:link w:val="751"/>
    <w:uiPriority w:val="99"/>
  </w:style>
  <w:style w:type="character" w:styleId="44">
    <w:name w:val="Footer Char"/>
    <w:basedOn w:val="748"/>
    <w:link w:val="753"/>
    <w:uiPriority w:val="99"/>
  </w:style>
  <w:style w:type="paragraph" w:styleId="45">
    <w:name w:val="Caption"/>
    <w:basedOn w:val="746"/>
    <w:next w:val="74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53"/>
    <w:uiPriority w:val="99"/>
  </w:style>
  <w:style w:type="table" w:styleId="48">
    <w:name w:val="Table Grid Light"/>
    <w:basedOn w:val="74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4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4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7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7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7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7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7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7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7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7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7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7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7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7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74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748"/>
    <w:uiPriority w:val="99"/>
    <w:unhideWhenUsed/>
    <w:rPr>
      <w:vertAlign w:val="superscript"/>
    </w:rPr>
  </w:style>
  <w:style w:type="paragraph" w:styleId="177">
    <w:name w:val="endnote text"/>
    <w:basedOn w:val="74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48"/>
    <w:uiPriority w:val="99"/>
    <w:semiHidden/>
    <w:unhideWhenUsed/>
    <w:rPr>
      <w:vertAlign w:val="superscript"/>
    </w:rPr>
  </w:style>
  <w:style w:type="paragraph" w:styleId="180">
    <w:name w:val="toc 1"/>
    <w:basedOn w:val="746"/>
    <w:next w:val="74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46"/>
    <w:next w:val="74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46"/>
    <w:next w:val="74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46"/>
    <w:next w:val="74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46"/>
    <w:next w:val="74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46"/>
    <w:next w:val="74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46"/>
    <w:next w:val="74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46"/>
    <w:next w:val="74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46"/>
    <w:next w:val="746"/>
    <w:uiPriority w:val="39"/>
    <w:unhideWhenUsed/>
    <w:pPr>
      <w:ind w:left="2268" w:right="0" w:firstLine="0"/>
      <w:spacing w:after="57"/>
    </w:pPr>
  </w:style>
  <w:style w:type="paragraph" w:styleId="190">
    <w:name w:val="table of figures"/>
    <w:basedOn w:val="746"/>
    <w:next w:val="746"/>
    <w:uiPriority w:val="99"/>
    <w:unhideWhenUsed/>
    <w:pPr>
      <w:spacing w:after="0" w:afterAutospacing="0"/>
    </w:pPr>
  </w:style>
  <w:style w:type="paragraph" w:styleId="746" w:default="1">
    <w:name w:val="Normal"/>
    <w:qFormat/>
  </w:style>
  <w:style w:type="paragraph" w:styleId="747">
    <w:name w:val="Heading 1"/>
    <w:basedOn w:val="746"/>
    <w:next w:val="746"/>
    <w:link w:val="765"/>
    <w:uiPriority w:val="9"/>
    <w:qFormat/>
    <w:pPr>
      <w:keepLines/>
      <w:keepNext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748" w:default="1">
    <w:name w:val="Default Paragraph Font"/>
    <w:uiPriority w:val="1"/>
    <w:unhideWhenUsed/>
  </w:style>
  <w:style w:type="table" w:styleId="7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0" w:default="1">
    <w:name w:val="No List"/>
    <w:uiPriority w:val="99"/>
    <w:semiHidden/>
    <w:unhideWhenUsed/>
  </w:style>
  <w:style w:type="paragraph" w:styleId="751">
    <w:name w:val="Header"/>
    <w:basedOn w:val="746"/>
    <w:link w:val="75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52" w:customStyle="1">
    <w:name w:val="Верхний колонтитул Знак"/>
    <w:basedOn w:val="748"/>
    <w:link w:val="751"/>
    <w:uiPriority w:val="99"/>
  </w:style>
  <w:style w:type="paragraph" w:styleId="753">
    <w:name w:val="Footer"/>
    <w:basedOn w:val="746"/>
    <w:link w:val="75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54" w:customStyle="1">
    <w:name w:val="Нижний колонтитул Знак"/>
    <w:basedOn w:val="748"/>
    <w:link w:val="753"/>
    <w:uiPriority w:val="99"/>
  </w:style>
  <w:style w:type="paragraph" w:styleId="755">
    <w:name w:val="Body Text"/>
    <w:basedOn w:val="746"/>
    <w:link w:val="756"/>
    <w:pPr>
      <w:jc w:val="both"/>
      <w:spacing w:after="0" w:line="240" w:lineRule="auto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756" w:customStyle="1">
    <w:name w:val="Основной текст Знак"/>
    <w:basedOn w:val="748"/>
    <w:link w:val="755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757">
    <w:name w:val="Normal (Web)"/>
    <w:basedOn w:val="746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758">
    <w:name w:val="Table Grid"/>
    <w:basedOn w:val="74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59">
    <w:name w:val="List Paragraph"/>
    <w:basedOn w:val="746"/>
    <w:link w:val="768"/>
    <w:uiPriority w:val="34"/>
    <w:qFormat/>
    <w:pPr>
      <w:contextualSpacing/>
      <w:ind w:left="720"/>
    </w:pPr>
  </w:style>
  <w:style w:type="character" w:styleId="760" w:customStyle="1">
    <w:name w:val="apple-converted-space"/>
    <w:basedOn w:val="748"/>
    <w:uiPriority w:val="99"/>
    <w:rPr>
      <w:rFonts w:cs="Times New Roman"/>
    </w:rPr>
  </w:style>
  <w:style w:type="character" w:styleId="761" w:customStyle="1">
    <w:name w:val="hl"/>
    <w:basedOn w:val="748"/>
    <w:uiPriority w:val="99"/>
    <w:rPr>
      <w:rFonts w:cs="Times New Roman"/>
    </w:rPr>
  </w:style>
  <w:style w:type="character" w:styleId="762">
    <w:name w:val="Hyperlink"/>
    <w:basedOn w:val="748"/>
    <w:uiPriority w:val="99"/>
    <w:unhideWhenUsed/>
    <w:rPr>
      <w:color w:val="0563c1" w:themeColor="hyperlink"/>
      <w:u w:val="single"/>
    </w:rPr>
  </w:style>
  <w:style w:type="paragraph" w:styleId="763">
    <w:name w:val="annotation text"/>
    <w:basedOn w:val="746"/>
    <w:link w:val="764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764" w:customStyle="1">
    <w:name w:val="Текст примечания Знак"/>
    <w:basedOn w:val="748"/>
    <w:link w:val="763"/>
    <w:uiPriority w:val="99"/>
    <w:semiHidden/>
    <w:rPr>
      <w:sz w:val="20"/>
      <w:szCs w:val="20"/>
    </w:rPr>
  </w:style>
  <w:style w:type="character" w:styleId="765" w:customStyle="1">
    <w:name w:val="Заголовок 1 Знак"/>
    <w:basedOn w:val="748"/>
    <w:link w:val="747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766">
    <w:name w:val="TOC Heading"/>
    <w:basedOn w:val="747"/>
    <w:next w:val="746"/>
    <w:link w:val="767"/>
    <w:pPr>
      <w:spacing w:line="264" w:lineRule="auto"/>
      <w:outlineLvl w:val="8"/>
    </w:pPr>
    <w:rPr>
      <w:lang w:eastAsia="ru-RU"/>
    </w:rPr>
  </w:style>
  <w:style w:type="character" w:styleId="767" w:customStyle="1">
    <w:name w:val="Заголовок оглавления Знак"/>
    <w:basedOn w:val="765"/>
    <w:link w:val="766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eastAsia="ru-RU"/>
    </w:rPr>
  </w:style>
  <w:style w:type="character" w:styleId="768" w:customStyle="1">
    <w:name w:val="Абзац списка Знак"/>
    <w:basedOn w:val="748"/>
    <w:link w:val="759"/>
    <w:uiPriority w:val="34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hyperlink" Target="https://xn--90aukhw.xn--p1ai/iskopaemye-yanao-nedrodobyvanie-yamalo-neneckogo-avtonomnogo-okruga/" TargetMode="External"/><Relationship Id="rId14" Type="http://schemas.openxmlformats.org/officeDocument/2006/relationships/hyperlink" Target="https://ceiis.mos.ru/presscenter/news/detail/6933754.html?ysclid=lpu74i95fx601910358" TargetMode="External"/><Relationship Id="rId15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F65A0-12AC-415A-8D45-165C2A68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</dc:creator>
  <cp:keywords/>
  <dc:description/>
  <cp:revision>21</cp:revision>
  <dcterms:created xsi:type="dcterms:W3CDTF">2023-11-20T18:13:00Z</dcterms:created>
  <dcterms:modified xsi:type="dcterms:W3CDTF">2024-06-03T10:54:37Z</dcterms:modified>
</cp:coreProperties>
</file>