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EEE2" w14:textId="550BAE12" w:rsidR="00B2471D" w:rsidRPr="006914C2" w:rsidRDefault="00B2471D" w:rsidP="00B2471D">
      <w:pPr>
        <w:pStyle w:val="Standard"/>
        <w:tabs>
          <w:tab w:val="left" w:pos="519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Волошина Полина Алексеевна</w:t>
      </w:r>
      <w:r w:rsidRPr="00691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569646F7" w14:textId="77777777" w:rsidR="00B2471D" w:rsidRPr="006914C2" w:rsidRDefault="00B2471D" w:rsidP="00B2471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студентка филиала</w:t>
      </w:r>
    </w:p>
    <w:p w14:paraId="5E2D5D07" w14:textId="77777777" w:rsidR="00B2471D" w:rsidRPr="006914C2" w:rsidRDefault="00B2471D" w:rsidP="00B2471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ФГБОУ ВО «Кубанский государственный университет»</w:t>
      </w:r>
    </w:p>
    <w:p w14:paraId="0D56B395" w14:textId="3652F019" w:rsidR="00B2471D" w:rsidRPr="006914C2" w:rsidRDefault="00B2471D" w:rsidP="00B2471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 в г. Славянск-на-Кубани</w:t>
      </w:r>
    </w:p>
    <w:p w14:paraId="52340D08" w14:textId="547E9EC4" w:rsidR="00B2471D" w:rsidRPr="006914C2" w:rsidRDefault="00B2471D" w:rsidP="00B2471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1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Славянск-на- Кубани, РФ</w:t>
      </w:r>
    </w:p>
    <w:p w14:paraId="189DBAC5" w14:textId="4C359875" w:rsidR="00B45176" w:rsidRPr="00E23DDC" w:rsidRDefault="00B45176" w:rsidP="00B45176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23DDC">
        <w:rPr>
          <w:rFonts w:ascii="Times New Roman" w:hAnsi="Times New Roman" w:cs="Times New Roman"/>
          <w:i/>
          <w:iCs/>
          <w:sz w:val="24"/>
          <w:szCs w:val="24"/>
          <w:lang w:val="en-US"/>
        </w:rPr>
        <w:t>E-mail:</w:t>
      </w:r>
      <w:r w:rsidR="00E23DDC" w:rsidRPr="00E23DDC">
        <w:rPr>
          <w:i/>
          <w:iCs/>
          <w:lang w:val="en-US"/>
        </w:rPr>
        <w:t xml:space="preserve"> </w:t>
      </w:r>
      <w:r w:rsidR="00E23DDC" w:rsidRPr="00E23DDC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polina-voloshina-03@mail.ru</w:t>
      </w:r>
    </w:p>
    <w:p w14:paraId="31E4C4B3" w14:textId="77777777" w:rsidR="00B2471D" w:rsidRPr="00E23DDC" w:rsidRDefault="00B2471D" w:rsidP="00B2471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305AC3DF" w14:textId="77777777" w:rsidR="00B2471D" w:rsidRPr="006914C2" w:rsidRDefault="00B2471D" w:rsidP="00B2471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Махова Анна Владимировна – </w:t>
      </w:r>
      <w:r w:rsidRPr="00691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научный руководитель</w:t>
      </w:r>
    </w:p>
    <w:p w14:paraId="2519085F" w14:textId="77777777" w:rsidR="00B2471D" w:rsidRPr="006914C2" w:rsidRDefault="00B2471D" w:rsidP="00B2471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канд. экон. наук, доцент,</w:t>
      </w:r>
    </w:p>
    <w:p w14:paraId="4C62ED7E" w14:textId="77777777" w:rsidR="00B2471D" w:rsidRPr="006914C2" w:rsidRDefault="00B2471D" w:rsidP="00B2471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доцент кафедры истории, обществознания и педагогических технологий;</w:t>
      </w:r>
    </w:p>
    <w:p w14:paraId="0A3DD178" w14:textId="77777777" w:rsidR="00B2471D" w:rsidRPr="006914C2" w:rsidRDefault="00B2471D" w:rsidP="00B2471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ФГБОУ ВО «Кубанский государственный университет»</w:t>
      </w:r>
    </w:p>
    <w:p w14:paraId="0099A225" w14:textId="7D80192E" w:rsidR="00B2471D" w:rsidRPr="006914C2" w:rsidRDefault="00B2471D" w:rsidP="00B2471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 в г. Славянск-на-Кубани</w:t>
      </w:r>
    </w:p>
    <w:p w14:paraId="2B755948" w14:textId="28120DBD" w:rsidR="009462B6" w:rsidRPr="006914C2" w:rsidRDefault="00B2471D" w:rsidP="00B2471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1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Славянск-на- Кубани, РФ</w:t>
      </w:r>
    </w:p>
    <w:p w14:paraId="57A5C9B3" w14:textId="7478C14B" w:rsidR="00B2471D" w:rsidRPr="00E23DDC" w:rsidRDefault="00B2471D" w:rsidP="00B2471D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23DDC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E23DD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23DDC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E23DD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84AC2" w:rsidRPr="00E23DD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84AC2" w:rsidRPr="00E23DD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mahova</w:t>
      </w:r>
      <w:proofErr w:type="spellEnd"/>
      <w:r w:rsidR="00D84AC2" w:rsidRPr="00E23DD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  <w:r w:rsidR="00D84AC2" w:rsidRPr="00E23DD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av</w:t>
      </w:r>
      <w:r w:rsidR="00D84AC2" w:rsidRPr="00E23DD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05@</w:t>
      </w:r>
      <w:proofErr w:type="spellStart"/>
      <w:r w:rsidR="00D84AC2" w:rsidRPr="00E23DD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yandex</w:t>
      </w:r>
      <w:proofErr w:type="spellEnd"/>
      <w:r w:rsidR="00D84AC2" w:rsidRPr="00E23DD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  <w:proofErr w:type="spellStart"/>
      <w:r w:rsidR="00D84AC2" w:rsidRPr="00E23DD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1A2FCA36" w14:textId="77777777" w:rsidR="009462B6" w:rsidRPr="00C031F9" w:rsidRDefault="009462B6" w:rsidP="00A1530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95E23" w14:textId="2CC7F732" w:rsidR="00A15303" w:rsidRPr="006914C2" w:rsidRDefault="00D6782F" w:rsidP="00A1530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4C2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Социальные программы </w:t>
      </w:r>
      <w:r w:rsidR="00D84AC2" w:rsidRPr="006914C2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российских </w:t>
      </w:r>
      <w:r w:rsidRPr="006914C2">
        <w:rPr>
          <w:rFonts w:ascii="Times New Roman" w:hAnsi="Times New Roman" w:cs="Times New Roman"/>
          <w:b/>
          <w:bCs/>
          <w:sz w:val="24"/>
          <w:szCs w:val="24"/>
        </w:rPr>
        <w:t xml:space="preserve">нефтегазовых компаний: сущность и направление </w:t>
      </w:r>
      <w:r w:rsidR="00A15303" w:rsidRPr="006914C2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6914C2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A15303" w:rsidRPr="006914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D889EF" w14:textId="77777777" w:rsidR="00A15303" w:rsidRPr="006914C2" w:rsidRDefault="00A15303" w:rsidP="00A1530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A5A5E" w14:textId="3F199972" w:rsidR="003C2CA5" w:rsidRPr="006914C2" w:rsidRDefault="00D6782F" w:rsidP="003C2CA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b/>
          <w:bCs/>
          <w:sz w:val="24"/>
          <w:szCs w:val="24"/>
        </w:rPr>
        <w:t>Аннотация.</w:t>
      </w:r>
    </w:p>
    <w:p w14:paraId="7CF0D476" w14:textId="51A489FB" w:rsidR="009646B7" w:rsidRPr="006914C2" w:rsidRDefault="00A15303" w:rsidP="00B710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9462B6" w:rsidRPr="006914C2">
        <w:rPr>
          <w:rFonts w:ascii="Times New Roman" w:hAnsi="Times New Roman" w:cs="Times New Roman"/>
          <w:sz w:val="24"/>
          <w:szCs w:val="24"/>
        </w:rPr>
        <w:t>работ</w:t>
      </w:r>
      <w:r w:rsidR="00B2471D" w:rsidRPr="006914C2">
        <w:rPr>
          <w:rFonts w:ascii="Times New Roman" w:hAnsi="Times New Roman" w:cs="Times New Roman"/>
          <w:sz w:val="24"/>
          <w:szCs w:val="24"/>
        </w:rPr>
        <w:t>ы</w:t>
      </w:r>
      <w:r w:rsidR="009462B6" w:rsidRPr="006914C2">
        <w:rPr>
          <w:rFonts w:ascii="Times New Roman" w:hAnsi="Times New Roman" w:cs="Times New Roman"/>
          <w:sz w:val="24"/>
          <w:szCs w:val="24"/>
        </w:rPr>
        <w:t xml:space="preserve">. </w:t>
      </w:r>
      <w:r w:rsidR="003C2CA5" w:rsidRPr="006914C2">
        <w:rPr>
          <w:rFonts w:ascii="Times New Roman" w:hAnsi="Times New Roman" w:cs="Times New Roman"/>
          <w:sz w:val="24"/>
          <w:szCs w:val="24"/>
        </w:rPr>
        <w:t>Ключевым аспектом деятельности к</w:t>
      </w:r>
      <w:r w:rsidR="000437D3" w:rsidRPr="006914C2">
        <w:rPr>
          <w:rFonts w:ascii="Times New Roman" w:hAnsi="Times New Roman" w:cs="Times New Roman"/>
          <w:sz w:val="24"/>
          <w:szCs w:val="24"/>
        </w:rPr>
        <w:t>о</w:t>
      </w:r>
      <w:r w:rsidR="003C2CA5" w:rsidRPr="006914C2">
        <w:rPr>
          <w:rFonts w:ascii="Times New Roman" w:hAnsi="Times New Roman" w:cs="Times New Roman"/>
          <w:sz w:val="24"/>
          <w:szCs w:val="24"/>
        </w:rPr>
        <w:t>мпании является социальная политика. Она направлена на обеспечение социальной защищенности работников, их стабильности и уверенности в будущем, а также финансированию различных социальных проектов.</w:t>
      </w:r>
      <w:r w:rsidR="00B2471D" w:rsidRPr="006914C2">
        <w:rPr>
          <w:rFonts w:ascii="Times New Roman" w:hAnsi="Times New Roman" w:cs="Times New Roman"/>
          <w:sz w:val="24"/>
          <w:szCs w:val="24"/>
        </w:rPr>
        <w:t xml:space="preserve"> Именно устойчивое положение компании и социальный пакет привлекает</w:t>
      </w:r>
      <w:r w:rsidR="00B45176" w:rsidRPr="006914C2">
        <w:rPr>
          <w:rFonts w:ascii="Times New Roman" w:hAnsi="Times New Roman" w:cs="Times New Roman"/>
          <w:sz w:val="24"/>
          <w:szCs w:val="24"/>
        </w:rPr>
        <w:t xml:space="preserve"> как начинающих работников, так и профессионалов. </w:t>
      </w:r>
      <w:r w:rsidR="00697475" w:rsidRPr="006914C2">
        <w:rPr>
          <w:rFonts w:ascii="Times New Roman" w:hAnsi="Times New Roman" w:cs="Times New Roman"/>
          <w:sz w:val="24"/>
          <w:szCs w:val="24"/>
        </w:rPr>
        <w:t xml:space="preserve">Основной целью данной статьи является оценка </w:t>
      </w:r>
      <w:r w:rsidR="00465D64" w:rsidRPr="006914C2">
        <w:rPr>
          <w:rFonts w:ascii="Times New Roman" w:hAnsi="Times New Roman" w:cs="Times New Roman"/>
          <w:sz w:val="24"/>
          <w:szCs w:val="24"/>
        </w:rPr>
        <w:t>корпоративной социальной политики</w:t>
      </w:r>
      <w:r w:rsidR="00697475" w:rsidRPr="006914C2">
        <w:rPr>
          <w:rFonts w:ascii="Times New Roman" w:hAnsi="Times New Roman" w:cs="Times New Roman"/>
          <w:sz w:val="24"/>
          <w:szCs w:val="24"/>
        </w:rPr>
        <w:t xml:space="preserve"> российских нефтегазовых компаний и раскрытие основны</w:t>
      </w:r>
      <w:r w:rsidR="00DB4364" w:rsidRPr="006914C2">
        <w:rPr>
          <w:rFonts w:ascii="Times New Roman" w:hAnsi="Times New Roman" w:cs="Times New Roman"/>
          <w:sz w:val="24"/>
          <w:szCs w:val="24"/>
        </w:rPr>
        <w:t>х</w:t>
      </w:r>
      <w:r w:rsidR="00697475" w:rsidRPr="006914C2">
        <w:rPr>
          <w:rFonts w:ascii="Times New Roman" w:hAnsi="Times New Roman" w:cs="Times New Roman"/>
          <w:sz w:val="24"/>
          <w:szCs w:val="24"/>
        </w:rPr>
        <w:t xml:space="preserve"> путей </w:t>
      </w:r>
      <w:r w:rsidR="00DB4364" w:rsidRPr="006914C2">
        <w:rPr>
          <w:rFonts w:ascii="Times New Roman" w:hAnsi="Times New Roman" w:cs="Times New Roman"/>
          <w:sz w:val="24"/>
          <w:szCs w:val="24"/>
        </w:rPr>
        <w:t>её</w:t>
      </w:r>
      <w:r w:rsidR="00697475" w:rsidRPr="006914C2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B45176" w:rsidRPr="006914C2">
        <w:rPr>
          <w:rFonts w:ascii="Times New Roman" w:hAnsi="Times New Roman" w:cs="Times New Roman"/>
          <w:sz w:val="24"/>
          <w:szCs w:val="24"/>
        </w:rPr>
        <w:t xml:space="preserve">, а также выявление лучшей социальной политики на предприятии. </w:t>
      </w:r>
    </w:p>
    <w:p w14:paraId="122EA94B" w14:textId="77777777" w:rsidR="009646B7" w:rsidRPr="006914C2" w:rsidRDefault="009646B7" w:rsidP="00B710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14:paraId="490C8922" w14:textId="00F5B938" w:rsidR="009646B7" w:rsidRPr="006914C2" w:rsidRDefault="009646B7" w:rsidP="00B710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– выявить основные черты корпоративной социальной политики крупных нефтегазовых кампаний таких, как ПАО «Газпром», «Лукойл», «НОВАТЭК» и НК «Роснефть»,</w:t>
      </w:r>
    </w:p>
    <w:p w14:paraId="1C295A58" w14:textId="77777777" w:rsidR="009646B7" w:rsidRPr="006914C2" w:rsidRDefault="009646B7" w:rsidP="00B710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– проследить динамику социальных инвестиций российских нефтегазовых компаний за 2017 – 2021 гг.</w:t>
      </w:r>
    </w:p>
    <w:p w14:paraId="7264ED85" w14:textId="14D5232E" w:rsidR="009646B7" w:rsidRPr="006914C2" w:rsidRDefault="009646B7" w:rsidP="00B710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–</w:t>
      </w:r>
      <w:r w:rsidR="00755648" w:rsidRPr="006914C2">
        <w:rPr>
          <w:rFonts w:ascii="Times New Roman" w:hAnsi="Times New Roman" w:cs="Times New Roman"/>
          <w:sz w:val="24"/>
          <w:szCs w:val="24"/>
        </w:rPr>
        <w:t xml:space="preserve"> рассмотреть ведущую корпоративную социальную политику с внешней и внутренней </w:t>
      </w:r>
      <w:r w:rsidR="000437D3" w:rsidRPr="006914C2">
        <w:rPr>
          <w:rFonts w:ascii="Times New Roman" w:hAnsi="Times New Roman" w:cs="Times New Roman"/>
          <w:sz w:val="24"/>
          <w:szCs w:val="24"/>
        </w:rPr>
        <w:t>стороны</w:t>
      </w:r>
      <w:r w:rsidR="00755648" w:rsidRPr="006914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795D03" w14:textId="546D7C46" w:rsidR="00C57C6E" w:rsidRPr="006914C2" w:rsidRDefault="00D84AC2" w:rsidP="007556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Объектом</w:t>
      </w:r>
      <w:r w:rsidR="00B45176" w:rsidRPr="006914C2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C57C6E" w:rsidRPr="006914C2">
        <w:rPr>
          <w:rFonts w:ascii="Times New Roman" w:hAnsi="Times New Roman" w:cs="Times New Roman"/>
          <w:sz w:val="24"/>
          <w:szCs w:val="24"/>
        </w:rPr>
        <w:t>– система корпоративной социальной политики</w:t>
      </w:r>
      <w:r w:rsidRPr="006914C2">
        <w:rPr>
          <w:rFonts w:ascii="Times New Roman" w:hAnsi="Times New Roman" w:cs="Times New Roman"/>
          <w:sz w:val="24"/>
          <w:szCs w:val="24"/>
        </w:rPr>
        <w:t>.</w:t>
      </w:r>
    </w:p>
    <w:p w14:paraId="7FC6566C" w14:textId="1D3F6B73" w:rsidR="003C2CA5" w:rsidRPr="006914C2" w:rsidRDefault="00D84AC2" w:rsidP="007556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9646B7" w:rsidRPr="006914C2">
        <w:rPr>
          <w:rFonts w:ascii="Times New Roman" w:hAnsi="Times New Roman" w:cs="Times New Roman"/>
          <w:sz w:val="24"/>
          <w:szCs w:val="24"/>
        </w:rPr>
        <w:t>исследования явля</w:t>
      </w:r>
      <w:r w:rsidR="00C57C6E" w:rsidRPr="006914C2">
        <w:rPr>
          <w:rFonts w:ascii="Times New Roman" w:hAnsi="Times New Roman" w:cs="Times New Roman"/>
          <w:sz w:val="24"/>
          <w:szCs w:val="24"/>
        </w:rPr>
        <w:t>е</w:t>
      </w:r>
      <w:r w:rsidR="00755648" w:rsidRPr="006914C2">
        <w:rPr>
          <w:rFonts w:ascii="Times New Roman" w:hAnsi="Times New Roman" w:cs="Times New Roman"/>
          <w:sz w:val="24"/>
          <w:szCs w:val="24"/>
        </w:rPr>
        <w:t xml:space="preserve">тся </w:t>
      </w:r>
      <w:r w:rsidR="00C57C6E" w:rsidRPr="006914C2">
        <w:rPr>
          <w:rFonts w:ascii="Times New Roman" w:hAnsi="Times New Roman" w:cs="Times New Roman"/>
          <w:sz w:val="24"/>
          <w:szCs w:val="24"/>
        </w:rPr>
        <w:t xml:space="preserve">«внешняя» и «внутренняя» </w:t>
      </w:r>
      <w:r w:rsidR="00755648" w:rsidRPr="006914C2">
        <w:rPr>
          <w:rFonts w:ascii="Times New Roman" w:hAnsi="Times New Roman" w:cs="Times New Roman"/>
          <w:sz w:val="24"/>
          <w:szCs w:val="24"/>
        </w:rPr>
        <w:t>социальн</w:t>
      </w:r>
      <w:r w:rsidR="00C57C6E" w:rsidRPr="006914C2">
        <w:rPr>
          <w:rFonts w:ascii="Times New Roman" w:hAnsi="Times New Roman" w:cs="Times New Roman"/>
          <w:sz w:val="24"/>
          <w:szCs w:val="24"/>
        </w:rPr>
        <w:t>ая</w:t>
      </w:r>
      <w:r w:rsidR="00755648"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="00C57C6E" w:rsidRPr="006914C2">
        <w:rPr>
          <w:rFonts w:ascii="Times New Roman" w:hAnsi="Times New Roman" w:cs="Times New Roman"/>
          <w:sz w:val="24"/>
          <w:szCs w:val="24"/>
        </w:rPr>
        <w:t>политика</w:t>
      </w:r>
      <w:r w:rsidR="00755648" w:rsidRPr="006914C2">
        <w:rPr>
          <w:rFonts w:ascii="Times New Roman" w:hAnsi="Times New Roman" w:cs="Times New Roman"/>
          <w:sz w:val="24"/>
          <w:szCs w:val="24"/>
        </w:rPr>
        <w:t xml:space="preserve"> ПАО «Газпром», «Лукойл», «НОВАТЭК» и НК «Роснефть»</w:t>
      </w:r>
      <w:r w:rsidR="00C57C6E" w:rsidRPr="006914C2">
        <w:rPr>
          <w:rFonts w:ascii="Times New Roman" w:hAnsi="Times New Roman" w:cs="Times New Roman"/>
          <w:sz w:val="24"/>
          <w:szCs w:val="24"/>
        </w:rPr>
        <w:t>, реализующаяся на социальных программах и проектах.</w:t>
      </w:r>
    </w:p>
    <w:p w14:paraId="5490F1A5" w14:textId="01201D83" w:rsidR="000437D3" w:rsidRPr="006914C2" w:rsidRDefault="000437D3" w:rsidP="00043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lastRenderedPageBreak/>
        <w:t>Гипотеза статьи: внутренняя и внешняя социальная политика нефтегазовых компаний имеет высокую эффективность для работников предприятия, общества и государства в целом.</w:t>
      </w:r>
    </w:p>
    <w:p w14:paraId="295F9071" w14:textId="764A6DF1" w:rsidR="000437D3" w:rsidRPr="006914C2" w:rsidRDefault="000437D3" w:rsidP="00691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Основные результаты: </w:t>
      </w:r>
      <w:r w:rsidR="006914C2">
        <w:rPr>
          <w:rFonts w:ascii="Times New Roman" w:hAnsi="Times New Roman" w:cs="Times New Roman"/>
          <w:sz w:val="24"/>
          <w:szCs w:val="24"/>
        </w:rPr>
        <w:t>А</w:t>
      </w:r>
      <w:r w:rsidRPr="006914C2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6914C2">
        <w:rPr>
          <w:rFonts w:ascii="Times New Roman" w:hAnsi="Times New Roman" w:cs="Times New Roman"/>
          <w:sz w:val="24"/>
          <w:szCs w:val="24"/>
        </w:rPr>
        <w:t xml:space="preserve">динамики </w:t>
      </w:r>
      <w:r w:rsidR="006914C2" w:rsidRPr="006914C2">
        <w:rPr>
          <w:rFonts w:ascii="Times New Roman" w:hAnsi="Times New Roman" w:cs="Times New Roman"/>
          <w:sz w:val="24"/>
          <w:szCs w:val="24"/>
        </w:rPr>
        <w:t xml:space="preserve">социальных инвестиций российских нефтегазовых компаний </w:t>
      </w:r>
      <w:r w:rsidR="006914C2">
        <w:rPr>
          <w:rFonts w:ascii="Times New Roman" w:hAnsi="Times New Roman" w:cs="Times New Roman"/>
          <w:sz w:val="24"/>
          <w:szCs w:val="24"/>
        </w:rPr>
        <w:t>на период</w:t>
      </w:r>
      <w:r w:rsidR="006914C2" w:rsidRPr="006914C2">
        <w:rPr>
          <w:rFonts w:ascii="Times New Roman" w:hAnsi="Times New Roman" w:cs="Times New Roman"/>
          <w:sz w:val="24"/>
          <w:szCs w:val="24"/>
        </w:rPr>
        <w:t xml:space="preserve"> 2017 – 2021 гг.</w:t>
      </w:r>
      <w:r w:rsidR="006914C2">
        <w:rPr>
          <w:rFonts w:ascii="Times New Roman" w:hAnsi="Times New Roman" w:cs="Times New Roman"/>
          <w:sz w:val="24"/>
          <w:szCs w:val="24"/>
        </w:rPr>
        <w:t xml:space="preserve"> </w:t>
      </w:r>
      <w:r w:rsidRPr="006914C2">
        <w:rPr>
          <w:rFonts w:ascii="Times New Roman" w:hAnsi="Times New Roman" w:cs="Times New Roman"/>
          <w:sz w:val="24"/>
          <w:szCs w:val="24"/>
        </w:rPr>
        <w:t xml:space="preserve">показал, что крупнейшие нефтегазовые компании инвестируют в реализацию социальных программ в среднем от 1,8 до 4,1 % чистого денежного потока от операционной деятельности. В ходе анализа структуры социальных инвестиций компаний была выявлена схожесть социальных политик ПАО «Газпром» и «НОВАТЭК», а также «НК «Роснефть» и «Лукойл». </w:t>
      </w:r>
      <w:r w:rsidR="006914C2" w:rsidRPr="006914C2">
        <w:rPr>
          <w:rFonts w:ascii="Times New Roman" w:hAnsi="Times New Roman" w:cs="Times New Roman"/>
          <w:sz w:val="24"/>
          <w:szCs w:val="24"/>
        </w:rPr>
        <w:t xml:space="preserve">В свою очередь, ведущим социальным инвестором </w:t>
      </w:r>
      <w:r w:rsidR="006914C2">
        <w:rPr>
          <w:rFonts w:ascii="Times New Roman" w:hAnsi="Times New Roman" w:cs="Times New Roman"/>
          <w:sz w:val="24"/>
          <w:szCs w:val="24"/>
        </w:rPr>
        <w:t xml:space="preserve">в нефтегазовой области </w:t>
      </w:r>
      <w:r w:rsidR="006914C2" w:rsidRPr="006914C2">
        <w:rPr>
          <w:rFonts w:ascii="Times New Roman" w:hAnsi="Times New Roman" w:cs="Times New Roman"/>
          <w:sz w:val="24"/>
          <w:szCs w:val="24"/>
        </w:rPr>
        <w:t>является ПАО «Газпром».</w:t>
      </w:r>
    </w:p>
    <w:p w14:paraId="30FF0391" w14:textId="4818CFAE" w:rsidR="00D6782F" w:rsidRPr="006914C2" w:rsidRDefault="00D6782F" w:rsidP="00B710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="00DB4364"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="00047272" w:rsidRPr="006914C2">
        <w:rPr>
          <w:rFonts w:ascii="Times New Roman" w:hAnsi="Times New Roman" w:cs="Times New Roman"/>
          <w:sz w:val="24"/>
          <w:szCs w:val="24"/>
        </w:rPr>
        <w:t>социальная политика</w:t>
      </w:r>
      <w:r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="00DB4364" w:rsidRPr="006914C2">
        <w:rPr>
          <w:rFonts w:ascii="Times New Roman" w:hAnsi="Times New Roman" w:cs="Times New Roman"/>
          <w:sz w:val="24"/>
          <w:szCs w:val="24"/>
        </w:rPr>
        <w:t>предприятий, социальны</w:t>
      </w:r>
      <w:r w:rsidR="00665B94" w:rsidRPr="006914C2">
        <w:rPr>
          <w:rFonts w:ascii="Times New Roman" w:hAnsi="Times New Roman" w:cs="Times New Roman"/>
          <w:sz w:val="24"/>
          <w:szCs w:val="24"/>
        </w:rPr>
        <w:t>е программы</w:t>
      </w:r>
      <w:r w:rsidRPr="006914C2">
        <w:rPr>
          <w:rFonts w:ascii="Times New Roman" w:hAnsi="Times New Roman" w:cs="Times New Roman"/>
          <w:sz w:val="24"/>
          <w:szCs w:val="24"/>
        </w:rPr>
        <w:t>, нефтегазовая отрасль</w:t>
      </w:r>
      <w:r w:rsidR="00DB4364" w:rsidRPr="006914C2">
        <w:rPr>
          <w:rFonts w:ascii="Times New Roman" w:hAnsi="Times New Roman" w:cs="Times New Roman"/>
          <w:sz w:val="24"/>
          <w:szCs w:val="24"/>
        </w:rPr>
        <w:t>.</w:t>
      </w:r>
    </w:p>
    <w:p w14:paraId="7AE41CAD" w14:textId="77777777" w:rsidR="000437D3" w:rsidRPr="006914C2" w:rsidRDefault="000437D3" w:rsidP="00043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05709" w14:textId="4BBBC5C8" w:rsidR="00B45F85" w:rsidRPr="006914C2" w:rsidRDefault="00A9476D" w:rsidP="00755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Проведение</w:t>
      </w:r>
      <w:r w:rsidR="00B45F85" w:rsidRPr="006914C2">
        <w:rPr>
          <w:rFonts w:ascii="Times New Roman" w:hAnsi="Times New Roman" w:cs="Times New Roman"/>
          <w:sz w:val="24"/>
          <w:szCs w:val="24"/>
        </w:rPr>
        <w:t xml:space="preserve"> социальной политики на предприятии</w:t>
      </w:r>
      <w:r w:rsidRPr="006914C2">
        <w:rPr>
          <w:rFonts w:ascii="Times New Roman" w:hAnsi="Times New Roman" w:cs="Times New Roman"/>
          <w:sz w:val="24"/>
          <w:szCs w:val="24"/>
        </w:rPr>
        <w:t xml:space="preserve"> – важный аспект, определяющий взаимоотношения</w:t>
      </w:r>
      <w:r w:rsidR="00B45F85" w:rsidRPr="006914C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6914C2">
        <w:rPr>
          <w:rFonts w:ascii="Times New Roman" w:hAnsi="Times New Roman" w:cs="Times New Roman"/>
          <w:sz w:val="24"/>
          <w:szCs w:val="24"/>
        </w:rPr>
        <w:t>и с</w:t>
      </w:r>
      <w:r w:rsidR="00B45F85" w:rsidRPr="006914C2">
        <w:rPr>
          <w:rFonts w:ascii="Times New Roman" w:hAnsi="Times New Roman" w:cs="Times New Roman"/>
          <w:sz w:val="24"/>
          <w:szCs w:val="24"/>
        </w:rPr>
        <w:t xml:space="preserve"> сотрудниками, клиентами и обществом в целом.</w:t>
      </w:r>
    </w:p>
    <w:p w14:paraId="5DE930F5" w14:textId="5EC58004" w:rsidR="00B45F85" w:rsidRPr="006914C2" w:rsidRDefault="00B45F85" w:rsidP="00755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Социальная политика предприятия представляет собой систему мероприятий, направленных на поддержание трудового коллектива и создание благоприятной рабочей обстановки, а также в успешном ведении социальных проектов, дающих престиж предприятию.</w:t>
      </w:r>
    </w:p>
    <w:p w14:paraId="59CD13F6" w14:textId="6C610B25" w:rsidR="00B45F85" w:rsidRPr="006914C2" w:rsidRDefault="00B45F85" w:rsidP="0072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В основе социальной политики лежит </w:t>
      </w:r>
      <w:r w:rsidR="00A9476D" w:rsidRPr="006914C2">
        <w:rPr>
          <w:rFonts w:ascii="Times New Roman" w:hAnsi="Times New Roman" w:cs="Times New Roman"/>
          <w:sz w:val="24"/>
          <w:szCs w:val="24"/>
        </w:rPr>
        <w:t>ряд</w:t>
      </w:r>
      <w:r w:rsidRPr="006914C2">
        <w:rPr>
          <w:rFonts w:ascii="Times New Roman" w:hAnsi="Times New Roman" w:cs="Times New Roman"/>
          <w:sz w:val="24"/>
          <w:szCs w:val="24"/>
        </w:rPr>
        <w:t xml:space="preserve"> социальных программ. Под понятием социальные программы принято понимать деятельность по созданию благоприятных условий труда для работников </w:t>
      </w:r>
      <w:r w:rsidR="00B0649F" w:rsidRPr="006914C2">
        <w:rPr>
          <w:rFonts w:ascii="Times New Roman" w:hAnsi="Times New Roman" w:cs="Times New Roman"/>
          <w:sz w:val="24"/>
          <w:szCs w:val="24"/>
        </w:rPr>
        <w:t>и развития</w:t>
      </w:r>
      <w:r w:rsidRPr="006914C2">
        <w:rPr>
          <w:rFonts w:ascii="Times New Roman" w:hAnsi="Times New Roman" w:cs="Times New Roman"/>
          <w:sz w:val="24"/>
          <w:szCs w:val="24"/>
        </w:rPr>
        <w:t xml:space="preserve"> их</w:t>
      </w:r>
      <w:r w:rsidR="00D0102D" w:rsidRPr="006914C2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B0649F" w:rsidRPr="006914C2">
        <w:rPr>
          <w:rFonts w:ascii="Times New Roman" w:hAnsi="Times New Roman" w:cs="Times New Roman"/>
          <w:sz w:val="24"/>
          <w:szCs w:val="24"/>
        </w:rPr>
        <w:t>ых</w:t>
      </w:r>
      <w:r w:rsidR="00D0102D"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="00B0649F" w:rsidRPr="006914C2">
        <w:rPr>
          <w:rFonts w:ascii="Times New Roman" w:hAnsi="Times New Roman" w:cs="Times New Roman"/>
          <w:sz w:val="24"/>
          <w:szCs w:val="24"/>
        </w:rPr>
        <w:t>навыков</w:t>
      </w:r>
      <w:r w:rsidR="00D0102D" w:rsidRPr="006914C2">
        <w:rPr>
          <w:rFonts w:ascii="Times New Roman" w:hAnsi="Times New Roman" w:cs="Times New Roman"/>
          <w:sz w:val="24"/>
          <w:szCs w:val="24"/>
        </w:rPr>
        <w:t xml:space="preserve">, а также участие в финансировании строительства и </w:t>
      </w:r>
      <w:r w:rsidR="005B7709" w:rsidRPr="006914C2">
        <w:rPr>
          <w:rFonts w:ascii="Times New Roman" w:hAnsi="Times New Roman" w:cs="Times New Roman"/>
          <w:sz w:val="24"/>
          <w:szCs w:val="24"/>
        </w:rPr>
        <w:t>содержания</w:t>
      </w:r>
      <w:r w:rsidR="00D0102D" w:rsidRPr="006914C2">
        <w:rPr>
          <w:rFonts w:ascii="Times New Roman" w:hAnsi="Times New Roman" w:cs="Times New Roman"/>
          <w:sz w:val="24"/>
          <w:szCs w:val="24"/>
        </w:rPr>
        <w:t xml:space="preserve"> медицинских, образовательных и культурных учреждений.</w:t>
      </w:r>
    </w:p>
    <w:p w14:paraId="7345CD11" w14:textId="79C93F81" w:rsidR="00D0102D" w:rsidRPr="006914C2" w:rsidRDefault="00D0102D" w:rsidP="0072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Социальная </w:t>
      </w:r>
      <w:r w:rsidR="005B7709" w:rsidRPr="006914C2">
        <w:rPr>
          <w:rFonts w:ascii="Times New Roman" w:hAnsi="Times New Roman" w:cs="Times New Roman"/>
          <w:sz w:val="24"/>
          <w:szCs w:val="24"/>
        </w:rPr>
        <w:t>политика, в</w:t>
      </w:r>
      <w:r w:rsidRPr="006914C2">
        <w:rPr>
          <w:rFonts w:ascii="Times New Roman" w:hAnsi="Times New Roman" w:cs="Times New Roman"/>
          <w:sz w:val="24"/>
          <w:szCs w:val="24"/>
        </w:rPr>
        <w:t xml:space="preserve"> свою очередь</w:t>
      </w:r>
      <w:r w:rsidR="005B7709" w:rsidRPr="006914C2">
        <w:rPr>
          <w:rFonts w:ascii="Times New Roman" w:hAnsi="Times New Roman" w:cs="Times New Roman"/>
          <w:sz w:val="24"/>
          <w:szCs w:val="24"/>
        </w:rPr>
        <w:t>,</w:t>
      </w:r>
      <w:r w:rsidRPr="006914C2">
        <w:rPr>
          <w:rFonts w:ascii="Times New Roman" w:hAnsi="Times New Roman" w:cs="Times New Roman"/>
          <w:sz w:val="24"/>
          <w:szCs w:val="24"/>
        </w:rPr>
        <w:t xml:space="preserve"> может быть как внутренне</w:t>
      </w:r>
      <w:r w:rsidR="005B7709" w:rsidRPr="006914C2">
        <w:rPr>
          <w:rFonts w:ascii="Times New Roman" w:hAnsi="Times New Roman" w:cs="Times New Roman"/>
          <w:sz w:val="24"/>
          <w:szCs w:val="24"/>
        </w:rPr>
        <w:t>й</w:t>
      </w:r>
      <w:r w:rsidRPr="006914C2">
        <w:rPr>
          <w:rFonts w:ascii="Times New Roman" w:hAnsi="Times New Roman" w:cs="Times New Roman"/>
          <w:sz w:val="24"/>
          <w:szCs w:val="24"/>
        </w:rPr>
        <w:t>, так и внешне</w:t>
      </w:r>
      <w:r w:rsidR="005B7709" w:rsidRPr="006914C2">
        <w:rPr>
          <w:rFonts w:ascii="Times New Roman" w:hAnsi="Times New Roman" w:cs="Times New Roman"/>
          <w:sz w:val="24"/>
          <w:szCs w:val="24"/>
        </w:rPr>
        <w:t>й</w:t>
      </w:r>
      <w:r w:rsidRPr="006914C2">
        <w:rPr>
          <w:rFonts w:ascii="Times New Roman" w:hAnsi="Times New Roman" w:cs="Times New Roman"/>
          <w:sz w:val="24"/>
          <w:szCs w:val="24"/>
        </w:rPr>
        <w:t>. Он</w:t>
      </w:r>
      <w:r w:rsidR="00E22C1F" w:rsidRPr="006914C2">
        <w:rPr>
          <w:rFonts w:ascii="Times New Roman" w:hAnsi="Times New Roman" w:cs="Times New Roman"/>
          <w:sz w:val="24"/>
          <w:szCs w:val="24"/>
        </w:rPr>
        <w:t>а</w:t>
      </w:r>
      <w:r w:rsidRPr="006914C2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22C1F" w:rsidRPr="006914C2">
        <w:rPr>
          <w:rFonts w:ascii="Times New Roman" w:hAnsi="Times New Roman" w:cs="Times New Roman"/>
          <w:sz w:val="24"/>
          <w:szCs w:val="24"/>
        </w:rPr>
        <w:t>а</w:t>
      </w:r>
      <w:r w:rsidRPr="006914C2">
        <w:rPr>
          <w:rFonts w:ascii="Times New Roman" w:hAnsi="Times New Roman" w:cs="Times New Roman"/>
          <w:sz w:val="24"/>
          <w:szCs w:val="24"/>
        </w:rPr>
        <w:t xml:space="preserve"> соответствовать стратегии и целям </w:t>
      </w:r>
      <w:r w:rsidR="00E22C1F" w:rsidRPr="006914C2">
        <w:rPr>
          <w:rFonts w:ascii="Times New Roman" w:hAnsi="Times New Roman" w:cs="Times New Roman"/>
          <w:sz w:val="24"/>
          <w:szCs w:val="24"/>
        </w:rPr>
        <w:t xml:space="preserve">компании и </w:t>
      </w:r>
      <w:r w:rsidR="005B7709" w:rsidRPr="006914C2">
        <w:rPr>
          <w:rFonts w:ascii="Times New Roman" w:hAnsi="Times New Roman" w:cs="Times New Roman"/>
          <w:sz w:val="24"/>
          <w:szCs w:val="24"/>
        </w:rPr>
        <w:t xml:space="preserve">быть направленной на </w:t>
      </w:r>
      <w:r w:rsidR="00E22C1F" w:rsidRPr="006914C2">
        <w:rPr>
          <w:rFonts w:ascii="Times New Roman" w:hAnsi="Times New Roman" w:cs="Times New Roman"/>
          <w:sz w:val="24"/>
          <w:szCs w:val="24"/>
        </w:rPr>
        <w:t>решени</w:t>
      </w:r>
      <w:r w:rsidR="005B7709" w:rsidRPr="006914C2">
        <w:rPr>
          <w:rFonts w:ascii="Times New Roman" w:hAnsi="Times New Roman" w:cs="Times New Roman"/>
          <w:sz w:val="24"/>
          <w:szCs w:val="24"/>
        </w:rPr>
        <w:t>е</w:t>
      </w:r>
      <w:r w:rsidR="00E22C1F"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="005B7709" w:rsidRPr="006914C2">
        <w:rPr>
          <w:rFonts w:ascii="Times New Roman" w:hAnsi="Times New Roman" w:cs="Times New Roman"/>
          <w:sz w:val="24"/>
          <w:szCs w:val="24"/>
        </w:rPr>
        <w:t xml:space="preserve">целого ряда вопросов, актуальных </w:t>
      </w:r>
      <w:r w:rsidR="00714570" w:rsidRPr="006914C2">
        <w:rPr>
          <w:rFonts w:ascii="Times New Roman" w:hAnsi="Times New Roman" w:cs="Times New Roman"/>
          <w:sz w:val="24"/>
          <w:szCs w:val="24"/>
        </w:rPr>
        <w:t xml:space="preserve">как </w:t>
      </w:r>
      <w:r w:rsidR="005B7709" w:rsidRPr="006914C2">
        <w:rPr>
          <w:rFonts w:ascii="Times New Roman" w:hAnsi="Times New Roman" w:cs="Times New Roman"/>
          <w:sz w:val="24"/>
          <w:szCs w:val="24"/>
        </w:rPr>
        <w:t>для сотрудников</w:t>
      </w:r>
      <w:r w:rsidR="00714570" w:rsidRPr="006914C2">
        <w:rPr>
          <w:rFonts w:ascii="Times New Roman" w:hAnsi="Times New Roman" w:cs="Times New Roman"/>
          <w:sz w:val="24"/>
          <w:szCs w:val="24"/>
        </w:rPr>
        <w:t>, так</w:t>
      </w:r>
      <w:r w:rsidR="00E22C1F" w:rsidRPr="006914C2">
        <w:rPr>
          <w:rFonts w:ascii="Times New Roman" w:hAnsi="Times New Roman" w:cs="Times New Roman"/>
          <w:sz w:val="24"/>
          <w:szCs w:val="24"/>
        </w:rPr>
        <w:t xml:space="preserve"> и самой организаци</w:t>
      </w:r>
      <w:r w:rsidR="005B7709" w:rsidRPr="006914C2">
        <w:rPr>
          <w:rFonts w:ascii="Times New Roman" w:hAnsi="Times New Roman" w:cs="Times New Roman"/>
          <w:sz w:val="24"/>
          <w:szCs w:val="24"/>
        </w:rPr>
        <w:t>и</w:t>
      </w:r>
      <w:r w:rsidR="00E22C1F" w:rsidRPr="006914C2">
        <w:rPr>
          <w:rFonts w:ascii="Times New Roman" w:hAnsi="Times New Roman" w:cs="Times New Roman"/>
          <w:sz w:val="24"/>
          <w:szCs w:val="24"/>
        </w:rPr>
        <w:t>. Важно, чтобы социальные программы были разнообразными и охватывали различные аспекты, такие как здоровье сотрудников, развитие персонала</w:t>
      </w:r>
      <w:r w:rsidR="005B7709" w:rsidRPr="006914C2">
        <w:rPr>
          <w:rFonts w:ascii="Times New Roman" w:hAnsi="Times New Roman" w:cs="Times New Roman"/>
          <w:sz w:val="24"/>
          <w:szCs w:val="24"/>
        </w:rPr>
        <w:t xml:space="preserve"> и</w:t>
      </w:r>
      <w:r w:rsidR="00E22C1F" w:rsidRPr="006914C2">
        <w:rPr>
          <w:rFonts w:ascii="Times New Roman" w:hAnsi="Times New Roman" w:cs="Times New Roman"/>
          <w:sz w:val="24"/>
          <w:szCs w:val="24"/>
        </w:rPr>
        <w:t xml:space="preserve"> благотворительность в целом.</w:t>
      </w:r>
    </w:p>
    <w:p w14:paraId="6CBDF332" w14:textId="7FE655ED" w:rsidR="00E22C1F" w:rsidRPr="006914C2" w:rsidRDefault="00E22C1F" w:rsidP="0072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Внутренн</w:t>
      </w:r>
      <w:r w:rsidR="005937F5" w:rsidRPr="006914C2">
        <w:rPr>
          <w:rFonts w:ascii="Times New Roman" w:hAnsi="Times New Roman" w:cs="Times New Roman"/>
          <w:sz w:val="24"/>
          <w:szCs w:val="24"/>
        </w:rPr>
        <w:t xml:space="preserve">яя </w:t>
      </w:r>
      <w:r w:rsidRPr="006914C2">
        <w:rPr>
          <w:rFonts w:ascii="Times New Roman" w:hAnsi="Times New Roman" w:cs="Times New Roman"/>
          <w:sz w:val="24"/>
          <w:szCs w:val="24"/>
        </w:rPr>
        <w:t>социаль</w:t>
      </w:r>
      <w:r w:rsidR="005937F5" w:rsidRPr="006914C2">
        <w:rPr>
          <w:rFonts w:ascii="Times New Roman" w:hAnsi="Times New Roman" w:cs="Times New Roman"/>
          <w:sz w:val="24"/>
          <w:szCs w:val="24"/>
        </w:rPr>
        <w:t>ная</w:t>
      </w:r>
      <w:r w:rsidRPr="006914C2">
        <w:rPr>
          <w:rFonts w:ascii="Times New Roman" w:hAnsi="Times New Roman" w:cs="Times New Roman"/>
          <w:sz w:val="24"/>
          <w:szCs w:val="24"/>
        </w:rPr>
        <w:t xml:space="preserve"> п</w:t>
      </w:r>
      <w:r w:rsidR="005937F5" w:rsidRPr="006914C2">
        <w:rPr>
          <w:rFonts w:ascii="Times New Roman" w:hAnsi="Times New Roman" w:cs="Times New Roman"/>
          <w:sz w:val="24"/>
          <w:szCs w:val="24"/>
        </w:rPr>
        <w:t xml:space="preserve">олитика </w:t>
      </w:r>
      <w:r w:rsidR="00791D99" w:rsidRPr="006914C2">
        <w:rPr>
          <w:rFonts w:ascii="Times New Roman" w:hAnsi="Times New Roman" w:cs="Times New Roman"/>
          <w:sz w:val="24"/>
          <w:szCs w:val="24"/>
        </w:rPr>
        <w:t>направлена</w:t>
      </w:r>
      <w:r w:rsidRPr="006914C2">
        <w:rPr>
          <w:rFonts w:ascii="Times New Roman" w:hAnsi="Times New Roman" w:cs="Times New Roman"/>
          <w:sz w:val="24"/>
          <w:szCs w:val="24"/>
        </w:rPr>
        <w:t xml:space="preserve"> на обеспечение достойного уровня оплаты труда, поддержку работников в трудные моменты, предоставление безопасных условий труда и возможностей для профессионального развития</w:t>
      </w:r>
      <w:r w:rsidR="00561223" w:rsidRPr="006914C2">
        <w:rPr>
          <w:rFonts w:ascii="Times New Roman" w:hAnsi="Times New Roman" w:cs="Times New Roman"/>
          <w:sz w:val="24"/>
          <w:szCs w:val="24"/>
        </w:rPr>
        <w:t>. Социальны</w:t>
      </w:r>
      <w:r w:rsidR="005B7709" w:rsidRPr="006914C2">
        <w:rPr>
          <w:rFonts w:ascii="Times New Roman" w:hAnsi="Times New Roman" w:cs="Times New Roman"/>
          <w:sz w:val="24"/>
          <w:szCs w:val="24"/>
        </w:rPr>
        <w:t>е</w:t>
      </w:r>
      <w:r w:rsidR="00561223" w:rsidRPr="006914C2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5B7709" w:rsidRPr="006914C2">
        <w:rPr>
          <w:rFonts w:ascii="Times New Roman" w:hAnsi="Times New Roman" w:cs="Times New Roman"/>
          <w:sz w:val="24"/>
          <w:szCs w:val="24"/>
        </w:rPr>
        <w:t xml:space="preserve">ы, такие как </w:t>
      </w:r>
      <w:r w:rsidR="00561223" w:rsidRPr="006914C2">
        <w:rPr>
          <w:rFonts w:ascii="Times New Roman" w:hAnsi="Times New Roman" w:cs="Times New Roman"/>
          <w:sz w:val="24"/>
          <w:szCs w:val="24"/>
        </w:rPr>
        <w:t>бонус</w:t>
      </w:r>
      <w:r w:rsidR="005B7709" w:rsidRPr="006914C2">
        <w:rPr>
          <w:rFonts w:ascii="Times New Roman" w:hAnsi="Times New Roman" w:cs="Times New Roman"/>
          <w:sz w:val="24"/>
          <w:szCs w:val="24"/>
        </w:rPr>
        <w:t>ы</w:t>
      </w:r>
      <w:r w:rsidR="00561223" w:rsidRPr="006914C2">
        <w:rPr>
          <w:rFonts w:ascii="Times New Roman" w:hAnsi="Times New Roman" w:cs="Times New Roman"/>
          <w:sz w:val="24"/>
          <w:szCs w:val="24"/>
        </w:rPr>
        <w:t xml:space="preserve"> и льгот</w:t>
      </w:r>
      <w:r w:rsidR="005B7709" w:rsidRPr="006914C2">
        <w:rPr>
          <w:rFonts w:ascii="Times New Roman" w:hAnsi="Times New Roman" w:cs="Times New Roman"/>
          <w:sz w:val="24"/>
          <w:szCs w:val="24"/>
        </w:rPr>
        <w:t>ы</w:t>
      </w:r>
      <w:r w:rsidR="00561223" w:rsidRPr="006914C2">
        <w:rPr>
          <w:rFonts w:ascii="Times New Roman" w:hAnsi="Times New Roman" w:cs="Times New Roman"/>
          <w:sz w:val="24"/>
          <w:szCs w:val="24"/>
        </w:rPr>
        <w:t>, пред</w:t>
      </w:r>
      <w:r w:rsidR="005B7709" w:rsidRPr="006914C2">
        <w:rPr>
          <w:rFonts w:ascii="Times New Roman" w:hAnsi="Times New Roman" w:cs="Times New Roman"/>
          <w:sz w:val="24"/>
          <w:szCs w:val="24"/>
        </w:rPr>
        <w:t xml:space="preserve">лагаемые </w:t>
      </w:r>
      <w:r w:rsidR="00561223" w:rsidRPr="006914C2">
        <w:rPr>
          <w:rFonts w:ascii="Times New Roman" w:hAnsi="Times New Roman" w:cs="Times New Roman"/>
          <w:sz w:val="24"/>
          <w:szCs w:val="24"/>
        </w:rPr>
        <w:t>работникам, игра</w:t>
      </w:r>
      <w:r w:rsidR="005B7709" w:rsidRPr="006914C2">
        <w:rPr>
          <w:rFonts w:ascii="Times New Roman" w:hAnsi="Times New Roman" w:cs="Times New Roman"/>
          <w:sz w:val="24"/>
          <w:szCs w:val="24"/>
        </w:rPr>
        <w:t>ю</w:t>
      </w:r>
      <w:r w:rsidR="00561223" w:rsidRPr="006914C2">
        <w:rPr>
          <w:rFonts w:ascii="Times New Roman" w:hAnsi="Times New Roman" w:cs="Times New Roman"/>
          <w:sz w:val="24"/>
          <w:szCs w:val="24"/>
        </w:rPr>
        <w:t>т важную роль при выборе работодателя. В то время внешн</w:t>
      </w:r>
      <w:r w:rsidR="00DA1A67" w:rsidRPr="006914C2">
        <w:rPr>
          <w:rFonts w:ascii="Times New Roman" w:hAnsi="Times New Roman" w:cs="Times New Roman"/>
          <w:sz w:val="24"/>
          <w:szCs w:val="24"/>
        </w:rPr>
        <w:t>яя</w:t>
      </w:r>
      <w:r w:rsidR="00561223" w:rsidRPr="006914C2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DA1A67" w:rsidRPr="006914C2">
        <w:rPr>
          <w:rFonts w:ascii="Times New Roman" w:hAnsi="Times New Roman" w:cs="Times New Roman"/>
          <w:sz w:val="24"/>
          <w:szCs w:val="24"/>
        </w:rPr>
        <w:t>ая</w:t>
      </w:r>
      <w:r w:rsidR="00561223"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="00DA1A67" w:rsidRPr="006914C2">
        <w:rPr>
          <w:rFonts w:ascii="Times New Roman" w:hAnsi="Times New Roman" w:cs="Times New Roman"/>
          <w:sz w:val="24"/>
          <w:szCs w:val="24"/>
        </w:rPr>
        <w:t>политика</w:t>
      </w:r>
      <w:r w:rsidR="00561223" w:rsidRPr="006914C2">
        <w:rPr>
          <w:rFonts w:ascii="Times New Roman" w:hAnsi="Times New Roman" w:cs="Times New Roman"/>
          <w:sz w:val="24"/>
          <w:szCs w:val="24"/>
        </w:rPr>
        <w:t xml:space="preserve"> дела</w:t>
      </w:r>
      <w:r w:rsidR="00DA1A67" w:rsidRPr="006914C2">
        <w:rPr>
          <w:rFonts w:ascii="Times New Roman" w:hAnsi="Times New Roman" w:cs="Times New Roman"/>
          <w:sz w:val="24"/>
          <w:szCs w:val="24"/>
        </w:rPr>
        <w:t>е</w:t>
      </w:r>
      <w:r w:rsidR="00561223" w:rsidRPr="006914C2">
        <w:rPr>
          <w:rFonts w:ascii="Times New Roman" w:hAnsi="Times New Roman" w:cs="Times New Roman"/>
          <w:sz w:val="24"/>
          <w:szCs w:val="24"/>
        </w:rPr>
        <w:t xml:space="preserve">т свой упор на охрану </w:t>
      </w:r>
      <w:r w:rsidR="00561223" w:rsidRPr="006914C2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среды, программу по сохранению культурного наследия, поддержке групп населения, нуждающихся в помощи, </w:t>
      </w:r>
      <w:r w:rsidR="00791D99" w:rsidRPr="006914C2">
        <w:rPr>
          <w:rFonts w:ascii="Times New Roman" w:hAnsi="Times New Roman" w:cs="Times New Roman"/>
          <w:sz w:val="24"/>
          <w:szCs w:val="24"/>
        </w:rPr>
        <w:t>и других</w:t>
      </w:r>
      <w:r w:rsidR="00561223" w:rsidRPr="006914C2">
        <w:rPr>
          <w:rFonts w:ascii="Times New Roman" w:hAnsi="Times New Roman" w:cs="Times New Roman"/>
          <w:sz w:val="24"/>
          <w:szCs w:val="24"/>
        </w:rPr>
        <w:t xml:space="preserve"> социальных проект</w:t>
      </w:r>
      <w:r w:rsidR="00DA1A67" w:rsidRPr="006914C2">
        <w:rPr>
          <w:rFonts w:ascii="Times New Roman" w:hAnsi="Times New Roman" w:cs="Times New Roman"/>
          <w:sz w:val="24"/>
          <w:szCs w:val="24"/>
        </w:rPr>
        <w:t>ах</w:t>
      </w:r>
      <w:r w:rsidR="00561223" w:rsidRPr="006914C2">
        <w:rPr>
          <w:rFonts w:ascii="Times New Roman" w:hAnsi="Times New Roman" w:cs="Times New Roman"/>
          <w:sz w:val="24"/>
          <w:szCs w:val="24"/>
        </w:rPr>
        <w:t>.</w:t>
      </w:r>
    </w:p>
    <w:p w14:paraId="3C74176C" w14:textId="38961EBE" w:rsidR="0073797F" w:rsidRPr="006914C2" w:rsidRDefault="00924B19" w:rsidP="0072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На сегодняшний день существует множество мнений относительно того, какие критерии и принципы должны быть</w:t>
      </w:r>
      <w:r w:rsidR="00C61CE1" w:rsidRPr="006914C2">
        <w:rPr>
          <w:rFonts w:ascii="Times New Roman" w:hAnsi="Times New Roman" w:cs="Times New Roman"/>
          <w:sz w:val="24"/>
          <w:szCs w:val="24"/>
        </w:rPr>
        <w:t xml:space="preserve"> соблюдены при формировании социальной политики в различных компаниях. Однако стоит отметить, что цель таких программ – это улучшение отношений между работниками и компаниями, а также улучшения различных сфер жизни общества посредством участия в федеральных и региональных социальных проектах.</w:t>
      </w:r>
      <w:r w:rsidR="00073879" w:rsidRPr="006914C2">
        <w:rPr>
          <w:rFonts w:ascii="Times New Roman" w:hAnsi="Times New Roman" w:cs="Times New Roman"/>
          <w:sz w:val="24"/>
          <w:szCs w:val="24"/>
        </w:rPr>
        <w:t xml:space="preserve"> Социальная политика в государстве не может решить все проблемы общества. Однако многие организации, например корпорации, делают акцент на развитии своей социальной политики с целью внести свой вклад в улучшение условий жизни общества и взаимоотношениями между сотрудниками.</w:t>
      </w:r>
      <w:r w:rsidR="00DA0E18"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="004974FD" w:rsidRPr="006914C2">
        <w:rPr>
          <w:rFonts w:ascii="Times New Roman" w:hAnsi="Times New Roman" w:cs="Times New Roman"/>
          <w:sz w:val="24"/>
          <w:szCs w:val="24"/>
        </w:rPr>
        <w:t xml:space="preserve">Если рассматривать различные социальные программы важно понимать разницу между ними. Так, в качестве примера можно привести деятельность нефтегазовых компаний, в которых </w:t>
      </w:r>
      <w:r w:rsidR="0043677F" w:rsidRPr="006914C2">
        <w:rPr>
          <w:rFonts w:ascii="Times New Roman" w:hAnsi="Times New Roman" w:cs="Times New Roman"/>
          <w:sz w:val="24"/>
          <w:szCs w:val="24"/>
        </w:rPr>
        <w:t>социальные программы являются неотъемлемой частью корпоративной социальной политики.</w:t>
      </w:r>
    </w:p>
    <w:p w14:paraId="06F70BD9" w14:textId="7F094CCD" w:rsidR="00A91BAC" w:rsidRPr="006914C2" w:rsidRDefault="00E960E5" w:rsidP="0072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9455022"/>
      <w:r w:rsidRPr="006914C2">
        <w:rPr>
          <w:rFonts w:ascii="Times New Roman" w:hAnsi="Times New Roman" w:cs="Times New Roman"/>
          <w:sz w:val="24"/>
          <w:szCs w:val="24"/>
        </w:rPr>
        <w:t xml:space="preserve">В российских нефтегазовых компаниях отмечается более высокий уровень социальной ответственности, включающий в себя многообразие форм реализации социальных программ, которые являются инструментом социального обеспечения, поддержки и развития работников и </w:t>
      </w:r>
      <w:r w:rsidR="00A91BAC" w:rsidRPr="006914C2">
        <w:rPr>
          <w:rFonts w:ascii="Times New Roman" w:hAnsi="Times New Roman" w:cs="Times New Roman"/>
          <w:sz w:val="24"/>
          <w:szCs w:val="24"/>
        </w:rPr>
        <w:t>населения</w:t>
      </w:r>
      <w:r w:rsidRPr="006914C2">
        <w:rPr>
          <w:rFonts w:ascii="Times New Roman" w:hAnsi="Times New Roman" w:cs="Times New Roman"/>
          <w:sz w:val="24"/>
          <w:szCs w:val="24"/>
        </w:rPr>
        <w:t xml:space="preserve">. </w:t>
      </w:r>
      <w:r w:rsidR="00A91BAC" w:rsidRPr="006914C2">
        <w:rPr>
          <w:rFonts w:ascii="Times New Roman" w:hAnsi="Times New Roman" w:cs="Times New Roman"/>
          <w:sz w:val="24"/>
          <w:szCs w:val="24"/>
        </w:rPr>
        <w:t xml:space="preserve">На основе принципов коммерческого финансирования социальных услуг, которые обращены на удовлетворение различных </w:t>
      </w:r>
      <w:r w:rsidR="00B81BA5" w:rsidRPr="006914C2">
        <w:rPr>
          <w:rFonts w:ascii="Times New Roman" w:hAnsi="Times New Roman" w:cs="Times New Roman"/>
          <w:sz w:val="24"/>
          <w:szCs w:val="24"/>
        </w:rPr>
        <w:t>сторон</w:t>
      </w:r>
      <w:r w:rsidR="00A91BAC" w:rsidRPr="006914C2">
        <w:rPr>
          <w:rFonts w:ascii="Times New Roman" w:hAnsi="Times New Roman" w:cs="Times New Roman"/>
          <w:sz w:val="24"/>
          <w:szCs w:val="24"/>
        </w:rPr>
        <w:t xml:space="preserve"> социальной жизни населения, можно сделать вывод о том, что они способствуют удовлетворению разнородных социальных потребностей.</w:t>
      </w:r>
    </w:p>
    <w:p w14:paraId="080AD5D7" w14:textId="246D6FB0" w:rsidR="00A23BE1" w:rsidRPr="006914C2" w:rsidRDefault="00237120" w:rsidP="00F172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ПАО «Газпром» выражает свое влияние </w:t>
      </w:r>
      <w:r w:rsidR="00755648" w:rsidRPr="006914C2">
        <w:rPr>
          <w:rFonts w:ascii="Times New Roman" w:hAnsi="Times New Roman" w:cs="Times New Roman"/>
          <w:sz w:val="24"/>
          <w:szCs w:val="24"/>
        </w:rPr>
        <w:t>через</w:t>
      </w:r>
      <w:r w:rsidR="007B6816" w:rsidRPr="006914C2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755648" w:rsidRPr="006914C2">
        <w:rPr>
          <w:rFonts w:ascii="Times New Roman" w:hAnsi="Times New Roman" w:cs="Times New Roman"/>
          <w:sz w:val="24"/>
          <w:szCs w:val="24"/>
        </w:rPr>
        <w:t>ю</w:t>
      </w:r>
      <w:r w:rsidRPr="006914C2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755648" w:rsidRPr="006914C2">
        <w:rPr>
          <w:rFonts w:ascii="Times New Roman" w:hAnsi="Times New Roman" w:cs="Times New Roman"/>
          <w:sz w:val="24"/>
          <w:szCs w:val="24"/>
        </w:rPr>
        <w:t>х</w:t>
      </w:r>
      <w:r w:rsidRPr="006914C2">
        <w:rPr>
          <w:rFonts w:ascii="Times New Roman" w:hAnsi="Times New Roman" w:cs="Times New Roman"/>
          <w:sz w:val="24"/>
          <w:szCs w:val="24"/>
        </w:rPr>
        <w:t xml:space="preserve"> форм</w:t>
      </w:r>
      <w:r w:rsidR="00755648"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Pr="006914C2">
        <w:rPr>
          <w:rFonts w:ascii="Times New Roman" w:hAnsi="Times New Roman" w:cs="Times New Roman"/>
          <w:sz w:val="24"/>
          <w:szCs w:val="24"/>
        </w:rPr>
        <w:t xml:space="preserve">благотворительных инициатив, которые могут быть как внешними, так и внутренними. Они направлены на </w:t>
      </w:r>
      <w:r w:rsidR="007B6816" w:rsidRPr="006914C2">
        <w:rPr>
          <w:rFonts w:ascii="Times New Roman" w:hAnsi="Times New Roman" w:cs="Times New Roman"/>
          <w:sz w:val="24"/>
          <w:szCs w:val="24"/>
        </w:rPr>
        <w:t>улучшение</w:t>
      </w:r>
      <w:r w:rsidRPr="006914C2">
        <w:rPr>
          <w:rFonts w:ascii="Times New Roman" w:hAnsi="Times New Roman" w:cs="Times New Roman"/>
          <w:sz w:val="24"/>
          <w:szCs w:val="24"/>
        </w:rPr>
        <w:t xml:space="preserve"> инфраструктуры регионов, поддержк</w:t>
      </w:r>
      <w:r w:rsidR="007B6816" w:rsidRPr="006914C2">
        <w:rPr>
          <w:rFonts w:ascii="Times New Roman" w:hAnsi="Times New Roman" w:cs="Times New Roman"/>
          <w:sz w:val="24"/>
          <w:szCs w:val="24"/>
        </w:rPr>
        <w:t>у</w:t>
      </w:r>
      <w:r w:rsidRPr="006914C2">
        <w:rPr>
          <w:rFonts w:ascii="Times New Roman" w:hAnsi="Times New Roman" w:cs="Times New Roman"/>
          <w:sz w:val="24"/>
          <w:szCs w:val="24"/>
        </w:rPr>
        <w:t xml:space="preserve"> культуры, образования и науки, а также </w:t>
      </w:r>
      <w:r w:rsidR="007B6816" w:rsidRPr="006914C2">
        <w:rPr>
          <w:rFonts w:ascii="Times New Roman" w:hAnsi="Times New Roman" w:cs="Times New Roman"/>
          <w:sz w:val="24"/>
          <w:szCs w:val="24"/>
        </w:rPr>
        <w:t>помощь</w:t>
      </w:r>
      <w:r w:rsidR="00F87C21" w:rsidRPr="006914C2">
        <w:rPr>
          <w:rFonts w:ascii="Times New Roman" w:hAnsi="Times New Roman" w:cs="Times New Roman"/>
          <w:sz w:val="24"/>
          <w:szCs w:val="24"/>
        </w:rPr>
        <w:t>ю</w:t>
      </w:r>
      <w:r w:rsidR="007B6816"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Pr="006914C2">
        <w:rPr>
          <w:rFonts w:ascii="Times New Roman" w:hAnsi="Times New Roman" w:cs="Times New Roman"/>
          <w:sz w:val="24"/>
          <w:szCs w:val="24"/>
        </w:rPr>
        <w:t>социально</w:t>
      </w:r>
      <w:r w:rsidR="00F87C21" w:rsidRPr="006914C2">
        <w:rPr>
          <w:rFonts w:ascii="Times New Roman" w:hAnsi="Times New Roman" w:cs="Times New Roman"/>
          <w:sz w:val="24"/>
          <w:szCs w:val="24"/>
        </w:rPr>
        <w:t>-</w:t>
      </w:r>
      <w:r w:rsidRPr="006914C2">
        <w:rPr>
          <w:rFonts w:ascii="Times New Roman" w:hAnsi="Times New Roman" w:cs="Times New Roman"/>
          <w:sz w:val="24"/>
          <w:szCs w:val="24"/>
        </w:rPr>
        <w:t>незащищенны</w:t>
      </w:r>
      <w:r w:rsidR="007B6816" w:rsidRPr="006914C2">
        <w:rPr>
          <w:rFonts w:ascii="Times New Roman" w:hAnsi="Times New Roman" w:cs="Times New Roman"/>
          <w:sz w:val="24"/>
          <w:szCs w:val="24"/>
        </w:rPr>
        <w:t>м</w:t>
      </w:r>
      <w:r w:rsidRPr="006914C2">
        <w:rPr>
          <w:rFonts w:ascii="Times New Roman" w:hAnsi="Times New Roman" w:cs="Times New Roman"/>
          <w:sz w:val="24"/>
          <w:szCs w:val="24"/>
        </w:rPr>
        <w:t xml:space="preserve"> сло</w:t>
      </w:r>
      <w:r w:rsidR="007B6816" w:rsidRPr="006914C2">
        <w:rPr>
          <w:rFonts w:ascii="Times New Roman" w:hAnsi="Times New Roman" w:cs="Times New Roman"/>
          <w:sz w:val="24"/>
          <w:szCs w:val="24"/>
        </w:rPr>
        <w:t>ям</w:t>
      </w:r>
      <w:r w:rsidRPr="006914C2">
        <w:rPr>
          <w:rFonts w:ascii="Times New Roman" w:hAnsi="Times New Roman" w:cs="Times New Roman"/>
          <w:sz w:val="24"/>
          <w:szCs w:val="24"/>
        </w:rPr>
        <w:t xml:space="preserve"> населения. </w:t>
      </w:r>
      <w:r w:rsidR="00F87C21" w:rsidRPr="006914C2">
        <w:rPr>
          <w:rFonts w:ascii="Times New Roman" w:hAnsi="Times New Roman" w:cs="Times New Roman"/>
          <w:sz w:val="24"/>
          <w:szCs w:val="24"/>
        </w:rPr>
        <w:t>Одним из ярких примеров реализации данных социальных программ является проект «Газпром-детям»,</w:t>
      </w:r>
      <w:r w:rsidR="007B6816"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="00F87C21" w:rsidRPr="006914C2">
        <w:rPr>
          <w:rFonts w:ascii="Times New Roman" w:hAnsi="Times New Roman" w:cs="Times New Roman"/>
          <w:sz w:val="24"/>
          <w:szCs w:val="24"/>
        </w:rPr>
        <w:t xml:space="preserve">в рамках которого популяризуется </w:t>
      </w:r>
      <w:r w:rsidR="00EE2F5D" w:rsidRPr="006914C2">
        <w:rPr>
          <w:rFonts w:ascii="Times New Roman" w:hAnsi="Times New Roman" w:cs="Times New Roman"/>
          <w:sz w:val="24"/>
          <w:szCs w:val="24"/>
        </w:rPr>
        <w:t xml:space="preserve">спорт и </w:t>
      </w:r>
      <w:r w:rsidR="00741502" w:rsidRPr="006914C2">
        <w:rPr>
          <w:rFonts w:ascii="Times New Roman" w:hAnsi="Times New Roman" w:cs="Times New Roman"/>
          <w:sz w:val="24"/>
          <w:szCs w:val="24"/>
        </w:rPr>
        <w:t>здоров</w:t>
      </w:r>
      <w:r w:rsidR="00F87C21" w:rsidRPr="006914C2">
        <w:rPr>
          <w:rFonts w:ascii="Times New Roman" w:hAnsi="Times New Roman" w:cs="Times New Roman"/>
          <w:sz w:val="24"/>
          <w:szCs w:val="24"/>
        </w:rPr>
        <w:t>ый</w:t>
      </w:r>
      <w:r w:rsidR="00EE2F5D" w:rsidRPr="006914C2">
        <w:rPr>
          <w:rFonts w:ascii="Times New Roman" w:hAnsi="Times New Roman" w:cs="Times New Roman"/>
          <w:sz w:val="24"/>
          <w:szCs w:val="24"/>
        </w:rPr>
        <w:t xml:space="preserve"> образ жизни среди детей и подростков.</w:t>
      </w:r>
      <w:r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="00F87C21" w:rsidRPr="006914C2">
        <w:rPr>
          <w:rFonts w:ascii="Times New Roman" w:hAnsi="Times New Roman" w:cs="Times New Roman"/>
          <w:sz w:val="24"/>
          <w:szCs w:val="24"/>
        </w:rPr>
        <w:t>Данный проект ведется на базе данного предприятия около 17 лет.</w:t>
      </w:r>
      <w:r w:rsidR="00741502" w:rsidRPr="006914C2">
        <w:rPr>
          <w:rFonts w:ascii="Times New Roman" w:hAnsi="Times New Roman" w:cs="Times New Roman"/>
          <w:sz w:val="24"/>
          <w:szCs w:val="24"/>
        </w:rPr>
        <w:t xml:space="preserve"> Для</w:t>
      </w:r>
      <w:r w:rsidR="00A23BE1" w:rsidRPr="006914C2">
        <w:rPr>
          <w:rFonts w:ascii="Times New Roman" w:hAnsi="Times New Roman" w:cs="Times New Roman"/>
          <w:sz w:val="24"/>
          <w:szCs w:val="24"/>
        </w:rPr>
        <w:t xml:space="preserve"> повышения качества жизни и </w:t>
      </w:r>
      <w:r w:rsidR="00741502" w:rsidRPr="006914C2">
        <w:rPr>
          <w:rFonts w:ascii="Times New Roman" w:hAnsi="Times New Roman" w:cs="Times New Roman"/>
          <w:sz w:val="24"/>
          <w:szCs w:val="24"/>
        </w:rPr>
        <w:t>работы своих</w:t>
      </w:r>
      <w:r w:rsidR="00A23BE1" w:rsidRPr="006914C2">
        <w:rPr>
          <w:rFonts w:ascii="Times New Roman" w:hAnsi="Times New Roman" w:cs="Times New Roman"/>
          <w:sz w:val="24"/>
          <w:szCs w:val="24"/>
        </w:rPr>
        <w:t xml:space="preserve"> сотрудников в компании ведется внутренняя корпоративная социальная политика,</w:t>
      </w:r>
      <w:r w:rsidR="008742A6" w:rsidRPr="006914C2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050592" w:rsidRPr="006914C2">
        <w:rPr>
          <w:rFonts w:ascii="Times New Roman" w:hAnsi="Times New Roman" w:cs="Times New Roman"/>
          <w:sz w:val="24"/>
          <w:szCs w:val="24"/>
        </w:rPr>
        <w:t>предоставляет</w:t>
      </w:r>
      <w:r w:rsidR="008742A6"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="00050592" w:rsidRPr="006914C2">
        <w:rPr>
          <w:rFonts w:ascii="Times New Roman" w:hAnsi="Times New Roman" w:cs="Times New Roman"/>
          <w:sz w:val="24"/>
          <w:szCs w:val="24"/>
        </w:rPr>
        <w:t>социальные выплаты</w:t>
      </w:r>
      <w:r w:rsidR="008742A6" w:rsidRPr="006914C2">
        <w:rPr>
          <w:rFonts w:ascii="Times New Roman" w:hAnsi="Times New Roman" w:cs="Times New Roman"/>
          <w:sz w:val="24"/>
          <w:szCs w:val="24"/>
        </w:rPr>
        <w:t>, медицинское обеспечение, личное страхование и негосударственное пенсионное обеспечение, а также проводит частные корпоративные мероприятия для сотрудников</w:t>
      </w:r>
      <w:r w:rsidR="00F172A7" w:rsidRPr="006914C2">
        <w:rPr>
          <w:rFonts w:ascii="Times New Roman" w:hAnsi="Times New Roman" w:cs="Times New Roman"/>
          <w:sz w:val="24"/>
          <w:szCs w:val="24"/>
        </w:rPr>
        <w:t xml:space="preserve"> [3].</w:t>
      </w:r>
    </w:p>
    <w:p w14:paraId="3952A880" w14:textId="51BD3C16" w:rsidR="00027A59" w:rsidRPr="006914C2" w:rsidRDefault="008742A6" w:rsidP="0072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Компания «ЛУКОЙЛ»</w:t>
      </w:r>
      <w:r w:rsidR="001A3BC5"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="00F87C21" w:rsidRPr="006914C2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="001A3BC5" w:rsidRPr="006914C2">
        <w:rPr>
          <w:rFonts w:ascii="Times New Roman" w:hAnsi="Times New Roman" w:cs="Times New Roman"/>
          <w:sz w:val="24"/>
          <w:szCs w:val="24"/>
        </w:rPr>
        <w:t>разраб</w:t>
      </w:r>
      <w:r w:rsidR="00F87C21" w:rsidRPr="006914C2">
        <w:rPr>
          <w:rFonts w:ascii="Times New Roman" w:hAnsi="Times New Roman" w:cs="Times New Roman"/>
          <w:sz w:val="24"/>
          <w:szCs w:val="24"/>
        </w:rPr>
        <w:t>откой</w:t>
      </w:r>
      <w:r w:rsidR="001A3BC5" w:rsidRPr="006914C2">
        <w:rPr>
          <w:rFonts w:ascii="Times New Roman" w:hAnsi="Times New Roman" w:cs="Times New Roman"/>
          <w:sz w:val="24"/>
          <w:szCs w:val="24"/>
        </w:rPr>
        <w:t xml:space="preserve"> нескольк</w:t>
      </w:r>
      <w:r w:rsidR="00F87C21" w:rsidRPr="006914C2">
        <w:rPr>
          <w:rFonts w:ascii="Times New Roman" w:hAnsi="Times New Roman" w:cs="Times New Roman"/>
          <w:sz w:val="24"/>
          <w:szCs w:val="24"/>
        </w:rPr>
        <w:t>их</w:t>
      </w:r>
      <w:r w:rsidR="001A3BC5" w:rsidRPr="006914C2">
        <w:rPr>
          <w:rFonts w:ascii="Times New Roman" w:hAnsi="Times New Roman" w:cs="Times New Roman"/>
          <w:sz w:val="24"/>
          <w:szCs w:val="24"/>
        </w:rPr>
        <w:t xml:space="preserve"> месторождений, в том числе</w:t>
      </w:r>
      <w:r w:rsidR="006761DB" w:rsidRPr="006914C2">
        <w:rPr>
          <w:rFonts w:ascii="Times New Roman" w:hAnsi="Times New Roman" w:cs="Times New Roman"/>
          <w:sz w:val="24"/>
          <w:szCs w:val="24"/>
        </w:rPr>
        <w:t xml:space="preserve"> добычей</w:t>
      </w:r>
      <w:r w:rsidR="00F87C21" w:rsidRPr="006914C2">
        <w:rPr>
          <w:rFonts w:ascii="Times New Roman" w:hAnsi="Times New Roman" w:cs="Times New Roman"/>
          <w:sz w:val="24"/>
          <w:szCs w:val="24"/>
        </w:rPr>
        <w:t xml:space="preserve">, </w:t>
      </w:r>
      <w:r w:rsidR="006761DB" w:rsidRPr="006914C2">
        <w:rPr>
          <w:rFonts w:ascii="Times New Roman" w:hAnsi="Times New Roman" w:cs="Times New Roman"/>
          <w:sz w:val="24"/>
          <w:szCs w:val="24"/>
        </w:rPr>
        <w:t xml:space="preserve">переработкой нефти и газа. </w:t>
      </w:r>
      <w:r w:rsidR="00C230F9" w:rsidRPr="006914C2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0437D3" w:rsidRPr="006914C2">
        <w:rPr>
          <w:rFonts w:ascii="Times New Roman" w:hAnsi="Times New Roman" w:cs="Times New Roman"/>
          <w:sz w:val="24"/>
          <w:szCs w:val="24"/>
        </w:rPr>
        <w:t>ключевых</w:t>
      </w:r>
      <w:r w:rsidR="00C230F9" w:rsidRPr="006914C2">
        <w:rPr>
          <w:rFonts w:ascii="Times New Roman" w:hAnsi="Times New Roman" w:cs="Times New Roman"/>
          <w:sz w:val="24"/>
          <w:szCs w:val="24"/>
        </w:rPr>
        <w:t xml:space="preserve"> социал</w:t>
      </w:r>
      <w:r w:rsidR="007F0CF6" w:rsidRPr="006914C2">
        <w:rPr>
          <w:rFonts w:ascii="Times New Roman" w:hAnsi="Times New Roman" w:cs="Times New Roman"/>
          <w:sz w:val="24"/>
          <w:szCs w:val="24"/>
        </w:rPr>
        <w:t xml:space="preserve">ьных программ </w:t>
      </w:r>
      <w:r w:rsidR="000437D3" w:rsidRPr="006914C2">
        <w:rPr>
          <w:rFonts w:ascii="Times New Roman" w:hAnsi="Times New Roman" w:cs="Times New Roman"/>
          <w:sz w:val="24"/>
          <w:szCs w:val="24"/>
        </w:rPr>
        <w:t xml:space="preserve">в данной компании </w:t>
      </w:r>
      <w:r w:rsidR="007F0CF6" w:rsidRPr="006914C2">
        <w:rPr>
          <w:rFonts w:ascii="Times New Roman" w:hAnsi="Times New Roman" w:cs="Times New Roman"/>
          <w:sz w:val="24"/>
          <w:szCs w:val="24"/>
        </w:rPr>
        <w:t>явля</w:t>
      </w:r>
      <w:r w:rsidR="0081320F" w:rsidRPr="006914C2">
        <w:rPr>
          <w:rFonts w:ascii="Times New Roman" w:hAnsi="Times New Roman" w:cs="Times New Roman"/>
          <w:sz w:val="24"/>
          <w:szCs w:val="24"/>
        </w:rPr>
        <w:t xml:space="preserve">ется </w:t>
      </w:r>
      <w:r w:rsidR="000437D3" w:rsidRPr="006914C2">
        <w:rPr>
          <w:rFonts w:ascii="Times New Roman" w:hAnsi="Times New Roman" w:cs="Times New Roman"/>
          <w:sz w:val="24"/>
          <w:szCs w:val="24"/>
        </w:rPr>
        <w:t>с</w:t>
      </w:r>
      <w:r w:rsidR="0081320F" w:rsidRPr="006914C2">
        <w:rPr>
          <w:rFonts w:ascii="Times New Roman" w:hAnsi="Times New Roman" w:cs="Times New Roman"/>
          <w:sz w:val="24"/>
          <w:szCs w:val="24"/>
        </w:rPr>
        <w:t>портивная социальная программа</w:t>
      </w:r>
      <w:r w:rsidR="000437D3" w:rsidRPr="006914C2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81320F" w:rsidRPr="006914C2">
        <w:rPr>
          <w:rFonts w:ascii="Times New Roman" w:hAnsi="Times New Roman" w:cs="Times New Roman"/>
          <w:sz w:val="24"/>
          <w:szCs w:val="24"/>
        </w:rPr>
        <w:t xml:space="preserve">реализуется как во </w:t>
      </w:r>
      <w:r w:rsidR="0081320F" w:rsidRPr="006914C2">
        <w:rPr>
          <w:rFonts w:ascii="Times New Roman" w:hAnsi="Times New Roman" w:cs="Times New Roman"/>
          <w:sz w:val="24"/>
          <w:szCs w:val="24"/>
        </w:rPr>
        <w:lastRenderedPageBreak/>
        <w:t>внешней</w:t>
      </w:r>
      <w:r w:rsidR="00312754" w:rsidRPr="006914C2">
        <w:rPr>
          <w:rFonts w:ascii="Times New Roman" w:hAnsi="Times New Roman" w:cs="Times New Roman"/>
          <w:sz w:val="24"/>
          <w:szCs w:val="24"/>
        </w:rPr>
        <w:t>,</w:t>
      </w:r>
      <w:r w:rsidR="0081320F" w:rsidRPr="006914C2">
        <w:rPr>
          <w:rFonts w:ascii="Times New Roman" w:hAnsi="Times New Roman" w:cs="Times New Roman"/>
          <w:sz w:val="24"/>
          <w:szCs w:val="24"/>
        </w:rPr>
        <w:t xml:space="preserve"> так и</w:t>
      </w:r>
      <w:r w:rsidR="00312754" w:rsidRPr="006914C2">
        <w:rPr>
          <w:rFonts w:ascii="Times New Roman" w:hAnsi="Times New Roman" w:cs="Times New Roman"/>
          <w:sz w:val="24"/>
          <w:szCs w:val="24"/>
        </w:rPr>
        <w:t xml:space="preserve"> во внутренней корпоративной социальной политике.</w:t>
      </w:r>
      <w:r w:rsidR="00A7265C" w:rsidRPr="006914C2">
        <w:rPr>
          <w:rFonts w:ascii="Times New Roman" w:hAnsi="Times New Roman" w:cs="Times New Roman"/>
          <w:sz w:val="24"/>
          <w:szCs w:val="24"/>
        </w:rPr>
        <w:t xml:space="preserve"> С 1998 года данная нефтегазовая компания открыла спортивный клуб ««ЛУКОЙЛ». На базе данного клуба проводятся как корпоративные, так и проекты федерального и регионального уровней. Например, для сотрудников данной корпорации ежегодно проводятся соревнования по четырем игровым видам спорта, а вклад в проекты высшего уровня основываются на поддержке детско-юношеских спортивных школ, всероссийских</w:t>
      </w:r>
      <w:r w:rsidR="00F827FE" w:rsidRPr="006914C2">
        <w:rPr>
          <w:rFonts w:ascii="Times New Roman" w:hAnsi="Times New Roman" w:cs="Times New Roman"/>
          <w:sz w:val="24"/>
          <w:szCs w:val="24"/>
        </w:rPr>
        <w:t xml:space="preserve"> благотворительных проектах, таких как «Эстафета добра», «</w:t>
      </w:r>
      <w:proofErr w:type="spellStart"/>
      <w:r w:rsidR="00F827FE" w:rsidRPr="006914C2">
        <w:rPr>
          <w:rFonts w:ascii="Times New Roman" w:hAnsi="Times New Roman" w:cs="Times New Roman"/>
          <w:sz w:val="24"/>
          <w:szCs w:val="24"/>
        </w:rPr>
        <w:t>Russialoppet</w:t>
      </w:r>
      <w:proofErr w:type="spellEnd"/>
      <w:r w:rsidR="00F827FE" w:rsidRPr="006914C2">
        <w:rPr>
          <w:rFonts w:ascii="Times New Roman" w:hAnsi="Times New Roman" w:cs="Times New Roman"/>
          <w:sz w:val="24"/>
          <w:szCs w:val="24"/>
        </w:rPr>
        <w:t>».</w:t>
      </w:r>
      <w:r w:rsidR="00C031F9">
        <w:rPr>
          <w:rFonts w:ascii="Times New Roman" w:hAnsi="Times New Roman" w:cs="Times New Roman"/>
          <w:sz w:val="24"/>
          <w:szCs w:val="24"/>
        </w:rPr>
        <w:t xml:space="preserve"> С</w:t>
      </w:r>
      <w:r w:rsidR="00F827FE" w:rsidRPr="006914C2">
        <w:rPr>
          <w:rFonts w:ascii="Times New Roman" w:hAnsi="Times New Roman" w:cs="Times New Roman"/>
          <w:sz w:val="24"/>
          <w:szCs w:val="24"/>
        </w:rPr>
        <w:t>оциальн</w:t>
      </w:r>
      <w:r w:rsidR="00C031F9">
        <w:rPr>
          <w:rFonts w:ascii="Times New Roman" w:hAnsi="Times New Roman" w:cs="Times New Roman"/>
          <w:sz w:val="24"/>
          <w:szCs w:val="24"/>
        </w:rPr>
        <w:t>ая</w:t>
      </w:r>
      <w:r w:rsidR="00F827FE" w:rsidRPr="006914C2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C031F9">
        <w:rPr>
          <w:rFonts w:ascii="Times New Roman" w:hAnsi="Times New Roman" w:cs="Times New Roman"/>
          <w:sz w:val="24"/>
          <w:szCs w:val="24"/>
        </w:rPr>
        <w:t>а</w:t>
      </w:r>
      <w:r w:rsidR="00F827FE" w:rsidRPr="006914C2">
        <w:rPr>
          <w:rFonts w:ascii="Times New Roman" w:hAnsi="Times New Roman" w:cs="Times New Roman"/>
          <w:sz w:val="24"/>
          <w:szCs w:val="24"/>
        </w:rPr>
        <w:t xml:space="preserve"> работников данного предприятия основывается на: охране здоровья, страховании, жилищной программе и негосударственном пенсионном обеспечении</w:t>
      </w:r>
      <w:r w:rsidR="00F172A7" w:rsidRPr="006914C2">
        <w:rPr>
          <w:rFonts w:ascii="Times New Roman" w:hAnsi="Times New Roman" w:cs="Times New Roman"/>
          <w:sz w:val="24"/>
          <w:szCs w:val="24"/>
        </w:rPr>
        <w:t xml:space="preserve"> [2].</w:t>
      </w:r>
    </w:p>
    <w:p w14:paraId="1D72B02B" w14:textId="4296193B" w:rsidR="00237120" w:rsidRPr="006914C2" w:rsidRDefault="005C2D69" w:rsidP="0072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ПАО </w:t>
      </w:r>
      <w:r w:rsidR="00027A59" w:rsidRPr="006914C2">
        <w:rPr>
          <w:rFonts w:ascii="Times New Roman" w:hAnsi="Times New Roman" w:cs="Times New Roman"/>
          <w:sz w:val="24"/>
          <w:szCs w:val="24"/>
        </w:rPr>
        <w:t>«НОВАТЭК» уделяет большое внимание реализации проектов в поддержку культуры, сохранения и возрождения национальных ценностей и духовного наследия. При поддержке «</w:t>
      </w:r>
      <w:r w:rsidR="006F4297" w:rsidRPr="006914C2">
        <w:rPr>
          <w:rFonts w:ascii="Times New Roman" w:hAnsi="Times New Roman" w:cs="Times New Roman"/>
          <w:sz w:val="24"/>
          <w:szCs w:val="24"/>
        </w:rPr>
        <w:t>Новатэка</w:t>
      </w:r>
      <w:r w:rsidR="00027A59" w:rsidRPr="006914C2">
        <w:rPr>
          <w:rFonts w:ascii="Times New Roman" w:hAnsi="Times New Roman" w:cs="Times New Roman"/>
          <w:sz w:val="24"/>
          <w:szCs w:val="24"/>
        </w:rPr>
        <w:t>» в Артике реализуется деятельность, направленная на сохранение природы, предотвращая риски изменения климата, экосистем и уязвимости биоразнообразия. Основными программами, на которы</w:t>
      </w:r>
      <w:r w:rsidR="00CA506D" w:rsidRPr="006914C2">
        <w:rPr>
          <w:rFonts w:ascii="Times New Roman" w:hAnsi="Times New Roman" w:cs="Times New Roman"/>
          <w:sz w:val="24"/>
          <w:szCs w:val="24"/>
        </w:rPr>
        <w:t>е</w:t>
      </w:r>
      <w:r w:rsidR="00027A59" w:rsidRPr="006914C2">
        <w:rPr>
          <w:rFonts w:ascii="Times New Roman" w:hAnsi="Times New Roman" w:cs="Times New Roman"/>
          <w:sz w:val="24"/>
          <w:szCs w:val="24"/>
        </w:rPr>
        <w:t xml:space="preserve"> приходят</w:t>
      </w:r>
      <w:r w:rsidR="00CA506D" w:rsidRPr="006914C2">
        <w:rPr>
          <w:rFonts w:ascii="Times New Roman" w:hAnsi="Times New Roman" w:cs="Times New Roman"/>
          <w:sz w:val="24"/>
          <w:szCs w:val="24"/>
        </w:rPr>
        <w:t xml:space="preserve">ся основные траты, реализуются на территориях регионов присутствия дочерних предприятий. Например, особое внимание уделяется сохранению биологического разнообразия уникальной природы на территории Ямало-Ненецкого Автономном округе: поддерживаются мероприятия по восстановлению численности сиговых рыб в водных объектах. В сфере поддержки сохранения и развития объектов </w:t>
      </w:r>
      <w:r w:rsidR="00111F73" w:rsidRPr="006914C2">
        <w:rPr>
          <w:rFonts w:ascii="Times New Roman" w:hAnsi="Times New Roman" w:cs="Times New Roman"/>
          <w:sz w:val="24"/>
          <w:szCs w:val="24"/>
        </w:rPr>
        <w:t xml:space="preserve">культурного наследия в Мурманской области была профинансирована реконструкция здания кинотеатра «Родина», а в Ленинградской области было профинансировано проектирование </w:t>
      </w:r>
      <w:proofErr w:type="spellStart"/>
      <w:r w:rsidR="00111F73" w:rsidRPr="006914C2">
        <w:rPr>
          <w:rFonts w:ascii="Times New Roman" w:hAnsi="Times New Roman" w:cs="Times New Roman"/>
          <w:sz w:val="24"/>
          <w:szCs w:val="24"/>
        </w:rPr>
        <w:t>Приоратского</w:t>
      </w:r>
      <w:proofErr w:type="spellEnd"/>
      <w:r w:rsidR="00111F73" w:rsidRPr="006914C2">
        <w:rPr>
          <w:rFonts w:ascii="Times New Roman" w:hAnsi="Times New Roman" w:cs="Times New Roman"/>
          <w:sz w:val="24"/>
          <w:szCs w:val="24"/>
        </w:rPr>
        <w:t xml:space="preserve"> парка в г. Гатчина. Во внутреннюю социальную политику данного предприятия входит базовый социальный пакет, который включает в себя: добровольное медицинское </w:t>
      </w:r>
      <w:r w:rsidR="00886655" w:rsidRPr="006914C2">
        <w:rPr>
          <w:rFonts w:ascii="Times New Roman" w:hAnsi="Times New Roman" w:cs="Times New Roman"/>
          <w:sz w:val="24"/>
          <w:szCs w:val="24"/>
        </w:rPr>
        <w:t>страхование, жилищное кредитование, негосударственное пенсионное обеспечение</w:t>
      </w:r>
      <w:r w:rsidR="00111F73" w:rsidRPr="006914C2">
        <w:rPr>
          <w:rFonts w:ascii="Times New Roman" w:hAnsi="Times New Roman" w:cs="Times New Roman"/>
          <w:sz w:val="24"/>
          <w:szCs w:val="24"/>
        </w:rPr>
        <w:t>.</w:t>
      </w:r>
      <w:r w:rsidR="00886655" w:rsidRPr="006914C2">
        <w:rPr>
          <w:rFonts w:ascii="Times New Roman" w:hAnsi="Times New Roman" w:cs="Times New Roman"/>
          <w:sz w:val="24"/>
          <w:szCs w:val="24"/>
        </w:rPr>
        <w:t xml:space="preserve"> Кроме этого, работники данного предприятия имеют следующие</w:t>
      </w:r>
      <w:r w:rsidR="00134CEA" w:rsidRPr="006914C2">
        <w:rPr>
          <w:rFonts w:ascii="Times New Roman" w:hAnsi="Times New Roman" w:cs="Times New Roman"/>
          <w:sz w:val="24"/>
          <w:szCs w:val="24"/>
        </w:rPr>
        <w:t xml:space="preserve"> социальные программы: санаторно-курортного оздоровления, корпоративных наград, реабилитации детей с ограниченными возможностями</w:t>
      </w:r>
      <w:r w:rsidR="000437D3" w:rsidRPr="006914C2">
        <w:rPr>
          <w:rFonts w:ascii="Times New Roman" w:hAnsi="Times New Roman" w:cs="Times New Roman"/>
          <w:sz w:val="24"/>
          <w:szCs w:val="24"/>
        </w:rPr>
        <w:t xml:space="preserve"> и </w:t>
      </w:r>
      <w:r w:rsidR="00134CEA" w:rsidRPr="006914C2">
        <w:rPr>
          <w:rFonts w:ascii="Times New Roman" w:hAnsi="Times New Roman" w:cs="Times New Roman"/>
          <w:sz w:val="24"/>
          <w:szCs w:val="24"/>
        </w:rPr>
        <w:t>обеспечения государственных гарантий</w:t>
      </w:r>
      <w:r w:rsidR="00F172A7" w:rsidRPr="006914C2">
        <w:rPr>
          <w:rFonts w:ascii="Times New Roman" w:hAnsi="Times New Roman" w:cs="Times New Roman"/>
          <w:sz w:val="24"/>
          <w:szCs w:val="24"/>
        </w:rPr>
        <w:t xml:space="preserve"> [5].</w:t>
      </w:r>
    </w:p>
    <w:p w14:paraId="0633067B" w14:textId="11591FB7" w:rsidR="00462059" w:rsidRPr="006914C2" w:rsidRDefault="005C2D69" w:rsidP="0072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ПАО «НК «Роснефть» организует в регионах России с акцентом на территории добычи и переработки организует ряд благотворительных и социальных проектов, которые направлены на обеспечение безопасных условий труда, улучшение качества жизни сотрудников, социальное развитие региона. Во внутренней корпоративной политике</w:t>
      </w:r>
      <w:r w:rsidR="00770489" w:rsidRPr="006914C2">
        <w:rPr>
          <w:rFonts w:ascii="Times New Roman" w:hAnsi="Times New Roman" w:cs="Times New Roman"/>
          <w:sz w:val="24"/>
          <w:szCs w:val="24"/>
        </w:rPr>
        <w:t xml:space="preserve"> данной организации структура социального пакета реализуется в рамках стратегических инициатив, таких как «современная медицина», «доступное жилье» и «активное долголетие». В свою очередь, основные направления социальной политики</w:t>
      </w:r>
      <w:r w:rsidR="00462059" w:rsidRPr="006914C2">
        <w:rPr>
          <w:rFonts w:ascii="Times New Roman" w:hAnsi="Times New Roman" w:cs="Times New Roman"/>
          <w:sz w:val="24"/>
          <w:szCs w:val="24"/>
        </w:rPr>
        <w:t>,</w:t>
      </w:r>
      <w:r w:rsidR="00770489" w:rsidRPr="006914C2">
        <w:rPr>
          <w:rFonts w:ascii="Times New Roman" w:hAnsi="Times New Roman" w:cs="Times New Roman"/>
          <w:sz w:val="24"/>
          <w:szCs w:val="24"/>
        </w:rPr>
        <w:t xml:space="preserve"> основываясь на стратегических инициативах</w:t>
      </w:r>
      <w:r w:rsidR="00462059" w:rsidRPr="006914C2">
        <w:rPr>
          <w:rFonts w:ascii="Times New Roman" w:hAnsi="Times New Roman" w:cs="Times New Roman"/>
          <w:sz w:val="24"/>
          <w:szCs w:val="24"/>
        </w:rPr>
        <w:t>,</w:t>
      </w:r>
      <w:r w:rsidR="00770489" w:rsidRPr="006914C2">
        <w:rPr>
          <w:rFonts w:ascii="Times New Roman" w:hAnsi="Times New Roman" w:cs="Times New Roman"/>
          <w:sz w:val="24"/>
          <w:szCs w:val="24"/>
        </w:rPr>
        <w:t xml:space="preserve"> направлены на </w:t>
      </w:r>
      <w:r w:rsidR="00462059" w:rsidRPr="006914C2">
        <w:rPr>
          <w:rFonts w:ascii="Times New Roman" w:hAnsi="Times New Roman" w:cs="Times New Roman"/>
          <w:sz w:val="24"/>
          <w:szCs w:val="24"/>
        </w:rPr>
        <w:t xml:space="preserve">охрану здоровья и личное страхование, </w:t>
      </w:r>
      <w:r w:rsidR="00462059" w:rsidRPr="006914C2">
        <w:rPr>
          <w:rFonts w:ascii="Times New Roman" w:hAnsi="Times New Roman" w:cs="Times New Roman"/>
          <w:sz w:val="24"/>
          <w:szCs w:val="24"/>
        </w:rPr>
        <w:lastRenderedPageBreak/>
        <w:t>реализация комплексной жилищной программы, реализация программы негосударственного пенсионного обеспечения и создание оптимальных социально бытовых условий на производстве.</w:t>
      </w:r>
      <w:r w:rsidR="00015B7A"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="000128AE" w:rsidRPr="006914C2">
        <w:rPr>
          <w:rFonts w:ascii="Times New Roman" w:hAnsi="Times New Roman" w:cs="Times New Roman"/>
          <w:sz w:val="24"/>
          <w:szCs w:val="24"/>
        </w:rPr>
        <w:t>На базе данного предприятия ведется активная инвестиционная программа.</w:t>
      </w:r>
      <w:r w:rsidR="00B17458" w:rsidRPr="006914C2">
        <w:rPr>
          <w:rFonts w:ascii="Times New Roman" w:hAnsi="Times New Roman" w:cs="Times New Roman"/>
          <w:sz w:val="24"/>
          <w:szCs w:val="24"/>
        </w:rPr>
        <w:t xml:space="preserve"> Например, участие в федеральном проекте таком, как развитие газораспределительных сетей в Свердловской области. Реализация данной программы ведется во исполнение поручения президента России по повышению уровня газификации в стране, что безусловно поднимает престиж данной компании в обществе. В области экологии </w:t>
      </w:r>
      <w:r w:rsidR="00355707" w:rsidRPr="006914C2">
        <w:rPr>
          <w:rFonts w:ascii="Times New Roman" w:hAnsi="Times New Roman" w:cs="Times New Roman"/>
          <w:sz w:val="24"/>
          <w:szCs w:val="24"/>
        </w:rPr>
        <w:t>компания придерживается следующей концепции вплоть до 2035 года, заключающейся в минимизация воздействия на окружающую среду, включая внедрение наилучших доступных экологичных технологий производственной деятельности, а также реализации экологических инвестиционных проектов и природоохранных мероприятий</w:t>
      </w:r>
      <w:r w:rsidR="00F172A7" w:rsidRPr="006914C2">
        <w:rPr>
          <w:rFonts w:ascii="Times New Roman" w:hAnsi="Times New Roman" w:cs="Times New Roman"/>
          <w:sz w:val="24"/>
          <w:szCs w:val="24"/>
        </w:rPr>
        <w:t xml:space="preserve"> [4].</w:t>
      </w:r>
    </w:p>
    <w:p w14:paraId="09BD8027" w14:textId="08B616ED" w:rsidR="00C56888" w:rsidRPr="006914C2" w:rsidRDefault="000437D3" w:rsidP="0072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Российские н</w:t>
      </w:r>
      <w:r w:rsidR="00C56888" w:rsidRPr="006914C2">
        <w:rPr>
          <w:rFonts w:ascii="Times New Roman" w:hAnsi="Times New Roman" w:cs="Times New Roman"/>
          <w:sz w:val="24"/>
          <w:szCs w:val="24"/>
        </w:rPr>
        <w:t xml:space="preserve">ефтегазовые компании являются одними из крупнейших субъектов социального инвестирования. Социальные инвестиционные проекты, реализуемые нефтегазовыми компаниями, характеризуются </w:t>
      </w:r>
      <w:r w:rsidR="00FE5433" w:rsidRPr="006914C2">
        <w:rPr>
          <w:rFonts w:ascii="Times New Roman" w:hAnsi="Times New Roman" w:cs="Times New Roman"/>
          <w:sz w:val="24"/>
          <w:szCs w:val="24"/>
        </w:rPr>
        <w:t xml:space="preserve">масштабностью, то есть размером широким территориальным охватом, большим числом выгодоприобретателей, значительным объемом инвестиционных вложений и длительным </w:t>
      </w:r>
      <w:r w:rsidR="008458B9" w:rsidRPr="006914C2">
        <w:rPr>
          <w:rFonts w:ascii="Times New Roman" w:hAnsi="Times New Roman" w:cs="Times New Roman"/>
          <w:sz w:val="24"/>
          <w:szCs w:val="24"/>
        </w:rPr>
        <w:t>сроком реализации. Инвестиционные проекты ПАО «Газпрома», «НК «Роснефти», «Лукойла» и «</w:t>
      </w:r>
      <w:proofErr w:type="spellStart"/>
      <w:r w:rsidR="008458B9" w:rsidRPr="006914C2">
        <w:rPr>
          <w:rFonts w:ascii="Times New Roman" w:hAnsi="Times New Roman" w:cs="Times New Roman"/>
          <w:sz w:val="24"/>
          <w:szCs w:val="24"/>
        </w:rPr>
        <w:t>НОВАТЭКа</w:t>
      </w:r>
      <w:proofErr w:type="spellEnd"/>
      <w:r w:rsidR="008458B9" w:rsidRPr="006914C2">
        <w:rPr>
          <w:rFonts w:ascii="Times New Roman" w:hAnsi="Times New Roman" w:cs="Times New Roman"/>
          <w:sz w:val="24"/>
          <w:szCs w:val="24"/>
        </w:rPr>
        <w:t>» объединяет то, что каждый из них способствует достижению национальных целей развития Российской Федерации, а также взаимодействию с коренными малочисленными народами Севера. Р</w:t>
      </w:r>
      <w:r w:rsidR="00390121" w:rsidRPr="006914C2">
        <w:rPr>
          <w:rFonts w:ascii="Times New Roman" w:hAnsi="Times New Roman" w:cs="Times New Roman"/>
          <w:sz w:val="24"/>
          <w:szCs w:val="24"/>
        </w:rPr>
        <w:t>еализация</w:t>
      </w:r>
      <w:r w:rsidR="008458B9" w:rsidRPr="006914C2">
        <w:rPr>
          <w:rFonts w:ascii="Times New Roman" w:hAnsi="Times New Roman" w:cs="Times New Roman"/>
          <w:sz w:val="24"/>
          <w:szCs w:val="24"/>
        </w:rPr>
        <w:t xml:space="preserve"> этих инвестиций в каждой компании происходит по-разному, </w:t>
      </w:r>
      <w:proofErr w:type="gramStart"/>
      <w:r w:rsidR="008458B9" w:rsidRPr="006914C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8458B9" w:rsidRPr="006914C2">
        <w:rPr>
          <w:rFonts w:ascii="Times New Roman" w:hAnsi="Times New Roman" w:cs="Times New Roman"/>
          <w:sz w:val="24"/>
          <w:szCs w:val="24"/>
        </w:rPr>
        <w:t xml:space="preserve"> чтобы понять, какие кампании являются основными социальными инвесторами в нефтегазовой отрасли, стоит рассмотреть динамику социальных инвестиций </w:t>
      </w:r>
      <w:r w:rsidRPr="006914C2">
        <w:rPr>
          <w:rFonts w:ascii="Times New Roman" w:hAnsi="Times New Roman" w:cs="Times New Roman"/>
          <w:sz w:val="24"/>
          <w:szCs w:val="24"/>
        </w:rPr>
        <w:t>в российских</w:t>
      </w:r>
      <w:r w:rsidR="008458B9" w:rsidRPr="006914C2">
        <w:rPr>
          <w:rFonts w:ascii="Times New Roman" w:hAnsi="Times New Roman" w:cs="Times New Roman"/>
          <w:sz w:val="24"/>
          <w:szCs w:val="24"/>
        </w:rPr>
        <w:t xml:space="preserve"> нефтегазовых компаниях </w:t>
      </w:r>
      <w:r w:rsidRPr="006914C2">
        <w:rPr>
          <w:rFonts w:ascii="Times New Roman" w:hAnsi="Times New Roman" w:cs="Times New Roman"/>
          <w:sz w:val="24"/>
          <w:szCs w:val="24"/>
        </w:rPr>
        <w:t>на период с</w:t>
      </w:r>
      <w:r w:rsidR="008458B9" w:rsidRPr="006914C2">
        <w:rPr>
          <w:rFonts w:ascii="Times New Roman" w:hAnsi="Times New Roman" w:cs="Times New Roman"/>
          <w:sz w:val="24"/>
          <w:szCs w:val="24"/>
        </w:rPr>
        <w:t xml:space="preserve"> 2017 -2021 гг. </w:t>
      </w:r>
    </w:p>
    <w:p w14:paraId="4DB3B4A1" w14:textId="61F37129" w:rsidR="00691B66" w:rsidRPr="006914C2" w:rsidRDefault="00BD5F18" w:rsidP="0072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Согласно требованиям глобальной инициативы отчетности (GRI Standards), российские компании нефтегазового сектора в своих отчетах о устойчивом развитии предоставляют информацию о реализуемых социальных проектах. Эти данные включают информацию о суммах, вложенных во внутренние и внешние социальные инициативы, а также в конкретных областях социальной деятельности. В данн</w:t>
      </w:r>
      <w:r w:rsidR="00691B66" w:rsidRPr="006914C2">
        <w:rPr>
          <w:rFonts w:ascii="Times New Roman" w:hAnsi="Times New Roman" w:cs="Times New Roman"/>
          <w:sz w:val="24"/>
          <w:szCs w:val="24"/>
        </w:rPr>
        <w:t>ой статье проведен анализ деятельности нефтегазовых компаний по реализации социальных инвестиционных проектов за период 2017 – 2021 гг. Для проведения анализа были изучены отчеты о устойчивом развитии крупнейших компаний отрасли – ПАО «Газпром», «НК «Роснефть», «Лукойл», «НОВАТЭК».</w:t>
      </w:r>
    </w:p>
    <w:p w14:paraId="3D58EE97" w14:textId="2B4F2119" w:rsidR="00164B12" w:rsidRPr="006914C2" w:rsidRDefault="00164B12" w:rsidP="00723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8458B9" w:rsidRPr="006914C2">
        <w:rPr>
          <w:rFonts w:ascii="Times New Roman" w:hAnsi="Times New Roman" w:cs="Times New Roman"/>
          <w:sz w:val="24"/>
          <w:szCs w:val="24"/>
        </w:rPr>
        <w:t>1</w:t>
      </w:r>
      <w:r w:rsidRPr="006914C2">
        <w:rPr>
          <w:rFonts w:ascii="Times New Roman" w:hAnsi="Times New Roman" w:cs="Times New Roman"/>
          <w:sz w:val="24"/>
          <w:szCs w:val="24"/>
        </w:rPr>
        <w:t xml:space="preserve"> пр</w:t>
      </w:r>
      <w:r w:rsidR="00691B66" w:rsidRPr="006914C2">
        <w:rPr>
          <w:rFonts w:ascii="Times New Roman" w:hAnsi="Times New Roman" w:cs="Times New Roman"/>
          <w:sz w:val="24"/>
          <w:szCs w:val="24"/>
        </w:rPr>
        <w:t>едставле</w:t>
      </w:r>
      <w:r w:rsidRPr="006914C2">
        <w:rPr>
          <w:rFonts w:ascii="Times New Roman" w:hAnsi="Times New Roman" w:cs="Times New Roman"/>
          <w:sz w:val="24"/>
          <w:szCs w:val="24"/>
        </w:rPr>
        <w:t xml:space="preserve">на динамика социальных инвестиций за </w:t>
      </w:r>
      <w:r w:rsidR="00691B66" w:rsidRPr="006914C2">
        <w:rPr>
          <w:rFonts w:ascii="Times New Roman" w:hAnsi="Times New Roman" w:cs="Times New Roman"/>
          <w:sz w:val="24"/>
          <w:szCs w:val="24"/>
        </w:rPr>
        <w:t>указанный период</w:t>
      </w:r>
      <w:r w:rsidRPr="006914C2">
        <w:rPr>
          <w:rFonts w:ascii="Times New Roman" w:hAnsi="Times New Roman" w:cs="Times New Roman"/>
          <w:sz w:val="24"/>
          <w:szCs w:val="24"/>
        </w:rPr>
        <w:t xml:space="preserve">, а также их доля в источнике финансирования </w:t>
      </w:r>
      <w:r w:rsidR="00691B66" w:rsidRPr="006914C2">
        <w:rPr>
          <w:rFonts w:ascii="Times New Roman" w:hAnsi="Times New Roman" w:cs="Times New Roman"/>
          <w:sz w:val="24"/>
          <w:szCs w:val="24"/>
        </w:rPr>
        <w:t>–</w:t>
      </w:r>
      <w:r w:rsidRPr="006914C2">
        <w:rPr>
          <w:rFonts w:ascii="Times New Roman" w:hAnsi="Times New Roman" w:cs="Times New Roman"/>
          <w:sz w:val="24"/>
          <w:szCs w:val="24"/>
        </w:rPr>
        <w:t xml:space="preserve"> чистом денежном потоке от операционной деятельности (ЧДП ОД)</w:t>
      </w:r>
      <w:r w:rsidR="00F172A7" w:rsidRPr="006914C2">
        <w:rPr>
          <w:rFonts w:ascii="Times New Roman" w:hAnsi="Times New Roman" w:cs="Times New Roman"/>
          <w:sz w:val="24"/>
          <w:szCs w:val="24"/>
        </w:rPr>
        <w:t xml:space="preserve"> [1].</w:t>
      </w:r>
    </w:p>
    <w:bookmarkEnd w:id="0"/>
    <w:p w14:paraId="73366C91" w14:textId="48DE7428" w:rsidR="0022510B" w:rsidRPr="006914C2" w:rsidRDefault="008458B9" w:rsidP="008458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1. </w:t>
      </w:r>
      <w:r w:rsidR="00390121" w:rsidRPr="006914C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91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10B" w:rsidRPr="006914C2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  <w:r w:rsidR="00390121" w:rsidRPr="00691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10B" w:rsidRPr="006914C2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социальных инвестиций </w:t>
      </w:r>
      <w:r w:rsidR="009646B7" w:rsidRPr="006914C2">
        <w:rPr>
          <w:rFonts w:ascii="Times New Roman" w:hAnsi="Times New Roman" w:cs="Times New Roman"/>
          <w:b/>
          <w:bCs/>
          <w:sz w:val="24"/>
          <w:szCs w:val="24"/>
        </w:rPr>
        <w:t>российских</w:t>
      </w:r>
      <w:r w:rsidR="0022510B" w:rsidRPr="006914C2">
        <w:rPr>
          <w:rFonts w:ascii="Times New Roman" w:hAnsi="Times New Roman" w:cs="Times New Roman"/>
          <w:b/>
          <w:bCs/>
          <w:sz w:val="24"/>
          <w:szCs w:val="24"/>
        </w:rPr>
        <w:t xml:space="preserve"> нефтегазовых компаний </w:t>
      </w:r>
      <w:bookmarkStart w:id="1" w:name="_Hlk169525405"/>
      <w:r w:rsidR="0022510B" w:rsidRPr="006914C2">
        <w:rPr>
          <w:rFonts w:ascii="Times New Roman" w:hAnsi="Times New Roman" w:cs="Times New Roman"/>
          <w:b/>
          <w:bCs/>
          <w:sz w:val="24"/>
          <w:szCs w:val="24"/>
        </w:rPr>
        <w:t>за 2017–2021 гг.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24"/>
        <w:gridCol w:w="1602"/>
        <w:gridCol w:w="936"/>
        <w:gridCol w:w="939"/>
        <w:gridCol w:w="993"/>
        <w:gridCol w:w="1007"/>
        <w:gridCol w:w="1020"/>
        <w:gridCol w:w="1230"/>
      </w:tblGrid>
      <w:tr w:rsidR="0022510B" w:rsidRPr="006914C2" w14:paraId="3CA73835" w14:textId="77777777" w:rsidTr="00FE7E5A">
        <w:trPr>
          <w:trHeight w:val="273"/>
        </w:trPr>
        <w:tc>
          <w:tcPr>
            <w:tcW w:w="1389" w:type="dxa"/>
          </w:tcPr>
          <w:bookmarkEnd w:id="1"/>
          <w:p w14:paraId="09EFE80C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Компания</w:t>
            </w:r>
          </w:p>
        </w:tc>
        <w:tc>
          <w:tcPr>
            <w:tcW w:w="1414" w:type="dxa"/>
          </w:tcPr>
          <w:p w14:paraId="53A5C117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36" w:type="dxa"/>
          </w:tcPr>
          <w:p w14:paraId="18ED7A0E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944" w:type="dxa"/>
          </w:tcPr>
          <w:p w14:paraId="697037BC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063" w:type="dxa"/>
          </w:tcPr>
          <w:p w14:paraId="11172089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1093" w:type="dxa"/>
          </w:tcPr>
          <w:p w14:paraId="3F47D733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22" w:type="dxa"/>
          </w:tcPr>
          <w:p w14:paraId="4217988B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390" w:type="dxa"/>
          </w:tcPr>
          <w:p w14:paraId="1E43DE3F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за</w:t>
            </w:r>
          </w:p>
          <w:p w14:paraId="2CB1D0E2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2017-2021г.</w:t>
            </w:r>
          </w:p>
        </w:tc>
      </w:tr>
      <w:tr w:rsidR="0022510B" w:rsidRPr="006914C2" w14:paraId="15DB8315" w14:textId="77777777" w:rsidTr="00FE7E5A">
        <w:trPr>
          <w:trHeight w:val="182"/>
        </w:trPr>
        <w:tc>
          <w:tcPr>
            <w:tcW w:w="1389" w:type="dxa"/>
            <w:vMerge w:val="restart"/>
          </w:tcPr>
          <w:p w14:paraId="76241561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«Газпром»</w:t>
            </w:r>
          </w:p>
          <w:p w14:paraId="6155190E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18AF20CE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инвестиции, млрд руб.</w:t>
            </w:r>
          </w:p>
        </w:tc>
        <w:tc>
          <w:tcPr>
            <w:tcW w:w="936" w:type="dxa"/>
          </w:tcPr>
          <w:p w14:paraId="118A35D6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44" w:type="dxa"/>
          </w:tcPr>
          <w:p w14:paraId="7E4012A7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063" w:type="dxa"/>
          </w:tcPr>
          <w:p w14:paraId="7B188E8B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093" w:type="dxa"/>
          </w:tcPr>
          <w:p w14:paraId="782170B1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22" w:type="dxa"/>
          </w:tcPr>
          <w:p w14:paraId="35ED1C6E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390" w:type="dxa"/>
          </w:tcPr>
          <w:p w14:paraId="6468719D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22510B" w:rsidRPr="006914C2" w14:paraId="481B0598" w14:textId="77777777" w:rsidTr="00FE7E5A">
        <w:trPr>
          <w:trHeight w:val="182"/>
        </w:trPr>
        <w:tc>
          <w:tcPr>
            <w:tcW w:w="1389" w:type="dxa"/>
            <w:vMerge/>
          </w:tcPr>
          <w:p w14:paraId="21407773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413340CF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ЧДП ОД, млрд. руб.</w:t>
            </w:r>
          </w:p>
        </w:tc>
        <w:tc>
          <w:tcPr>
            <w:tcW w:w="936" w:type="dxa"/>
          </w:tcPr>
          <w:p w14:paraId="664A0A5B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1 187,0</w:t>
            </w:r>
          </w:p>
        </w:tc>
        <w:tc>
          <w:tcPr>
            <w:tcW w:w="944" w:type="dxa"/>
          </w:tcPr>
          <w:p w14:paraId="417C3800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1 617,4</w:t>
            </w:r>
          </w:p>
        </w:tc>
        <w:tc>
          <w:tcPr>
            <w:tcW w:w="1063" w:type="dxa"/>
          </w:tcPr>
          <w:p w14:paraId="557D23E7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1 709,4</w:t>
            </w:r>
          </w:p>
        </w:tc>
        <w:tc>
          <w:tcPr>
            <w:tcW w:w="1093" w:type="dxa"/>
          </w:tcPr>
          <w:p w14:paraId="3CD72ED5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1 918,9</w:t>
            </w:r>
          </w:p>
        </w:tc>
        <w:tc>
          <w:tcPr>
            <w:tcW w:w="1122" w:type="dxa"/>
          </w:tcPr>
          <w:p w14:paraId="262C7A05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3 015,4</w:t>
            </w:r>
          </w:p>
        </w:tc>
        <w:tc>
          <w:tcPr>
            <w:tcW w:w="1390" w:type="dxa"/>
          </w:tcPr>
          <w:p w14:paraId="1351E716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1 889,6</w:t>
            </w:r>
          </w:p>
        </w:tc>
      </w:tr>
      <w:tr w:rsidR="0022510B" w:rsidRPr="006914C2" w14:paraId="3871355E" w14:textId="77777777" w:rsidTr="00FE7E5A">
        <w:trPr>
          <w:trHeight w:val="182"/>
        </w:trPr>
        <w:tc>
          <w:tcPr>
            <w:tcW w:w="1389" w:type="dxa"/>
            <w:vMerge/>
          </w:tcPr>
          <w:p w14:paraId="4FB26073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092AF984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инвестиции, млрд руб./ ЧДП ОД, %</w:t>
            </w:r>
          </w:p>
        </w:tc>
        <w:tc>
          <w:tcPr>
            <w:tcW w:w="936" w:type="dxa"/>
          </w:tcPr>
          <w:p w14:paraId="50B2F958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44" w:type="dxa"/>
          </w:tcPr>
          <w:p w14:paraId="7D148E3D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63" w:type="dxa"/>
          </w:tcPr>
          <w:p w14:paraId="18A1C23C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93" w:type="dxa"/>
          </w:tcPr>
          <w:p w14:paraId="10A525E2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22" w:type="dxa"/>
          </w:tcPr>
          <w:p w14:paraId="2AAAF76A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90" w:type="dxa"/>
          </w:tcPr>
          <w:p w14:paraId="7BE26CB4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2510B" w:rsidRPr="006914C2" w14:paraId="52BF1490" w14:textId="77777777" w:rsidTr="00FE7E5A">
        <w:trPr>
          <w:trHeight w:val="273"/>
        </w:trPr>
        <w:tc>
          <w:tcPr>
            <w:tcW w:w="1389" w:type="dxa"/>
            <w:vMerge w:val="restart"/>
          </w:tcPr>
          <w:p w14:paraId="6A193A47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«НК «Роснефть»</w:t>
            </w:r>
          </w:p>
        </w:tc>
        <w:tc>
          <w:tcPr>
            <w:tcW w:w="1414" w:type="dxa"/>
          </w:tcPr>
          <w:p w14:paraId="64DD9B8B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инвестиции, млрд руб.</w:t>
            </w:r>
          </w:p>
        </w:tc>
        <w:tc>
          <w:tcPr>
            <w:tcW w:w="936" w:type="dxa"/>
          </w:tcPr>
          <w:p w14:paraId="24A516F6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44" w:type="dxa"/>
          </w:tcPr>
          <w:p w14:paraId="6C6EB1AF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063" w:type="dxa"/>
          </w:tcPr>
          <w:p w14:paraId="6DA36A00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93" w:type="dxa"/>
          </w:tcPr>
          <w:p w14:paraId="312683B4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122" w:type="dxa"/>
          </w:tcPr>
          <w:p w14:paraId="2D97540D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390" w:type="dxa"/>
          </w:tcPr>
          <w:p w14:paraId="21805163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22510B" w:rsidRPr="006914C2" w14:paraId="5B71D8F7" w14:textId="77777777" w:rsidTr="00FE7E5A">
        <w:trPr>
          <w:trHeight w:val="145"/>
        </w:trPr>
        <w:tc>
          <w:tcPr>
            <w:tcW w:w="1389" w:type="dxa"/>
            <w:vMerge/>
          </w:tcPr>
          <w:p w14:paraId="0784AABD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0796C0A6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ЧДП ОД, млрд. руб.</w:t>
            </w:r>
          </w:p>
        </w:tc>
        <w:tc>
          <w:tcPr>
            <w:tcW w:w="936" w:type="dxa"/>
          </w:tcPr>
          <w:p w14:paraId="3D694552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944" w:type="dxa"/>
          </w:tcPr>
          <w:p w14:paraId="0A952A4B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1 502,0</w:t>
            </w:r>
          </w:p>
        </w:tc>
        <w:tc>
          <w:tcPr>
            <w:tcW w:w="1063" w:type="dxa"/>
          </w:tcPr>
          <w:p w14:paraId="17842803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1 110,0</w:t>
            </w:r>
          </w:p>
        </w:tc>
        <w:tc>
          <w:tcPr>
            <w:tcW w:w="1093" w:type="dxa"/>
          </w:tcPr>
          <w:p w14:paraId="43FFA75F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1 745,0</w:t>
            </w:r>
          </w:p>
        </w:tc>
        <w:tc>
          <w:tcPr>
            <w:tcW w:w="1122" w:type="dxa"/>
          </w:tcPr>
          <w:p w14:paraId="41C4CEC3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1 166,0</w:t>
            </w:r>
          </w:p>
        </w:tc>
        <w:tc>
          <w:tcPr>
            <w:tcW w:w="1390" w:type="dxa"/>
          </w:tcPr>
          <w:p w14:paraId="363CF438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1 172,0</w:t>
            </w:r>
          </w:p>
        </w:tc>
      </w:tr>
      <w:tr w:rsidR="0022510B" w:rsidRPr="006914C2" w14:paraId="0AB24F06" w14:textId="77777777" w:rsidTr="00FE7E5A">
        <w:trPr>
          <w:trHeight w:val="145"/>
        </w:trPr>
        <w:tc>
          <w:tcPr>
            <w:tcW w:w="1389" w:type="dxa"/>
            <w:vMerge/>
          </w:tcPr>
          <w:p w14:paraId="399D66A7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6677F639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инвестиции, млрд руб./ ЧДП ОД, %</w:t>
            </w:r>
          </w:p>
        </w:tc>
        <w:tc>
          <w:tcPr>
            <w:tcW w:w="936" w:type="dxa"/>
          </w:tcPr>
          <w:p w14:paraId="232DD594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44" w:type="dxa"/>
          </w:tcPr>
          <w:p w14:paraId="306765AF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63" w:type="dxa"/>
          </w:tcPr>
          <w:p w14:paraId="09B4B907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93" w:type="dxa"/>
          </w:tcPr>
          <w:p w14:paraId="752AFBD6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22" w:type="dxa"/>
          </w:tcPr>
          <w:p w14:paraId="0D0C26B9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90" w:type="dxa"/>
          </w:tcPr>
          <w:p w14:paraId="263642ED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2510B" w:rsidRPr="006914C2" w14:paraId="10B61BEA" w14:textId="77777777" w:rsidTr="00FE7E5A">
        <w:trPr>
          <w:trHeight w:val="273"/>
        </w:trPr>
        <w:tc>
          <w:tcPr>
            <w:tcW w:w="1389" w:type="dxa"/>
            <w:vMerge w:val="restart"/>
          </w:tcPr>
          <w:p w14:paraId="758E533F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«Лукойл»</w:t>
            </w:r>
          </w:p>
        </w:tc>
        <w:tc>
          <w:tcPr>
            <w:tcW w:w="1414" w:type="dxa"/>
          </w:tcPr>
          <w:p w14:paraId="701C8F52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инвестиции, млрд руб.</w:t>
            </w:r>
          </w:p>
        </w:tc>
        <w:tc>
          <w:tcPr>
            <w:tcW w:w="936" w:type="dxa"/>
          </w:tcPr>
          <w:p w14:paraId="12B32B50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44" w:type="dxa"/>
          </w:tcPr>
          <w:p w14:paraId="7E914C8A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063" w:type="dxa"/>
          </w:tcPr>
          <w:p w14:paraId="273237FB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093" w:type="dxa"/>
          </w:tcPr>
          <w:p w14:paraId="4C9A56C0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22" w:type="dxa"/>
          </w:tcPr>
          <w:p w14:paraId="57FED0ED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390" w:type="dxa"/>
          </w:tcPr>
          <w:p w14:paraId="65A1F162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22510B" w:rsidRPr="006914C2" w14:paraId="22A2B08F" w14:textId="77777777" w:rsidTr="00FE7E5A">
        <w:trPr>
          <w:trHeight w:val="145"/>
        </w:trPr>
        <w:tc>
          <w:tcPr>
            <w:tcW w:w="1389" w:type="dxa"/>
            <w:vMerge/>
          </w:tcPr>
          <w:p w14:paraId="35599548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48C0CA9D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ЧДП ОД, млрд. руб.</w:t>
            </w:r>
          </w:p>
        </w:tc>
        <w:tc>
          <w:tcPr>
            <w:tcW w:w="936" w:type="dxa"/>
          </w:tcPr>
          <w:p w14:paraId="2729D29C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758,5</w:t>
            </w:r>
          </w:p>
        </w:tc>
        <w:tc>
          <w:tcPr>
            <w:tcW w:w="944" w:type="dxa"/>
          </w:tcPr>
          <w:p w14:paraId="0A8181E4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1 006,7</w:t>
            </w:r>
          </w:p>
        </w:tc>
        <w:tc>
          <w:tcPr>
            <w:tcW w:w="1063" w:type="dxa"/>
          </w:tcPr>
          <w:p w14:paraId="2560CBCA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1 151,8</w:t>
            </w:r>
          </w:p>
        </w:tc>
        <w:tc>
          <w:tcPr>
            <w:tcW w:w="1093" w:type="dxa"/>
          </w:tcPr>
          <w:p w14:paraId="0D76D48F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776,6</w:t>
            </w:r>
          </w:p>
        </w:tc>
        <w:tc>
          <w:tcPr>
            <w:tcW w:w="1122" w:type="dxa"/>
          </w:tcPr>
          <w:p w14:paraId="22C53310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1 126,6</w:t>
            </w:r>
          </w:p>
        </w:tc>
        <w:tc>
          <w:tcPr>
            <w:tcW w:w="1390" w:type="dxa"/>
          </w:tcPr>
          <w:p w14:paraId="0244C0BC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</w:tr>
      <w:tr w:rsidR="0022510B" w:rsidRPr="006914C2" w14:paraId="5FC6E0FA" w14:textId="77777777" w:rsidTr="00FE7E5A">
        <w:trPr>
          <w:trHeight w:val="145"/>
        </w:trPr>
        <w:tc>
          <w:tcPr>
            <w:tcW w:w="1389" w:type="dxa"/>
            <w:vMerge/>
          </w:tcPr>
          <w:p w14:paraId="565C23A2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27CFEBD9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инвестиции, млрд руб./ ЧДП ОД, %</w:t>
            </w:r>
          </w:p>
        </w:tc>
        <w:tc>
          <w:tcPr>
            <w:tcW w:w="936" w:type="dxa"/>
          </w:tcPr>
          <w:p w14:paraId="6E97B02E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44" w:type="dxa"/>
          </w:tcPr>
          <w:p w14:paraId="4C4ED86F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63" w:type="dxa"/>
          </w:tcPr>
          <w:p w14:paraId="07D200C1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93" w:type="dxa"/>
          </w:tcPr>
          <w:p w14:paraId="1E73AB35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22" w:type="dxa"/>
          </w:tcPr>
          <w:p w14:paraId="567BC17B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90" w:type="dxa"/>
          </w:tcPr>
          <w:p w14:paraId="64BA727C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2510B" w:rsidRPr="006914C2" w14:paraId="79D54C20" w14:textId="77777777" w:rsidTr="00FE7E5A">
        <w:trPr>
          <w:trHeight w:val="273"/>
        </w:trPr>
        <w:tc>
          <w:tcPr>
            <w:tcW w:w="1389" w:type="dxa"/>
            <w:vMerge w:val="restart"/>
          </w:tcPr>
          <w:p w14:paraId="6BB1C02B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«НОВАТЭК»</w:t>
            </w:r>
          </w:p>
          <w:p w14:paraId="1D261A4C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CBA602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74AC70BE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инвестиции, млрд руб.</w:t>
            </w:r>
          </w:p>
        </w:tc>
        <w:tc>
          <w:tcPr>
            <w:tcW w:w="936" w:type="dxa"/>
          </w:tcPr>
          <w:p w14:paraId="166E16F2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44" w:type="dxa"/>
          </w:tcPr>
          <w:p w14:paraId="18730760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63" w:type="dxa"/>
          </w:tcPr>
          <w:p w14:paraId="0FEEAFF7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93" w:type="dxa"/>
          </w:tcPr>
          <w:p w14:paraId="52E15226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22" w:type="dxa"/>
          </w:tcPr>
          <w:p w14:paraId="29195738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90" w:type="dxa"/>
          </w:tcPr>
          <w:p w14:paraId="4C33C9E6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2510B" w:rsidRPr="006914C2" w14:paraId="5E65058B" w14:textId="77777777" w:rsidTr="00FE7E5A">
        <w:trPr>
          <w:trHeight w:val="145"/>
        </w:trPr>
        <w:tc>
          <w:tcPr>
            <w:tcW w:w="1389" w:type="dxa"/>
            <w:vMerge/>
          </w:tcPr>
          <w:p w14:paraId="06D66416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69CA483A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ЧДП ОД, млрд. руб.</w:t>
            </w:r>
          </w:p>
        </w:tc>
        <w:tc>
          <w:tcPr>
            <w:tcW w:w="936" w:type="dxa"/>
          </w:tcPr>
          <w:p w14:paraId="1041C7AB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944" w:type="dxa"/>
          </w:tcPr>
          <w:p w14:paraId="4695A27E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063" w:type="dxa"/>
          </w:tcPr>
          <w:p w14:paraId="75879E87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1093" w:type="dxa"/>
          </w:tcPr>
          <w:p w14:paraId="6ED98A51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122" w:type="dxa"/>
          </w:tcPr>
          <w:p w14:paraId="2A9C2735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419,5</w:t>
            </w:r>
          </w:p>
        </w:tc>
        <w:tc>
          <w:tcPr>
            <w:tcW w:w="1390" w:type="dxa"/>
          </w:tcPr>
          <w:p w14:paraId="4398F7BE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259,1</w:t>
            </w:r>
          </w:p>
        </w:tc>
      </w:tr>
      <w:tr w:rsidR="0022510B" w:rsidRPr="006914C2" w14:paraId="6CA588AF" w14:textId="77777777" w:rsidTr="00FE7E5A">
        <w:trPr>
          <w:trHeight w:val="145"/>
        </w:trPr>
        <w:tc>
          <w:tcPr>
            <w:tcW w:w="1389" w:type="dxa"/>
            <w:vMerge/>
          </w:tcPr>
          <w:p w14:paraId="6492974F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6C3AE87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инвестиции, млрд руб./ ЧДП ОД, %</w:t>
            </w:r>
          </w:p>
        </w:tc>
        <w:tc>
          <w:tcPr>
            <w:tcW w:w="936" w:type="dxa"/>
          </w:tcPr>
          <w:p w14:paraId="7C0B6268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44" w:type="dxa"/>
          </w:tcPr>
          <w:p w14:paraId="5BCB292A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63" w:type="dxa"/>
          </w:tcPr>
          <w:p w14:paraId="1BF713FD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3" w:type="dxa"/>
          </w:tcPr>
          <w:p w14:paraId="70C6A1AE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22" w:type="dxa"/>
          </w:tcPr>
          <w:p w14:paraId="0F358913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90" w:type="dxa"/>
          </w:tcPr>
          <w:p w14:paraId="13D850EE" w14:textId="77777777" w:rsidR="0022510B" w:rsidRPr="006914C2" w:rsidRDefault="0022510B" w:rsidP="00FE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14:paraId="6D6914D9" w14:textId="36D864F2" w:rsidR="00390121" w:rsidRPr="006914C2" w:rsidRDefault="002F4954" w:rsidP="00225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Анализ представленных данных показывает, что ПАО «Газпром» является ведущим социальным инвестором в нефтегазовой отрасли. Компания занимает лидирующее положение не только по общему объему социальных инвестиций и программ, но и по их доле в ЧДП ОД. Так, среднегодовой объем инвестиций ПАО «Газпром» в социальные проекты за период 2017 – 2021 гг. составляет 72 млрд. р., что соответствует 4,1 % от чистого денежного потока по операционной деятельности. </w:t>
      </w:r>
    </w:p>
    <w:p w14:paraId="21D12482" w14:textId="77777777" w:rsidR="00390121" w:rsidRPr="006914C2" w:rsidRDefault="002F4954" w:rsidP="00225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lastRenderedPageBreak/>
        <w:t>На втором месте по объемам социальных инвестиций находится ПАО «НК «Роснефть». За период с 2017 по 2021 год компания</w:t>
      </w:r>
      <w:r w:rsidR="004C02DE" w:rsidRPr="006914C2">
        <w:rPr>
          <w:rFonts w:ascii="Times New Roman" w:hAnsi="Times New Roman" w:cs="Times New Roman"/>
          <w:sz w:val="24"/>
          <w:szCs w:val="24"/>
        </w:rPr>
        <w:t xml:space="preserve"> в среднем вложила 37,4 млрд. р. во внутренние и внешние социальные проекты, что составляет 3,8 % от ЧДП ОД. Показатели у ПАО «Лукойл» незначительно отличаются: среднегодовой объём социальных инвестиций составил 32,7 млрд. р., а их доля в ЧДП ОД – 3,5 %. </w:t>
      </w:r>
    </w:p>
    <w:p w14:paraId="257993B1" w14:textId="7351BD1E" w:rsidR="0022510B" w:rsidRPr="006914C2" w:rsidRDefault="004C02DE" w:rsidP="00225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Объём социальных</w:t>
      </w:r>
      <w:r w:rsidR="003E7940" w:rsidRPr="006914C2">
        <w:rPr>
          <w:rFonts w:ascii="Times New Roman" w:hAnsi="Times New Roman" w:cs="Times New Roman"/>
          <w:sz w:val="24"/>
          <w:szCs w:val="24"/>
        </w:rPr>
        <w:t xml:space="preserve"> инвестиций у ПАО «НОВАТЭК» оказался наименьшим не только в абсолютном выражении (4,2 млрд. р.), но и в относительном (1,8 % от ЧДП ОД).</w:t>
      </w:r>
    </w:p>
    <w:p w14:paraId="4263A4B6" w14:textId="60AE06D0" w:rsidR="003E7940" w:rsidRPr="006914C2" w:rsidRDefault="003E7940" w:rsidP="00225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Таким образом, анализ отчетности об устойчивом развитии ПАО «Газпром», «НК «Роснефть», «Лукойл» и «НОВАТЭК» свидетельствует о том, что крупнейшие нефтегазовые компании в среднем вкладывают от 1,8 до 4,1 % чистого денежного потока от операционной деятельности в реализацию социальных проектов.</w:t>
      </w:r>
    </w:p>
    <w:p w14:paraId="56614930" w14:textId="6FD322B8" w:rsidR="00511A10" w:rsidRPr="006914C2" w:rsidRDefault="00511A10" w:rsidP="00855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Из данного анализа следует</w:t>
      </w:r>
      <w:r w:rsidR="00A563A8" w:rsidRPr="006914C2">
        <w:rPr>
          <w:rFonts w:ascii="Times New Roman" w:hAnsi="Times New Roman" w:cs="Times New Roman"/>
          <w:sz w:val="24"/>
          <w:szCs w:val="24"/>
        </w:rPr>
        <w:t xml:space="preserve">, </w:t>
      </w:r>
      <w:r w:rsidRPr="006914C2">
        <w:rPr>
          <w:rFonts w:ascii="Times New Roman" w:hAnsi="Times New Roman" w:cs="Times New Roman"/>
          <w:sz w:val="24"/>
          <w:szCs w:val="24"/>
        </w:rPr>
        <w:t>что ПАО «Газпром» является ведущим социальным инвестором в нефтегазовой отрасли</w:t>
      </w:r>
      <w:r w:rsidR="00A563A8" w:rsidRPr="006914C2">
        <w:rPr>
          <w:rFonts w:ascii="Times New Roman" w:hAnsi="Times New Roman" w:cs="Times New Roman"/>
          <w:sz w:val="24"/>
          <w:szCs w:val="24"/>
        </w:rPr>
        <w:t xml:space="preserve">, поэтому следует более подробно рассмотреть </w:t>
      </w:r>
      <w:r w:rsidR="00855080" w:rsidRPr="006914C2">
        <w:rPr>
          <w:rFonts w:ascii="Times New Roman" w:hAnsi="Times New Roman" w:cs="Times New Roman"/>
          <w:sz w:val="24"/>
          <w:szCs w:val="24"/>
        </w:rPr>
        <w:t xml:space="preserve">корпоративную </w:t>
      </w:r>
      <w:r w:rsidR="00A563A8" w:rsidRPr="006914C2">
        <w:rPr>
          <w:rFonts w:ascii="Times New Roman" w:hAnsi="Times New Roman" w:cs="Times New Roman"/>
          <w:sz w:val="24"/>
          <w:szCs w:val="24"/>
        </w:rPr>
        <w:t>социальную политику</w:t>
      </w:r>
      <w:r w:rsidR="00855080" w:rsidRPr="006914C2">
        <w:rPr>
          <w:rFonts w:ascii="Times New Roman" w:hAnsi="Times New Roman" w:cs="Times New Roman"/>
          <w:sz w:val="24"/>
          <w:szCs w:val="24"/>
        </w:rPr>
        <w:t xml:space="preserve"> данного предприятия</w:t>
      </w:r>
      <w:r w:rsidR="00A563A8" w:rsidRPr="006914C2">
        <w:rPr>
          <w:rFonts w:ascii="Times New Roman" w:hAnsi="Times New Roman" w:cs="Times New Roman"/>
          <w:sz w:val="24"/>
          <w:szCs w:val="24"/>
        </w:rPr>
        <w:t xml:space="preserve">. На примере </w:t>
      </w:r>
      <w:r w:rsidRPr="006914C2">
        <w:rPr>
          <w:rFonts w:ascii="Times New Roman" w:hAnsi="Times New Roman" w:cs="Times New Roman"/>
          <w:sz w:val="24"/>
          <w:szCs w:val="24"/>
        </w:rPr>
        <w:t>структур</w:t>
      </w:r>
      <w:r w:rsidR="00A563A8" w:rsidRPr="006914C2">
        <w:rPr>
          <w:rFonts w:ascii="Times New Roman" w:hAnsi="Times New Roman" w:cs="Times New Roman"/>
          <w:sz w:val="24"/>
          <w:szCs w:val="24"/>
        </w:rPr>
        <w:t>ы</w:t>
      </w:r>
      <w:r w:rsidRPr="006914C2">
        <w:rPr>
          <w:rFonts w:ascii="Times New Roman" w:hAnsi="Times New Roman" w:cs="Times New Roman"/>
          <w:sz w:val="24"/>
          <w:szCs w:val="24"/>
        </w:rPr>
        <w:t xml:space="preserve"> затрат внешней социальной политики ПАО «Газпром» за период с 2021 г. по 2023 г.</w:t>
      </w:r>
      <w:r w:rsidR="00AA0F4A" w:rsidRPr="006914C2">
        <w:rPr>
          <w:rFonts w:ascii="Times New Roman" w:hAnsi="Times New Roman" w:cs="Times New Roman"/>
          <w:sz w:val="24"/>
          <w:szCs w:val="24"/>
        </w:rPr>
        <w:t xml:space="preserve"> (Таблица 2)</w:t>
      </w:r>
      <w:r w:rsidRPr="006914C2">
        <w:rPr>
          <w:rFonts w:ascii="Times New Roman" w:hAnsi="Times New Roman" w:cs="Times New Roman"/>
          <w:sz w:val="24"/>
          <w:szCs w:val="24"/>
        </w:rPr>
        <w:t>, а также основны</w:t>
      </w:r>
      <w:r w:rsidR="00855080" w:rsidRPr="006914C2">
        <w:rPr>
          <w:rFonts w:ascii="Times New Roman" w:hAnsi="Times New Roman" w:cs="Times New Roman"/>
          <w:sz w:val="24"/>
          <w:szCs w:val="24"/>
        </w:rPr>
        <w:t>х</w:t>
      </w:r>
      <w:r w:rsidRPr="006914C2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855080" w:rsidRPr="006914C2">
        <w:rPr>
          <w:rFonts w:ascii="Times New Roman" w:hAnsi="Times New Roman" w:cs="Times New Roman"/>
          <w:sz w:val="24"/>
          <w:szCs w:val="24"/>
        </w:rPr>
        <w:t>й</w:t>
      </w:r>
      <w:r w:rsidRPr="006914C2">
        <w:rPr>
          <w:rFonts w:ascii="Times New Roman" w:hAnsi="Times New Roman" w:cs="Times New Roman"/>
          <w:sz w:val="24"/>
          <w:szCs w:val="24"/>
        </w:rPr>
        <w:t xml:space="preserve"> внутренней социальной политики ПАО «Газпром» за период с 2021 г. по 2023 г.</w:t>
      </w:r>
      <w:r w:rsidR="00AA0F4A" w:rsidRPr="006914C2">
        <w:rPr>
          <w:rFonts w:ascii="Times New Roman" w:hAnsi="Times New Roman" w:cs="Times New Roman"/>
          <w:sz w:val="24"/>
          <w:szCs w:val="24"/>
        </w:rPr>
        <w:t xml:space="preserve"> (Таблица 3)</w:t>
      </w:r>
      <w:r w:rsidR="00F172A7" w:rsidRPr="006914C2">
        <w:rPr>
          <w:rFonts w:ascii="Times New Roman" w:hAnsi="Times New Roman" w:cs="Times New Roman"/>
          <w:sz w:val="24"/>
          <w:szCs w:val="24"/>
        </w:rPr>
        <w:t xml:space="preserve"> [3].</w:t>
      </w:r>
    </w:p>
    <w:p w14:paraId="6E742634" w14:textId="5CD02A24" w:rsidR="00855080" w:rsidRPr="006914C2" w:rsidRDefault="005922E4" w:rsidP="00855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Во внешней корпоративной социальной политике ПАО «Газпрома» </w:t>
      </w:r>
      <w:r w:rsidR="00AA0F4A" w:rsidRPr="006914C2">
        <w:rPr>
          <w:rFonts w:ascii="Times New Roman" w:hAnsi="Times New Roman" w:cs="Times New Roman"/>
          <w:sz w:val="24"/>
          <w:szCs w:val="24"/>
        </w:rPr>
        <w:t>б</w:t>
      </w:r>
      <w:r w:rsidR="00855080" w:rsidRPr="006914C2">
        <w:rPr>
          <w:rFonts w:ascii="Times New Roman" w:hAnsi="Times New Roman" w:cs="Times New Roman"/>
          <w:sz w:val="24"/>
          <w:szCs w:val="24"/>
        </w:rPr>
        <w:t>лаготворительная</w:t>
      </w:r>
      <w:r w:rsidR="00AA0F4A" w:rsidRPr="006914C2">
        <w:rPr>
          <w:rFonts w:ascii="Times New Roman" w:hAnsi="Times New Roman" w:cs="Times New Roman"/>
          <w:sz w:val="24"/>
          <w:szCs w:val="24"/>
        </w:rPr>
        <w:t xml:space="preserve"> деятельность и спонсорская поддержка обусловлена стремлением внести свой вклад в решение наиболее важных социальных проблем. Все это реализуется в участии и решении наиболее актуальных и приоритетных вопросов социально-экономического развития стран и регионов, в которых они осуществляют свою деятельность.</w:t>
      </w:r>
      <w:r w:rsidR="006914C2">
        <w:rPr>
          <w:rFonts w:ascii="Times New Roman" w:hAnsi="Times New Roman" w:cs="Times New Roman"/>
          <w:sz w:val="24"/>
          <w:szCs w:val="24"/>
        </w:rPr>
        <w:t xml:space="preserve"> Наиболее подробно структура затрат внешней социальной политики ПАО «Газпром» представлена </w:t>
      </w:r>
      <w:r w:rsidR="0092164D">
        <w:rPr>
          <w:rFonts w:ascii="Times New Roman" w:hAnsi="Times New Roman" w:cs="Times New Roman"/>
          <w:sz w:val="24"/>
          <w:szCs w:val="24"/>
        </w:rPr>
        <w:t>в таблице 2.</w:t>
      </w:r>
    </w:p>
    <w:p w14:paraId="00B41D3B" w14:textId="5EAD5AC4" w:rsidR="00EC3303" w:rsidRPr="006914C2" w:rsidRDefault="00EC3303" w:rsidP="00FC03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C2">
        <w:rPr>
          <w:rFonts w:ascii="Times New Roman" w:hAnsi="Times New Roman" w:cs="Times New Roman"/>
          <w:b/>
          <w:bCs/>
          <w:sz w:val="24"/>
          <w:szCs w:val="24"/>
        </w:rPr>
        <w:t>Таблица 2 – Структура затрат внешней социальной политики ПАО «Газпром» за период с 2021 г. по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385"/>
        <w:gridCol w:w="1869"/>
      </w:tblGrid>
      <w:tr w:rsidR="00EC3303" w:rsidRPr="006914C2" w14:paraId="73599584" w14:textId="77777777" w:rsidTr="003D441F">
        <w:trPr>
          <w:trHeight w:val="1154"/>
        </w:trPr>
        <w:tc>
          <w:tcPr>
            <w:tcW w:w="3397" w:type="dxa"/>
            <w:tcBorders>
              <w:tl2br w:val="nil"/>
              <w:tr2bl w:val="nil"/>
            </w:tcBorders>
          </w:tcPr>
          <w:p w14:paraId="6F5FA489" w14:textId="77777777" w:rsidR="003D441F" w:rsidRPr="006914C2" w:rsidRDefault="003D441F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21D21" w14:textId="167DB399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затрат</w:t>
            </w:r>
          </w:p>
        </w:tc>
        <w:tc>
          <w:tcPr>
            <w:tcW w:w="1418" w:type="dxa"/>
          </w:tcPr>
          <w:p w14:paraId="564622DD" w14:textId="77777777" w:rsidR="003D441F" w:rsidRPr="006914C2" w:rsidRDefault="003D441F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B43369" w14:textId="4337FF33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14:paraId="32296B7E" w14:textId="77777777" w:rsidR="003D441F" w:rsidRPr="006914C2" w:rsidRDefault="003D441F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251FDE" w14:textId="5BB4623B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385" w:type="dxa"/>
          </w:tcPr>
          <w:p w14:paraId="765331D1" w14:textId="77777777" w:rsidR="003D441F" w:rsidRPr="006914C2" w:rsidRDefault="003D441F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446C33" w14:textId="7A0D967D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2023г.</w:t>
            </w:r>
          </w:p>
        </w:tc>
        <w:tc>
          <w:tcPr>
            <w:tcW w:w="1869" w:type="dxa"/>
          </w:tcPr>
          <w:p w14:paraId="01F7D798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Абсолютное отклонение</w:t>
            </w:r>
          </w:p>
          <w:p w14:paraId="1C168763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2022/2023гг.</w:t>
            </w:r>
          </w:p>
          <w:p w14:paraId="2754980B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(+,-)</w:t>
            </w:r>
          </w:p>
        </w:tc>
      </w:tr>
      <w:tr w:rsidR="00EC3303" w:rsidRPr="006914C2" w14:paraId="2C021567" w14:textId="77777777" w:rsidTr="00714EFB">
        <w:tc>
          <w:tcPr>
            <w:tcW w:w="3397" w:type="dxa"/>
            <w:vAlign w:val="center"/>
          </w:tcPr>
          <w:p w14:paraId="4EC9D9A5" w14:textId="77777777" w:rsidR="00EC3303" w:rsidRPr="006914C2" w:rsidRDefault="00EC3303" w:rsidP="00714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развития спорта (включая строительство спортивных объектов в рамках проекта «Газпром – детям»), %.</w:t>
            </w:r>
          </w:p>
        </w:tc>
        <w:tc>
          <w:tcPr>
            <w:tcW w:w="1418" w:type="dxa"/>
            <w:vAlign w:val="center"/>
          </w:tcPr>
          <w:p w14:paraId="30AF6FFA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44,68</w:t>
            </w:r>
          </w:p>
        </w:tc>
        <w:tc>
          <w:tcPr>
            <w:tcW w:w="1276" w:type="dxa"/>
            <w:vAlign w:val="center"/>
          </w:tcPr>
          <w:p w14:paraId="556785E9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</w:tc>
        <w:tc>
          <w:tcPr>
            <w:tcW w:w="1385" w:type="dxa"/>
            <w:vAlign w:val="center"/>
          </w:tcPr>
          <w:p w14:paraId="7F892F68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  <w:tc>
          <w:tcPr>
            <w:tcW w:w="1869" w:type="dxa"/>
            <w:vAlign w:val="center"/>
          </w:tcPr>
          <w:p w14:paraId="4CEC9AF9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–21,81</w:t>
            </w:r>
          </w:p>
        </w:tc>
      </w:tr>
      <w:tr w:rsidR="00EC3303" w:rsidRPr="006914C2" w14:paraId="370C7D75" w14:textId="77777777" w:rsidTr="00714EFB">
        <w:tc>
          <w:tcPr>
            <w:tcW w:w="3397" w:type="dxa"/>
            <w:vAlign w:val="center"/>
          </w:tcPr>
          <w:p w14:paraId="66FBED2D" w14:textId="77777777" w:rsidR="00EC3303" w:rsidRPr="006914C2" w:rsidRDefault="00EC3303" w:rsidP="00714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городской инфраструктуры регионов присутствия ПАО «Газпром», %.</w:t>
            </w:r>
          </w:p>
        </w:tc>
        <w:tc>
          <w:tcPr>
            <w:tcW w:w="1418" w:type="dxa"/>
            <w:vAlign w:val="center"/>
          </w:tcPr>
          <w:p w14:paraId="69C6D29A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35,05</w:t>
            </w:r>
          </w:p>
        </w:tc>
        <w:tc>
          <w:tcPr>
            <w:tcW w:w="1276" w:type="dxa"/>
            <w:vAlign w:val="center"/>
          </w:tcPr>
          <w:p w14:paraId="0B8A566F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1385" w:type="dxa"/>
            <w:vAlign w:val="center"/>
          </w:tcPr>
          <w:p w14:paraId="552296CC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  <w:tc>
          <w:tcPr>
            <w:tcW w:w="1869" w:type="dxa"/>
            <w:vAlign w:val="center"/>
          </w:tcPr>
          <w:p w14:paraId="2AFFEBF9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+19,64</w:t>
            </w:r>
          </w:p>
        </w:tc>
      </w:tr>
      <w:tr w:rsidR="00EC3303" w:rsidRPr="006914C2" w14:paraId="2C93E88B" w14:textId="77777777" w:rsidTr="00714EFB">
        <w:tc>
          <w:tcPr>
            <w:tcW w:w="3397" w:type="dxa"/>
            <w:vAlign w:val="center"/>
          </w:tcPr>
          <w:p w14:paraId="7535CEB6" w14:textId="77777777" w:rsidR="00EC3303" w:rsidRPr="006914C2" w:rsidRDefault="00EC3303" w:rsidP="00714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Поддержка культуры, %.</w:t>
            </w:r>
          </w:p>
        </w:tc>
        <w:tc>
          <w:tcPr>
            <w:tcW w:w="1418" w:type="dxa"/>
            <w:vAlign w:val="center"/>
          </w:tcPr>
          <w:p w14:paraId="2C481AD3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76" w:type="dxa"/>
            <w:vAlign w:val="center"/>
          </w:tcPr>
          <w:p w14:paraId="6539CA1F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385" w:type="dxa"/>
            <w:vAlign w:val="center"/>
          </w:tcPr>
          <w:p w14:paraId="750BED50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869" w:type="dxa"/>
            <w:vAlign w:val="center"/>
          </w:tcPr>
          <w:p w14:paraId="659BFF09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+0,83</w:t>
            </w:r>
          </w:p>
        </w:tc>
      </w:tr>
      <w:tr w:rsidR="00EC3303" w:rsidRPr="006914C2" w14:paraId="76B656F9" w14:textId="77777777" w:rsidTr="00714EFB">
        <w:tc>
          <w:tcPr>
            <w:tcW w:w="3397" w:type="dxa"/>
            <w:vAlign w:val="center"/>
          </w:tcPr>
          <w:p w14:paraId="414CE208" w14:textId="77777777" w:rsidR="00EC3303" w:rsidRPr="006914C2" w:rsidRDefault="00EC3303" w:rsidP="00714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образования, %.</w:t>
            </w:r>
          </w:p>
        </w:tc>
        <w:tc>
          <w:tcPr>
            <w:tcW w:w="1418" w:type="dxa"/>
            <w:vAlign w:val="center"/>
          </w:tcPr>
          <w:p w14:paraId="3D8815F6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vAlign w:val="center"/>
          </w:tcPr>
          <w:p w14:paraId="28BF5C08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385" w:type="dxa"/>
            <w:vAlign w:val="center"/>
          </w:tcPr>
          <w:p w14:paraId="503A5454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869" w:type="dxa"/>
            <w:vAlign w:val="center"/>
          </w:tcPr>
          <w:p w14:paraId="68C207E9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+10,09</w:t>
            </w:r>
          </w:p>
        </w:tc>
      </w:tr>
      <w:tr w:rsidR="00EC3303" w:rsidRPr="006914C2" w14:paraId="7D8B1D51" w14:textId="77777777" w:rsidTr="00714EFB">
        <w:tc>
          <w:tcPr>
            <w:tcW w:w="3397" w:type="dxa"/>
            <w:vAlign w:val="center"/>
          </w:tcPr>
          <w:p w14:paraId="4C338CC9" w14:textId="77777777" w:rsidR="00EC3303" w:rsidRPr="006914C2" w:rsidRDefault="00EC3303" w:rsidP="00714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духовных ценностей, %.</w:t>
            </w:r>
          </w:p>
        </w:tc>
        <w:tc>
          <w:tcPr>
            <w:tcW w:w="1418" w:type="dxa"/>
            <w:vAlign w:val="center"/>
          </w:tcPr>
          <w:p w14:paraId="70ACDE72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276" w:type="dxa"/>
            <w:vAlign w:val="center"/>
          </w:tcPr>
          <w:p w14:paraId="32DEBD0B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385" w:type="dxa"/>
            <w:vAlign w:val="center"/>
          </w:tcPr>
          <w:p w14:paraId="26070BC4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869" w:type="dxa"/>
            <w:vAlign w:val="center"/>
          </w:tcPr>
          <w:p w14:paraId="775B1D97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–0,79</w:t>
            </w:r>
          </w:p>
        </w:tc>
      </w:tr>
      <w:tr w:rsidR="00EC3303" w:rsidRPr="006914C2" w14:paraId="61A0D3BA" w14:textId="77777777" w:rsidTr="00714EFB">
        <w:tc>
          <w:tcPr>
            <w:tcW w:w="3397" w:type="dxa"/>
            <w:vAlign w:val="center"/>
          </w:tcPr>
          <w:p w14:paraId="5CF0A92E" w14:textId="77777777" w:rsidR="00EC3303" w:rsidRPr="006914C2" w:rsidRDefault="00EC3303" w:rsidP="00714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(поддержка здравоохранения, науки, социально незащищенных слоев населения и прочие направления), %.</w:t>
            </w:r>
          </w:p>
        </w:tc>
        <w:tc>
          <w:tcPr>
            <w:tcW w:w="1418" w:type="dxa"/>
            <w:vAlign w:val="center"/>
          </w:tcPr>
          <w:p w14:paraId="17973430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276" w:type="dxa"/>
            <w:vAlign w:val="center"/>
          </w:tcPr>
          <w:p w14:paraId="1EB9CD30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1385" w:type="dxa"/>
            <w:vAlign w:val="center"/>
          </w:tcPr>
          <w:p w14:paraId="5901634F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869" w:type="dxa"/>
            <w:vAlign w:val="center"/>
          </w:tcPr>
          <w:p w14:paraId="254BA25F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–7,96</w:t>
            </w:r>
          </w:p>
        </w:tc>
      </w:tr>
    </w:tbl>
    <w:p w14:paraId="11BFB697" w14:textId="797E8AB6" w:rsidR="00662A1C" w:rsidRPr="006914C2" w:rsidRDefault="00EC3303" w:rsidP="00662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Анализиру</w:t>
      </w:r>
      <w:r w:rsidR="003E7940" w:rsidRPr="006914C2">
        <w:rPr>
          <w:rFonts w:ascii="Times New Roman" w:hAnsi="Times New Roman" w:cs="Times New Roman"/>
          <w:sz w:val="24"/>
          <w:szCs w:val="24"/>
        </w:rPr>
        <w:t>я</w:t>
      </w:r>
      <w:r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="003E7940" w:rsidRPr="006914C2">
        <w:rPr>
          <w:rFonts w:ascii="Times New Roman" w:hAnsi="Times New Roman" w:cs="Times New Roman"/>
          <w:sz w:val="24"/>
          <w:szCs w:val="24"/>
        </w:rPr>
        <w:t>таблицу №2,</w:t>
      </w:r>
      <w:r w:rsidRPr="006914C2">
        <w:rPr>
          <w:rFonts w:ascii="Times New Roman" w:hAnsi="Times New Roman" w:cs="Times New Roman"/>
          <w:sz w:val="24"/>
          <w:szCs w:val="24"/>
        </w:rPr>
        <w:t xml:space="preserve"> можно сделать вывод, что структура затрат внешней социальной политики изменилась за период с 2021 по 2023 годы.</w:t>
      </w:r>
      <w:r w:rsidR="0092164D" w:rsidRPr="0092164D">
        <w:rPr>
          <w:rFonts w:ascii="Times New Roman" w:hAnsi="Times New Roman" w:cs="Times New Roman"/>
          <w:sz w:val="24"/>
          <w:szCs w:val="24"/>
        </w:rPr>
        <w:t xml:space="preserve"> </w:t>
      </w:r>
      <w:r w:rsidR="0092164D">
        <w:rPr>
          <w:rFonts w:ascii="Times New Roman" w:hAnsi="Times New Roman" w:cs="Times New Roman"/>
          <w:sz w:val="24"/>
          <w:szCs w:val="24"/>
        </w:rPr>
        <w:t xml:space="preserve">Приоритеты в затратах на период с 2021 по 2023 гг. менялись в сторону благоустройства </w:t>
      </w:r>
      <w:r w:rsidR="00662A1C">
        <w:rPr>
          <w:rFonts w:ascii="Times New Roman" w:hAnsi="Times New Roman" w:cs="Times New Roman"/>
          <w:sz w:val="24"/>
          <w:szCs w:val="24"/>
        </w:rPr>
        <w:t>регионов,</w:t>
      </w:r>
      <w:r w:rsidR="0092164D">
        <w:rPr>
          <w:rFonts w:ascii="Times New Roman" w:hAnsi="Times New Roman" w:cs="Times New Roman"/>
          <w:sz w:val="24"/>
          <w:szCs w:val="24"/>
        </w:rPr>
        <w:t xml:space="preserve"> в которых находятся дочерние предприятия, а также в поддержку культуры и образования. </w:t>
      </w:r>
      <w:r w:rsidR="00662A1C" w:rsidRPr="006914C2">
        <w:rPr>
          <w:rFonts w:ascii="Times New Roman" w:hAnsi="Times New Roman" w:cs="Times New Roman"/>
          <w:sz w:val="24"/>
          <w:szCs w:val="24"/>
        </w:rPr>
        <w:t>Благоустройство городской инфраструктуры регионов присутствия ПАО «Газпром» в 2023 году значительно увеличилось на 19,64 % и составило 37,68 %.</w:t>
      </w:r>
      <w:r w:rsidR="00662A1C" w:rsidRPr="00662A1C">
        <w:rPr>
          <w:rFonts w:ascii="Times New Roman" w:hAnsi="Times New Roman" w:cs="Times New Roman"/>
          <w:sz w:val="24"/>
          <w:szCs w:val="24"/>
        </w:rPr>
        <w:t xml:space="preserve"> </w:t>
      </w:r>
      <w:r w:rsidR="00662A1C" w:rsidRPr="006914C2">
        <w:rPr>
          <w:rFonts w:ascii="Times New Roman" w:hAnsi="Times New Roman" w:cs="Times New Roman"/>
          <w:sz w:val="24"/>
          <w:szCs w:val="24"/>
        </w:rPr>
        <w:t>Почти в 2 раза виден рост затрат на поддержку культуры и поддержку образования по сравнению с 2021 годом. Данные затраты в 2023 году составили 3,74 % и 15,68 %.</w:t>
      </w:r>
    </w:p>
    <w:p w14:paraId="59AE3F16" w14:textId="7EABF45C" w:rsidR="00EC3303" w:rsidRDefault="00662A1C" w:rsidP="00662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приоритетными в направлении инвестирования денежных средств стали спортивные социальные проекты и поддержка духовных ценностей. </w:t>
      </w:r>
      <w:r w:rsidR="00EC3303" w:rsidRPr="006914C2">
        <w:rPr>
          <w:rFonts w:ascii="Times New Roman" w:hAnsi="Times New Roman" w:cs="Times New Roman"/>
          <w:sz w:val="24"/>
          <w:szCs w:val="24"/>
        </w:rPr>
        <w:t>Так на поддержку развития спорта в 2023 году составили затраты 30,86%, что на 21,1% ниже, чем в 2022 году. В 2021 году данные затраты составляли 44,68%.</w:t>
      </w:r>
      <w:r w:rsidR="00EC3303" w:rsidRPr="00691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3303" w:rsidRPr="006914C2">
        <w:rPr>
          <w:rFonts w:ascii="Times New Roman" w:hAnsi="Times New Roman" w:cs="Times New Roman"/>
          <w:sz w:val="24"/>
          <w:szCs w:val="24"/>
        </w:rPr>
        <w:t>енденция снижения в структуре затрат на поддержку духовных ценностей в 2 раза по сравнению с 2021 годом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EC3303" w:rsidRPr="006914C2">
        <w:rPr>
          <w:rFonts w:ascii="Times New Roman" w:hAnsi="Times New Roman" w:cs="Times New Roman"/>
          <w:sz w:val="24"/>
          <w:szCs w:val="24"/>
        </w:rPr>
        <w:t>роч</w:t>
      </w:r>
      <w:r>
        <w:rPr>
          <w:rFonts w:ascii="Times New Roman" w:hAnsi="Times New Roman" w:cs="Times New Roman"/>
          <w:sz w:val="24"/>
          <w:szCs w:val="24"/>
        </w:rPr>
        <w:t>их направлений таких, как</w:t>
      </w:r>
      <w:r w:rsidR="00EC3303" w:rsidRPr="006914C2">
        <w:rPr>
          <w:rFonts w:ascii="Times New Roman" w:hAnsi="Times New Roman" w:cs="Times New Roman"/>
          <w:sz w:val="24"/>
          <w:szCs w:val="24"/>
        </w:rPr>
        <w:t xml:space="preserve"> поддержка здравоохранения, науки, социально незащищенных слоев населения и </w:t>
      </w:r>
      <w:r>
        <w:rPr>
          <w:rFonts w:ascii="Times New Roman" w:hAnsi="Times New Roman" w:cs="Times New Roman"/>
          <w:sz w:val="24"/>
          <w:szCs w:val="24"/>
        </w:rPr>
        <w:t>других проектов</w:t>
      </w:r>
      <w:r w:rsidR="00EC3303" w:rsidRPr="006914C2">
        <w:rPr>
          <w:rFonts w:ascii="Times New Roman" w:hAnsi="Times New Roman" w:cs="Times New Roman"/>
          <w:sz w:val="24"/>
          <w:szCs w:val="24"/>
        </w:rPr>
        <w:t xml:space="preserve"> снизил</w:t>
      </w:r>
      <w:r w:rsidR="0089446B" w:rsidRPr="006914C2">
        <w:rPr>
          <w:rFonts w:ascii="Times New Roman" w:hAnsi="Times New Roman" w:cs="Times New Roman"/>
          <w:sz w:val="24"/>
          <w:szCs w:val="24"/>
        </w:rPr>
        <w:t>о</w:t>
      </w:r>
      <w:r w:rsidR="00EC3303" w:rsidRPr="006914C2">
        <w:rPr>
          <w:rFonts w:ascii="Times New Roman" w:hAnsi="Times New Roman" w:cs="Times New Roman"/>
          <w:sz w:val="24"/>
          <w:szCs w:val="24"/>
        </w:rPr>
        <w:t xml:space="preserve">сь по сравнению с 2022 годом на 7,96 % и </w:t>
      </w:r>
      <w:r w:rsidR="00B510E4" w:rsidRPr="006914C2">
        <w:rPr>
          <w:rFonts w:ascii="Times New Roman" w:hAnsi="Times New Roman" w:cs="Times New Roman"/>
          <w:sz w:val="24"/>
          <w:szCs w:val="24"/>
        </w:rPr>
        <w:t>составили 9</w:t>
      </w:r>
      <w:r w:rsidR="00EC3303" w:rsidRPr="006914C2">
        <w:rPr>
          <w:rFonts w:ascii="Times New Roman" w:hAnsi="Times New Roman" w:cs="Times New Roman"/>
          <w:sz w:val="24"/>
          <w:szCs w:val="24"/>
        </w:rPr>
        <w:t>,84 % в 2023 году.</w:t>
      </w:r>
    </w:p>
    <w:p w14:paraId="68EB363C" w14:textId="77777777" w:rsidR="00EC3303" w:rsidRPr="006914C2" w:rsidRDefault="00EC3303" w:rsidP="00FC03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C2">
        <w:rPr>
          <w:rFonts w:ascii="Times New Roman" w:hAnsi="Times New Roman" w:cs="Times New Roman"/>
          <w:b/>
          <w:bCs/>
          <w:sz w:val="24"/>
          <w:szCs w:val="24"/>
        </w:rPr>
        <w:t>Таблица 3 – Основные направления внутренней социальной политики ПАО «Газпром» за период с 2021 г. по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102"/>
        <w:gridCol w:w="1869"/>
      </w:tblGrid>
      <w:tr w:rsidR="00EC3303" w:rsidRPr="006914C2" w14:paraId="3FC627D0" w14:textId="77777777" w:rsidTr="0096622F">
        <w:tc>
          <w:tcPr>
            <w:tcW w:w="3823" w:type="dxa"/>
            <w:tcBorders>
              <w:tl2br w:val="nil"/>
              <w:tr2bl w:val="nil"/>
            </w:tcBorders>
          </w:tcPr>
          <w:p w14:paraId="2EB50B47" w14:textId="77777777" w:rsidR="003D441F" w:rsidRPr="006914C2" w:rsidRDefault="003D441F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8C7989" w14:textId="37FAE1CB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1275" w:type="dxa"/>
          </w:tcPr>
          <w:p w14:paraId="78AE4DF6" w14:textId="77777777" w:rsidR="003D441F" w:rsidRPr="006914C2" w:rsidRDefault="003D441F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F392A" w14:textId="727E7729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14:paraId="44CA3BE8" w14:textId="77777777" w:rsidR="003D441F" w:rsidRPr="006914C2" w:rsidRDefault="003D441F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E0C32C" w14:textId="51F1D020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102" w:type="dxa"/>
          </w:tcPr>
          <w:p w14:paraId="6481F4E7" w14:textId="77777777" w:rsidR="003D441F" w:rsidRPr="006914C2" w:rsidRDefault="003D441F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AC2A55" w14:textId="1D691CC8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2023г.</w:t>
            </w:r>
          </w:p>
        </w:tc>
        <w:tc>
          <w:tcPr>
            <w:tcW w:w="1869" w:type="dxa"/>
          </w:tcPr>
          <w:p w14:paraId="7EE0C3F4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Абсолютное отклонение</w:t>
            </w:r>
          </w:p>
          <w:p w14:paraId="0FCA725A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2022/2023гг.</w:t>
            </w:r>
          </w:p>
          <w:p w14:paraId="64919320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(+,-)</w:t>
            </w:r>
          </w:p>
        </w:tc>
      </w:tr>
      <w:tr w:rsidR="00EC3303" w:rsidRPr="006914C2" w14:paraId="08FA5223" w14:textId="77777777" w:rsidTr="0096622F">
        <w:tc>
          <w:tcPr>
            <w:tcW w:w="3823" w:type="dxa"/>
            <w:vAlign w:val="center"/>
          </w:tcPr>
          <w:p w14:paraId="2FF233B3" w14:textId="77777777" w:rsidR="00EC3303" w:rsidRPr="006914C2" w:rsidRDefault="00EC3303" w:rsidP="00714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Медицинское страхование, тыс. чел.</w:t>
            </w:r>
          </w:p>
        </w:tc>
        <w:tc>
          <w:tcPr>
            <w:tcW w:w="1275" w:type="dxa"/>
            <w:vAlign w:val="center"/>
          </w:tcPr>
          <w:p w14:paraId="79B62B65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276" w:type="dxa"/>
            <w:vAlign w:val="center"/>
          </w:tcPr>
          <w:p w14:paraId="5CABCBEF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102" w:type="dxa"/>
            <w:vAlign w:val="center"/>
          </w:tcPr>
          <w:p w14:paraId="45BB6E9C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869" w:type="dxa"/>
            <w:vAlign w:val="center"/>
          </w:tcPr>
          <w:p w14:paraId="428F27E5" w14:textId="3EDB6AC3" w:rsidR="00EC3303" w:rsidRPr="006914C2" w:rsidRDefault="00D13E1B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C3303" w:rsidRPr="006914C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C3303" w:rsidRPr="006914C2" w14:paraId="63D6940F" w14:textId="77777777" w:rsidTr="0096622F">
        <w:tc>
          <w:tcPr>
            <w:tcW w:w="3823" w:type="dxa"/>
            <w:vAlign w:val="center"/>
          </w:tcPr>
          <w:p w14:paraId="062DC94F" w14:textId="77777777" w:rsidR="00EC3303" w:rsidRPr="006914C2" w:rsidRDefault="00EC3303" w:rsidP="00714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Негосударственное</w:t>
            </w:r>
          </w:p>
          <w:p w14:paraId="25907ED8" w14:textId="77777777" w:rsidR="00EC3303" w:rsidRPr="006914C2" w:rsidRDefault="00EC3303" w:rsidP="00714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пенсионное обеспечение, тыс. чел.</w:t>
            </w:r>
          </w:p>
        </w:tc>
        <w:tc>
          <w:tcPr>
            <w:tcW w:w="1275" w:type="dxa"/>
            <w:vAlign w:val="center"/>
          </w:tcPr>
          <w:p w14:paraId="335EDF37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276" w:type="dxa"/>
            <w:vAlign w:val="center"/>
          </w:tcPr>
          <w:p w14:paraId="59A6040A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102" w:type="dxa"/>
            <w:vAlign w:val="center"/>
          </w:tcPr>
          <w:p w14:paraId="50F5E346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869" w:type="dxa"/>
            <w:vAlign w:val="center"/>
          </w:tcPr>
          <w:p w14:paraId="041CE700" w14:textId="029B95BB" w:rsidR="00EC3303" w:rsidRPr="006914C2" w:rsidRDefault="00D13E1B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C3303" w:rsidRPr="006914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C3303" w:rsidRPr="006914C2" w14:paraId="73EFC20B" w14:textId="77777777" w:rsidTr="0096622F">
        <w:tc>
          <w:tcPr>
            <w:tcW w:w="3823" w:type="dxa"/>
            <w:vAlign w:val="center"/>
          </w:tcPr>
          <w:p w14:paraId="39FAF1F8" w14:textId="77777777" w:rsidR="00EC3303" w:rsidRPr="006914C2" w:rsidRDefault="00EC3303" w:rsidP="00714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работников, прошедших обучение по программам повышения квалификации и профессиональной переподготовки в Группе Газпром, тыс. чел.</w:t>
            </w:r>
          </w:p>
        </w:tc>
        <w:tc>
          <w:tcPr>
            <w:tcW w:w="1275" w:type="dxa"/>
            <w:vAlign w:val="center"/>
          </w:tcPr>
          <w:p w14:paraId="6B218DDC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466,4</w:t>
            </w:r>
          </w:p>
        </w:tc>
        <w:tc>
          <w:tcPr>
            <w:tcW w:w="1276" w:type="dxa"/>
            <w:vAlign w:val="center"/>
          </w:tcPr>
          <w:p w14:paraId="014C17CD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559,2</w:t>
            </w:r>
          </w:p>
        </w:tc>
        <w:tc>
          <w:tcPr>
            <w:tcW w:w="1102" w:type="dxa"/>
            <w:vAlign w:val="center"/>
          </w:tcPr>
          <w:p w14:paraId="5F39D615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594,7</w:t>
            </w:r>
          </w:p>
        </w:tc>
        <w:tc>
          <w:tcPr>
            <w:tcW w:w="1869" w:type="dxa"/>
            <w:vAlign w:val="center"/>
          </w:tcPr>
          <w:p w14:paraId="48D6CFD4" w14:textId="50F58CD7" w:rsidR="00EC3303" w:rsidRPr="006914C2" w:rsidRDefault="00D13E1B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C3303" w:rsidRPr="006914C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EC3303" w:rsidRPr="006914C2" w14:paraId="7810CD5A" w14:textId="77777777" w:rsidTr="0096622F">
        <w:tc>
          <w:tcPr>
            <w:tcW w:w="3823" w:type="dxa"/>
          </w:tcPr>
          <w:p w14:paraId="4FF40B84" w14:textId="77777777" w:rsidR="00EC3303" w:rsidRPr="006914C2" w:rsidRDefault="00EC3303" w:rsidP="00714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Затраты на программы личного страхования, млрд. р.</w:t>
            </w:r>
          </w:p>
        </w:tc>
        <w:tc>
          <w:tcPr>
            <w:tcW w:w="1275" w:type="dxa"/>
          </w:tcPr>
          <w:p w14:paraId="606AB9F7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</w:tcPr>
          <w:p w14:paraId="796D31F6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02" w:type="dxa"/>
            <w:vAlign w:val="center"/>
          </w:tcPr>
          <w:p w14:paraId="6D22A685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869" w:type="dxa"/>
            <w:vAlign w:val="center"/>
          </w:tcPr>
          <w:p w14:paraId="655B3BC4" w14:textId="7728F236" w:rsidR="00EC3303" w:rsidRPr="006914C2" w:rsidRDefault="00D13E1B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C3303" w:rsidRPr="006914C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3303" w:rsidRPr="006914C2" w14:paraId="7183A689" w14:textId="77777777" w:rsidTr="0096622F">
        <w:tc>
          <w:tcPr>
            <w:tcW w:w="3823" w:type="dxa"/>
          </w:tcPr>
          <w:p w14:paraId="37A2FF44" w14:textId="77777777" w:rsidR="00EC3303" w:rsidRPr="006914C2" w:rsidRDefault="00EC3303" w:rsidP="00714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организацию и проведение медицинских мероприятий для работников и членов их семей, млрд р.</w:t>
            </w:r>
          </w:p>
        </w:tc>
        <w:tc>
          <w:tcPr>
            <w:tcW w:w="1275" w:type="dxa"/>
            <w:vAlign w:val="center"/>
          </w:tcPr>
          <w:p w14:paraId="03279A11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  <w:vAlign w:val="center"/>
          </w:tcPr>
          <w:p w14:paraId="214E20CB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02" w:type="dxa"/>
            <w:vAlign w:val="center"/>
          </w:tcPr>
          <w:p w14:paraId="4D4CE271" w14:textId="77777777" w:rsidR="00EC3303" w:rsidRPr="006914C2" w:rsidRDefault="00EC3303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869" w:type="dxa"/>
            <w:vAlign w:val="center"/>
          </w:tcPr>
          <w:p w14:paraId="1997D99A" w14:textId="78E10736" w:rsidR="00EC3303" w:rsidRPr="006914C2" w:rsidRDefault="00D13E1B" w:rsidP="0071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C3303" w:rsidRPr="006914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185BF0FD" w14:textId="4814965C" w:rsidR="00EC3303" w:rsidRPr="006914C2" w:rsidRDefault="00EC3303" w:rsidP="006E5C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Анализиру</w:t>
      </w:r>
      <w:r w:rsidR="00AA0F4A" w:rsidRPr="006914C2">
        <w:rPr>
          <w:rFonts w:ascii="Times New Roman" w:hAnsi="Times New Roman" w:cs="Times New Roman"/>
          <w:sz w:val="24"/>
          <w:szCs w:val="24"/>
        </w:rPr>
        <w:t>я</w:t>
      </w:r>
      <w:r w:rsidRPr="006914C2">
        <w:rPr>
          <w:rFonts w:ascii="Times New Roman" w:hAnsi="Times New Roman" w:cs="Times New Roman"/>
          <w:sz w:val="24"/>
          <w:szCs w:val="24"/>
        </w:rPr>
        <w:t xml:space="preserve"> таблицу №3, можно сделать вывод, что медицинское страхование незначительно увеличилось на 6 тыс. человек и составило в 2023 году 598 тыс. человек.</w:t>
      </w:r>
      <w:r w:rsidR="006E5C3A" w:rsidRPr="006914C2">
        <w:rPr>
          <w:rFonts w:ascii="Times New Roman" w:hAnsi="Times New Roman" w:cs="Times New Roman"/>
          <w:sz w:val="24"/>
          <w:szCs w:val="24"/>
        </w:rPr>
        <w:t xml:space="preserve"> Однако сохранение здоровья персонала и предоставление качественной медицинской помощи остаются важными задачами предприятия.</w:t>
      </w:r>
    </w:p>
    <w:p w14:paraId="1A38D4F5" w14:textId="6FBAA6EC" w:rsidR="00EC3303" w:rsidRPr="006914C2" w:rsidRDefault="00EC3303" w:rsidP="00EC33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Негосударственное пенсионное обеспечение работников в 2023 г</w:t>
      </w:r>
      <w:r w:rsidR="00FC03B4" w:rsidRPr="006914C2">
        <w:rPr>
          <w:rFonts w:ascii="Times New Roman" w:hAnsi="Times New Roman" w:cs="Times New Roman"/>
          <w:sz w:val="24"/>
          <w:szCs w:val="24"/>
        </w:rPr>
        <w:t>.</w:t>
      </w:r>
      <w:r w:rsidRPr="006914C2">
        <w:rPr>
          <w:rFonts w:ascii="Times New Roman" w:hAnsi="Times New Roman" w:cs="Times New Roman"/>
          <w:sz w:val="24"/>
          <w:szCs w:val="24"/>
        </w:rPr>
        <w:t xml:space="preserve"> увеличилось на 0,2 тыс. человек и составило 141,8 тыс. че</w:t>
      </w:r>
      <w:r w:rsidR="006E5C3A" w:rsidRPr="006914C2">
        <w:rPr>
          <w:rFonts w:ascii="Times New Roman" w:hAnsi="Times New Roman" w:cs="Times New Roman"/>
          <w:sz w:val="24"/>
          <w:szCs w:val="24"/>
        </w:rPr>
        <w:t xml:space="preserve">л. Реализация данной программы обеспечивает социальную защиту работников после выхода на пенсию и предоставление дополнительной негосударственной пенсии, при выполнении необходимых условий. Для права на корпоративную пенсию </w:t>
      </w:r>
      <w:r w:rsidR="004E32DE" w:rsidRPr="006914C2">
        <w:rPr>
          <w:rFonts w:ascii="Times New Roman" w:hAnsi="Times New Roman" w:cs="Times New Roman"/>
          <w:sz w:val="24"/>
          <w:szCs w:val="24"/>
        </w:rPr>
        <w:t>работн</w:t>
      </w:r>
      <w:r w:rsidR="00FC03B4" w:rsidRPr="006914C2">
        <w:rPr>
          <w:rFonts w:ascii="Times New Roman" w:hAnsi="Times New Roman" w:cs="Times New Roman"/>
          <w:sz w:val="24"/>
          <w:szCs w:val="24"/>
        </w:rPr>
        <w:t>ик должен проработать в организации «Газпрома» не менее 15 лет и достичь пенсионного возраста.</w:t>
      </w:r>
    </w:p>
    <w:p w14:paraId="73733B03" w14:textId="71B8A6EF" w:rsidR="00EC3303" w:rsidRPr="006914C2" w:rsidRDefault="00EC3303" w:rsidP="00EC3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Численность работников, прошедших обучение по программам повышения квалификации и профессиональной переподготовки в Группе Газпром увеличилась с 2021 года по 2023 год и составила 594,7 тыс. чел., что является очень хорошей тенденцией, так как предприятии заинтересовано в обучение своих сотрудников. </w:t>
      </w:r>
    </w:p>
    <w:p w14:paraId="6F711C42" w14:textId="3C361682" w:rsidR="003D441F" w:rsidRPr="006914C2" w:rsidRDefault="00FC03B4" w:rsidP="00EC3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Расходы на личное</w:t>
      </w:r>
      <w:r w:rsidR="00EC3303" w:rsidRPr="006914C2">
        <w:rPr>
          <w:rFonts w:ascii="Times New Roman" w:hAnsi="Times New Roman" w:cs="Times New Roman"/>
          <w:sz w:val="24"/>
          <w:szCs w:val="24"/>
        </w:rPr>
        <w:t xml:space="preserve"> страхование сотрудников в 2023 г</w:t>
      </w:r>
      <w:r w:rsidRPr="006914C2">
        <w:rPr>
          <w:rFonts w:ascii="Times New Roman" w:hAnsi="Times New Roman" w:cs="Times New Roman"/>
          <w:sz w:val="24"/>
          <w:szCs w:val="24"/>
        </w:rPr>
        <w:t>.</w:t>
      </w:r>
      <w:r w:rsidR="00EC3303" w:rsidRPr="006914C2">
        <w:rPr>
          <w:rFonts w:ascii="Times New Roman" w:hAnsi="Times New Roman" w:cs="Times New Roman"/>
          <w:sz w:val="24"/>
          <w:szCs w:val="24"/>
        </w:rPr>
        <w:t xml:space="preserve"> составила 17,8 </w:t>
      </w:r>
      <w:proofErr w:type="spellStart"/>
      <w:r w:rsidR="00EC3303" w:rsidRPr="006914C2">
        <w:rPr>
          <w:rFonts w:ascii="Times New Roman" w:hAnsi="Times New Roman" w:cs="Times New Roman"/>
          <w:sz w:val="24"/>
          <w:szCs w:val="24"/>
        </w:rPr>
        <w:t>млрд.р</w:t>
      </w:r>
      <w:proofErr w:type="spellEnd"/>
      <w:r w:rsidR="00EC3303" w:rsidRPr="006914C2">
        <w:rPr>
          <w:rFonts w:ascii="Times New Roman" w:hAnsi="Times New Roman" w:cs="Times New Roman"/>
          <w:sz w:val="24"/>
          <w:szCs w:val="24"/>
        </w:rPr>
        <w:t>.</w:t>
      </w:r>
      <w:r w:rsidR="003D441F" w:rsidRPr="006914C2">
        <w:rPr>
          <w:rFonts w:ascii="Times New Roman" w:hAnsi="Times New Roman" w:cs="Times New Roman"/>
          <w:sz w:val="24"/>
          <w:szCs w:val="24"/>
        </w:rPr>
        <w:t>, включая страхование от несчастных случаев и страхование жизни.</w:t>
      </w:r>
    </w:p>
    <w:p w14:paraId="27693336" w14:textId="7F416E00" w:rsidR="00EC3303" w:rsidRPr="006914C2" w:rsidRDefault="00EC3303" w:rsidP="00EC3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>Положительная тенденция наблюдается по</w:t>
      </w:r>
      <w:r w:rsidRPr="00691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4C2">
        <w:rPr>
          <w:rFonts w:ascii="Times New Roman" w:hAnsi="Times New Roman" w:cs="Times New Roman"/>
          <w:sz w:val="24"/>
          <w:szCs w:val="24"/>
        </w:rPr>
        <w:t xml:space="preserve">расходам на организацию и проведение медицинских мероприятий для работников и членов их </w:t>
      </w:r>
      <w:r w:rsidR="003D441F" w:rsidRPr="006914C2">
        <w:rPr>
          <w:rFonts w:ascii="Times New Roman" w:hAnsi="Times New Roman" w:cs="Times New Roman"/>
          <w:sz w:val="24"/>
          <w:szCs w:val="24"/>
        </w:rPr>
        <w:t>семей, по</w:t>
      </w:r>
      <w:r w:rsidRPr="006914C2">
        <w:rPr>
          <w:rFonts w:ascii="Times New Roman" w:hAnsi="Times New Roman" w:cs="Times New Roman"/>
          <w:sz w:val="24"/>
          <w:szCs w:val="24"/>
        </w:rPr>
        <w:t xml:space="preserve"> сравнению с 2022 </w:t>
      </w:r>
      <w:r w:rsidR="003D441F" w:rsidRPr="006914C2">
        <w:rPr>
          <w:rFonts w:ascii="Times New Roman" w:hAnsi="Times New Roman" w:cs="Times New Roman"/>
          <w:sz w:val="24"/>
          <w:szCs w:val="24"/>
        </w:rPr>
        <w:t>г</w:t>
      </w:r>
      <w:r w:rsidR="00917A2A" w:rsidRPr="006914C2">
        <w:rPr>
          <w:rFonts w:ascii="Times New Roman" w:hAnsi="Times New Roman" w:cs="Times New Roman"/>
          <w:sz w:val="24"/>
          <w:szCs w:val="24"/>
        </w:rPr>
        <w:t>.</w:t>
      </w:r>
      <w:r w:rsidR="003D441F" w:rsidRPr="006914C2">
        <w:rPr>
          <w:rFonts w:ascii="Times New Roman" w:hAnsi="Times New Roman" w:cs="Times New Roman"/>
          <w:sz w:val="24"/>
          <w:szCs w:val="24"/>
        </w:rPr>
        <w:t xml:space="preserve"> заметно</w:t>
      </w:r>
      <w:r w:rsidRPr="006914C2">
        <w:rPr>
          <w:rFonts w:ascii="Times New Roman" w:hAnsi="Times New Roman" w:cs="Times New Roman"/>
          <w:sz w:val="24"/>
          <w:szCs w:val="24"/>
        </w:rPr>
        <w:t xml:space="preserve"> увеличился </w:t>
      </w:r>
      <w:r w:rsidR="003D441F" w:rsidRPr="006914C2">
        <w:rPr>
          <w:rFonts w:ascii="Times New Roman" w:hAnsi="Times New Roman" w:cs="Times New Roman"/>
          <w:sz w:val="24"/>
          <w:szCs w:val="24"/>
        </w:rPr>
        <w:t>показатель на</w:t>
      </w:r>
      <w:r w:rsidRPr="006914C2">
        <w:rPr>
          <w:rFonts w:ascii="Times New Roman" w:hAnsi="Times New Roman" w:cs="Times New Roman"/>
          <w:sz w:val="24"/>
          <w:szCs w:val="24"/>
        </w:rPr>
        <w:t xml:space="preserve"> 1,5 </w:t>
      </w:r>
      <w:r w:rsidR="003D441F" w:rsidRPr="006914C2">
        <w:rPr>
          <w:rFonts w:ascii="Times New Roman" w:hAnsi="Times New Roman" w:cs="Times New Roman"/>
          <w:sz w:val="24"/>
          <w:szCs w:val="24"/>
        </w:rPr>
        <w:t>млрд.</w:t>
      </w:r>
      <w:r w:rsidRPr="006914C2">
        <w:rPr>
          <w:rFonts w:ascii="Times New Roman" w:hAnsi="Times New Roman" w:cs="Times New Roman"/>
          <w:sz w:val="24"/>
          <w:szCs w:val="24"/>
        </w:rPr>
        <w:t xml:space="preserve"> </w:t>
      </w:r>
      <w:r w:rsidR="003D441F" w:rsidRPr="006914C2">
        <w:rPr>
          <w:rFonts w:ascii="Times New Roman" w:hAnsi="Times New Roman" w:cs="Times New Roman"/>
          <w:sz w:val="24"/>
          <w:szCs w:val="24"/>
        </w:rPr>
        <w:t>р.</w:t>
      </w:r>
    </w:p>
    <w:p w14:paraId="591CC215" w14:textId="66B33F25" w:rsidR="00EC3303" w:rsidRPr="006914C2" w:rsidRDefault="003D441F" w:rsidP="00D13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Помимо данных основных направлений внутренней социальной политики, также осуществляется программа ипотечного кредитования, которая помогает сотрудникам улучшить жилищные условия </w:t>
      </w:r>
      <w:r w:rsidR="00917A2A" w:rsidRPr="006914C2">
        <w:rPr>
          <w:rFonts w:ascii="Times New Roman" w:hAnsi="Times New Roman" w:cs="Times New Roman"/>
          <w:sz w:val="24"/>
          <w:szCs w:val="24"/>
        </w:rPr>
        <w:t>через льготные целевые займы. Корпоративный спорт в группе «Газпрома» содействует улучшению здоровья сотрудников и мотивации к занятиям спорту, посредством участия персонала данного предприятия в спортивных мероприятиях и спартакиаде.</w:t>
      </w:r>
    </w:p>
    <w:p w14:paraId="257C7E66" w14:textId="0ABFAF9B" w:rsidR="00D13E1B" w:rsidRPr="006914C2" w:rsidRDefault="00CE77F0" w:rsidP="00C57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86024" w:rsidRPr="006914C2">
        <w:rPr>
          <w:rFonts w:ascii="Times New Roman" w:hAnsi="Times New Roman" w:cs="Times New Roman"/>
          <w:sz w:val="24"/>
          <w:szCs w:val="24"/>
        </w:rPr>
        <w:t xml:space="preserve">разобрав </w:t>
      </w:r>
      <w:r w:rsidR="0086421F" w:rsidRPr="006914C2">
        <w:rPr>
          <w:rFonts w:ascii="Times New Roman" w:hAnsi="Times New Roman" w:cs="Times New Roman"/>
          <w:sz w:val="24"/>
          <w:szCs w:val="24"/>
        </w:rPr>
        <w:t xml:space="preserve">корпоративную социальную политику </w:t>
      </w:r>
      <w:r w:rsidR="00286024" w:rsidRPr="006914C2">
        <w:rPr>
          <w:rFonts w:ascii="Times New Roman" w:hAnsi="Times New Roman" w:cs="Times New Roman"/>
          <w:sz w:val="24"/>
          <w:szCs w:val="24"/>
        </w:rPr>
        <w:t>ПАО «Газпром</w:t>
      </w:r>
      <w:r w:rsidR="00576409" w:rsidRPr="006914C2">
        <w:rPr>
          <w:rFonts w:ascii="Times New Roman" w:hAnsi="Times New Roman" w:cs="Times New Roman"/>
          <w:sz w:val="24"/>
          <w:szCs w:val="24"/>
        </w:rPr>
        <w:t xml:space="preserve">», на примере основных показателей и структурных затрат социальной политики данного предприятия </w:t>
      </w:r>
      <w:r w:rsidR="00D13E1B" w:rsidRPr="006914C2">
        <w:rPr>
          <w:rFonts w:ascii="Times New Roman" w:hAnsi="Times New Roman" w:cs="Times New Roman"/>
          <w:sz w:val="24"/>
          <w:szCs w:val="24"/>
        </w:rPr>
        <w:t>удалось выявить то</w:t>
      </w:r>
      <w:r w:rsidR="00576409" w:rsidRPr="006914C2">
        <w:rPr>
          <w:rFonts w:ascii="Times New Roman" w:hAnsi="Times New Roman" w:cs="Times New Roman"/>
          <w:sz w:val="24"/>
          <w:szCs w:val="24"/>
        </w:rPr>
        <w:t xml:space="preserve">, что </w:t>
      </w:r>
      <w:r w:rsidR="008E6B84" w:rsidRPr="006914C2">
        <w:rPr>
          <w:rFonts w:ascii="Times New Roman" w:hAnsi="Times New Roman" w:cs="Times New Roman"/>
          <w:sz w:val="24"/>
          <w:szCs w:val="24"/>
        </w:rPr>
        <w:t>в структуре затрат внешней социальной политики на протяжении с 2021 по 2023 гг. инвестирование сфер развития спорта, духовных ценностей и прочего было снижено в приоритет развития инфраструктуры</w:t>
      </w:r>
      <w:r w:rsidR="000777AE" w:rsidRPr="006914C2">
        <w:rPr>
          <w:rFonts w:ascii="Times New Roman" w:hAnsi="Times New Roman" w:cs="Times New Roman"/>
          <w:sz w:val="24"/>
          <w:szCs w:val="24"/>
        </w:rPr>
        <w:t>, на территориях расположения дочерних предприятий, а также культуры и образования.</w:t>
      </w:r>
      <w:r w:rsidR="00D13E1B" w:rsidRPr="006914C2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D13E1B" w:rsidRPr="006914C2">
        <w:rPr>
          <w:rFonts w:ascii="Times New Roman" w:hAnsi="Times New Roman" w:cs="Times New Roman"/>
          <w:sz w:val="24"/>
          <w:szCs w:val="24"/>
        </w:rPr>
        <w:lastRenderedPageBreak/>
        <w:t>направления социальной политики</w:t>
      </w:r>
      <w:r w:rsidR="00C57C6E" w:rsidRPr="006914C2">
        <w:rPr>
          <w:rFonts w:ascii="Times New Roman" w:hAnsi="Times New Roman" w:cs="Times New Roman"/>
          <w:sz w:val="24"/>
          <w:szCs w:val="24"/>
        </w:rPr>
        <w:t>,</w:t>
      </w:r>
      <w:r w:rsidR="00D13E1B" w:rsidRPr="006914C2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C57C6E" w:rsidRPr="006914C2">
        <w:rPr>
          <w:rFonts w:ascii="Times New Roman" w:hAnsi="Times New Roman" w:cs="Times New Roman"/>
          <w:sz w:val="24"/>
          <w:szCs w:val="24"/>
        </w:rPr>
        <w:t>,</w:t>
      </w:r>
      <w:r w:rsidR="00D13E1B" w:rsidRPr="006914C2">
        <w:rPr>
          <w:rFonts w:ascii="Times New Roman" w:hAnsi="Times New Roman" w:cs="Times New Roman"/>
          <w:sz w:val="24"/>
          <w:szCs w:val="24"/>
        </w:rPr>
        <w:t xml:space="preserve"> набирают все большие обороты как на реализацию затрат данных программ, так и </w:t>
      </w:r>
      <w:r w:rsidR="00C57C6E" w:rsidRPr="006914C2">
        <w:rPr>
          <w:rFonts w:ascii="Times New Roman" w:hAnsi="Times New Roman" w:cs="Times New Roman"/>
          <w:sz w:val="24"/>
          <w:szCs w:val="24"/>
        </w:rPr>
        <w:t>участвующих сотрудников во внутренних социальных программах</w:t>
      </w:r>
      <w:r w:rsidR="00E07914" w:rsidRPr="006914C2">
        <w:rPr>
          <w:rFonts w:ascii="Times New Roman" w:hAnsi="Times New Roman" w:cs="Times New Roman"/>
          <w:sz w:val="24"/>
          <w:szCs w:val="24"/>
        </w:rPr>
        <w:t xml:space="preserve"> за данный период</w:t>
      </w:r>
      <w:r w:rsidR="00C57C6E" w:rsidRPr="006914C2">
        <w:rPr>
          <w:rFonts w:ascii="Times New Roman" w:hAnsi="Times New Roman" w:cs="Times New Roman"/>
          <w:sz w:val="24"/>
          <w:szCs w:val="24"/>
        </w:rPr>
        <w:t>.</w:t>
      </w:r>
    </w:p>
    <w:p w14:paraId="79D475AC" w14:textId="71B0F379" w:rsidR="00D13E1B" w:rsidRPr="006914C2" w:rsidRDefault="00C57C6E" w:rsidP="00C57C6E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14:paraId="2FD42D23" w14:textId="588FAB03" w:rsidR="00D13E1B" w:rsidRPr="006914C2" w:rsidRDefault="00D13E1B" w:rsidP="006914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07914" w:rsidRPr="006914C2">
        <w:rPr>
          <w:rFonts w:ascii="Times New Roman" w:hAnsi="Times New Roman" w:cs="Times New Roman"/>
          <w:sz w:val="24"/>
          <w:szCs w:val="24"/>
        </w:rPr>
        <w:t xml:space="preserve">рассмотрев основные </w:t>
      </w:r>
      <w:r w:rsidRPr="006914C2">
        <w:rPr>
          <w:rFonts w:ascii="Times New Roman" w:hAnsi="Times New Roman" w:cs="Times New Roman"/>
          <w:sz w:val="24"/>
          <w:szCs w:val="24"/>
        </w:rPr>
        <w:t xml:space="preserve">социальные программы </w:t>
      </w:r>
      <w:r w:rsidR="00E07914" w:rsidRPr="006914C2">
        <w:rPr>
          <w:rFonts w:ascii="Times New Roman" w:hAnsi="Times New Roman" w:cs="Times New Roman"/>
          <w:sz w:val="24"/>
          <w:szCs w:val="24"/>
        </w:rPr>
        <w:t>российских нефтегазовых компаний ПАО «Газпром», «Лукойл», «НОВАТЭК» и НК «Роснефть» были выявлены схожие и различные направления корпоративной социальной политики. Дальнейший проведенный анализ показал</w:t>
      </w:r>
      <w:r w:rsidRPr="006914C2">
        <w:rPr>
          <w:rFonts w:ascii="Times New Roman" w:hAnsi="Times New Roman" w:cs="Times New Roman"/>
          <w:sz w:val="24"/>
          <w:szCs w:val="24"/>
        </w:rPr>
        <w:t xml:space="preserve">, что крупнейшие нефтегазовые компании инвестируют в реализацию социальных программ в среднем от 1,8 до 4,1 % чистого денежного потока от операционной деятельности. </w:t>
      </w:r>
      <w:r w:rsidR="00E07914" w:rsidRPr="006914C2">
        <w:rPr>
          <w:rFonts w:ascii="Times New Roman" w:hAnsi="Times New Roman" w:cs="Times New Roman"/>
          <w:sz w:val="24"/>
          <w:szCs w:val="24"/>
        </w:rPr>
        <w:t xml:space="preserve">В свою очередь, ведущим социальным инвестором является ПАО «Газпром». </w:t>
      </w:r>
      <w:r w:rsidRPr="006914C2">
        <w:rPr>
          <w:rFonts w:ascii="Times New Roman" w:hAnsi="Times New Roman" w:cs="Times New Roman"/>
          <w:sz w:val="24"/>
          <w:szCs w:val="24"/>
        </w:rPr>
        <w:t xml:space="preserve">В ходе анализа структуры социальных инвестиций компаний была выявлена схожесть социальных политик ПАО «Газпром» и «НОВАТЭК», а также «НК «Роснефть» и «Лукойл». Кроме того, определены наиболее крупные направления внутренних и внешних социальных инвестиций. Среди внутренних социальных проектов наиболее приоритетными </w:t>
      </w:r>
      <w:r w:rsidR="00E07914" w:rsidRPr="006914C2">
        <w:rPr>
          <w:rFonts w:ascii="Times New Roman" w:hAnsi="Times New Roman" w:cs="Times New Roman"/>
          <w:sz w:val="24"/>
          <w:szCs w:val="24"/>
        </w:rPr>
        <w:t>для</w:t>
      </w:r>
      <w:r w:rsidRPr="006914C2">
        <w:rPr>
          <w:rFonts w:ascii="Times New Roman" w:hAnsi="Times New Roman" w:cs="Times New Roman"/>
          <w:sz w:val="24"/>
          <w:szCs w:val="24"/>
        </w:rPr>
        <w:t xml:space="preserve"> нефтегазовых компаний являются проекты </w:t>
      </w:r>
      <w:r w:rsidR="00E07914" w:rsidRPr="006914C2">
        <w:rPr>
          <w:rFonts w:ascii="Times New Roman" w:hAnsi="Times New Roman" w:cs="Times New Roman"/>
          <w:sz w:val="24"/>
          <w:szCs w:val="24"/>
        </w:rPr>
        <w:t xml:space="preserve">добровольного медицинского страхования </w:t>
      </w:r>
      <w:r w:rsidRPr="006914C2">
        <w:rPr>
          <w:rFonts w:ascii="Times New Roman" w:hAnsi="Times New Roman" w:cs="Times New Roman"/>
          <w:sz w:val="24"/>
          <w:szCs w:val="24"/>
        </w:rPr>
        <w:t xml:space="preserve">сотрудников, проекты повышения квалификации, </w:t>
      </w:r>
      <w:r w:rsidR="00E07914" w:rsidRPr="006914C2">
        <w:rPr>
          <w:rFonts w:ascii="Times New Roman" w:hAnsi="Times New Roman" w:cs="Times New Roman"/>
          <w:sz w:val="24"/>
          <w:szCs w:val="24"/>
        </w:rPr>
        <w:t xml:space="preserve">негосударственные </w:t>
      </w:r>
      <w:r w:rsidRPr="006914C2">
        <w:rPr>
          <w:rFonts w:ascii="Times New Roman" w:hAnsi="Times New Roman" w:cs="Times New Roman"/>
          <w:sz w:val="24"/>
          <w:szCs w:val="24"/>
        </w:rPr>
        <w:t xml:space="preserve">корпоративные пенсионные программы и другие. </w:t>
      </w:r>
      <w:r w:rsidR="0092164D">
        <w:rPr>
          <w:rFonts w:ascii="Times New Roman" w:hAnsi="Times New Roman" w:cs="Times New Roman"/>
          <w:sz w:val="24"/>
          <w:szCs w:val="24"/>
        </w:rPr>
        <w:t xml:space="preserve">Во </w:t>
      </w:r>
      <w:r w:rsidR="006914C2" w:rsidRPr="006914C2">
        <w:rPr>
          <w:rFonts w:ascii="Times New Roman" w:hAnsi="Times New Roman" w:cs="Times New Roman"/>
          <w:sz w:val="24"/>
          <w:szCs w:val="24"/>
        </w:rPr>
        <w:t>внешних социальных проект</w:t>
      </w:r>
      <w:r w:rsidR="0092164D">
        <w:rPr>
          <w:rFonts w:ascii="Times New Roman" w:hAnsi="Times New Roman" w:cs="Times New Roman"/>
          <w:sz w:val="24"/>
          <w:szCs w:val="24"/>
        </w:rPr>
        <w:t>ах приоритет был отдан</w:t>
      </w:r>
      <w:r w:rsidR="006914C2" w:rsidRPr="006914C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2164D">
        <w:rPr>
          <w:rFonts w:ascii="Times New Roman" w:hAnsi="Times New Roman" w:cs="Times New Roman"/>
          <w:sz w:val="24"/>
          <w:szCs w:val="24"/>
        </w:rPr>
        <w:t>ю</w:t>
      </w:r>
      <w:r w:rsidR="006914C2" w:rsidRPr="006914C2">
        <w:rPr>
          <w:rFonts w:ascii="Times New Roman" w:hAnsi="Times New Roman" w:cs="Times New Roman"/>
          <w:sz w:val="24"/>
          <w:szCs w:val="24"/>
        </w:rPr>
        <w:t xml:space="preserve"> инфраструктуры в регионах дочерних предприятий, посвященных развитию спорта, образования и науки. </w:t>
      </w:r>
    </w:p>
    <w:p w14:paraId="4A4D638C" w14:textId="77777777" w:rsidR="005B61FB" w:rsidRPr="006914C2" w:rsidRDefault="005B61FB" w:rsidP="002251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BD591" w14:textId="62569B67" w:rsidR="000777AE" w:rsidRPr="006914C2" w:rsidRDefault="000777AE" w:rsidP="00C57C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4C2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14:paraId="184E5A1C" w14:textId="77777777" w:rsidR="00F172A7" w:rsidRPr="006914C2" w:rsidRDefault="00F172A7" w:rsidP="000777A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Назарова Ю. А., </w:t>
      </w:r>
      <w:proofErr w:type="spellStart"/>
      <w:r w:rsidRPr="006914C2">
        <w:rPr>
          <w:rFonts w:ascii="Times New Roman" w:hAnsi="Times New Roman" w:cs="Times New Roman"/>
          <w:sz w:val="24"/>
          <w:szCs w:val="24"/>
        </w:rPr>
        <w:t>Сопилко</w:t>
      </w:r>
      <w:proofErr w:type="spellEnd"/>
      <w:r w:rsidRPr="006914C2">
        <w:rPr>
          <w:rFonts w:ascii="Times New Roman" w:hAnsi="Times New Roman" w:cs="Times New Roman"/>
          <w:sz w:val="24"/>
          <w:szCs w:val="24"/>
        </w:rPr>
        <w:t xml:space="preserve"> Н. Ю. Социальные инвестиционные проекты нефтегазовых компаний: сущность и направление реализации // Корпоративное управление и инновационное развитие экономики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университета. 2023. Т. 3. </w:t>
      </w:r>
      <w:proofErr w:type="spellStart"/>
      <w:r w:rsidRPr="006914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914C2">
        <w:rPr>
          <w:rFonts w:ascii="Times New Roman" w:hAnsi="Times New Roman" w:cs="Times New Roman"/>
          <w:sz w:val="24"/>
          <w:szCs w:val="24"/>
        </w:rPr>
        <w:t>. 4. С. 519–528. https://doi.org/ 10.34130/2070-4992-2023-3-4-51</w:t>
      </w:r>
    </w:p>
    <w:p w14:paraId="10E3A570" w14:textId="77777777" w:rsidR="00F172A7" w:rsidRPr="006914C2" w:rsidRDefault="00F172A7" w:rsidP="00A9579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Отчет об устойчивом развитии // </w:t>
      </w:r>
      <w:proofErr w:type="gramStart"/>
      <w:r w:rsidRPr="006914C2">
        <w:rPr>
          <w:rFonts w:ascii="Times New Roman" w:hAnsi="Times New Roman" w:cs="Times New Roman"/>
          <w:sz w:val="24"/>
          <w:szCs w:val="24"/>
        </w:rPr>
        <w:t>Лукойл :</w:t>
      </w:r>
      <w:proofErr w:type="gramEnd"/>
      <w:r w:rsidRPr="006914C2">
        <w:rPr>
          <w:rFonts w:ascii="Times New Roman" w:hAnsi="Times New Roman" w:cs="Times New Roman"/>
          <w:sz w:val="24"/>
          <w:szCs w:val="24"/>
        </w:rPr>
        <w:t xml:space="preserve"> официальный сайт. – 2024. – URL: </w:t>
      </w:r>
      <w:proofErr w:type="gramStart"/>
      <w:r w:rsidRPr="006914C2">
        <w:rPr>
          <w:rFonts w:ascii="Times New Roman" w:hAnsi="Times New Roman" w:cs="Times New Roman"/>
          <w:sz w:val="24"/>
          <w:szCs w:val="24"/>
        </w:rPr>
        <w:t>https://lukoil.ru/Sustainability/SustainabilityReport .</w:t>
      </w:r>
      <w:proofErr w:type="gramEnd"/>
    </w:p>
    <w:p w14:paraId="084E752F" w14:textId="77777777" w:rsidR="00F172A7" w:rsidRPr="006914C2" w:rsidRDefault="00F172A7" w:rsidP="00577F9D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Отчетность за 2023 год // </w:t>
      </w:r>
      <w:r w:rsidRPr="006914C2">
        <w:rPr>
          <w:rFonts w:ascii="Times New Roman" w:hAnsi="Times New Roman" w:cs="Times New Roman"/>
          <w:sz w:val="24"/>
          <w:szCs w:val="24"/>
          <w:shd w:val="clear" w:color="auto" w:fill="FFFFFF"/>
        </w:rPr>
        <w:t>ПАО «Газпром</w:t>
      </w:r>
      <w:proofErr w:type="gramStart"/>
      <w:r w:rsidRPr="00691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6914C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914C2">
        <w:rPr>
          <w:rFonts w:ascii="Times New Roman" w:hAnsi="Times New Roman" w:cs="Times New Roman"/>
          <w:sz w:val="24"/>
          <w:szCs w:val="24"/>
        </w:rPr>
        <w:t xml:space="preserve"> официальный сайт. – </w:t>
      </w:r>
      <w:r w:rsidRPr="00691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2003 – </w:t>
      </w:r>
      <w:r w:rsidRPr="006914C2">
        <w:rPr>
          <w:rFonts w:ascii="Times New Roman" w:hAnsi="Times New Roman" w:cs="Times New Roman"/>
          <w:sz w:val="24"/>
          <w:szCs w:val="24"/>
        </w:rPr>
        <w:t xml:space="preserve">2024. – URL: </w:t>
      </w:r>
      <w:proofErr w:type="gramStart"/>
      <w:r w:rsidRPr="006914C2">
        <w:rPr>
          <w:rFonts w:ascii="Times New Roman" w:hAnsi="Times New Roman" w:cs="Times New Roman"/>
          <w:sz w:val="24"/>
          <w:szCs w:val="24"/>
        </w:rPr>
        <w:t>https://www.gazprom.ru/investors/disclosure/reports/2023/ .</w:t>
      </w:r>
      <w:proofErr w:type="gramEnd"/>
    </w:p>
    <w:p w14:paraId="44F24818" w14:textId="77777777" w:rsidR="00F172A7" w:rsidRPr="006914C2" w:rsidRDefault="00F172A7" w:rsidP="00A9579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</w:rPr>
        <w:t xml:space="preserve">Отчеты в области устойчивого развития // </w:t>
      </w:r>
      <w:proofErr w:type="gramStart"/>
      <w:r w:rsidRPr="006914C2">
        <w:rPr>
          <w:rFonts w:ascii="Times New Roman" w:hAnsi="Times New Roman" w:cs="Times New Roman"/>
          <w:sz w:val="24"/>
          <w:szCs w:val="24"/>
        </w:rPr>
        <w:t>РОСНЕФТЬ :</w:t>
      </w:r>
      <w:proofErr w:type="gramEnd"/>
      <w:r w:rsidRPr="006914C2">
        <w:rPr>
          <w:rFonts w:ascii="Times New Roman" w:hAnsi="Times New Roman" w:cs="Times New Roman"/>
          <w:sz w:val="24"/>
          <w:szCs w:val="24"/>
        </w:rPr>
        <w:t xml:space="preserve"> официальный сайт. – 2024. – URL: </w:t>
      </w:r>
      <w:proofErr w:type="gramStart"/>
      <w:r w:rsidRPr="006914C2">
        <w:rPr>
          <w:rFonts w:ascii="Times New Roman" w:hAnsi="Times New Roman" w:cs="Times New Roman"/>
          <w:sz w:val="24"/>
          <w:szCs w:val="24"/>
        </w:rPr>
        <w:t>https://www.rosneft.ru/Development/reports/ .</w:t>
      </w:r>
      <w:proofErr w:type="gramEnd"/>
    </w:p>
    <w:p w14:paraId="1DC48727" w14:textId="77777777" w:rsidR="00F172A7" w:rsidRPr="006914C2" w:rsidRDefault="00F172A7" w:rsidP="0051135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C2">
        <w:rPr>
          <w:rFonts w:ascii="Times New Roman" w:hAnsi="Times New Roman" w:cs="Times New Roman"/>
          <w:sz w:val="24"/>
          <w:szCs w:val="24"/>
          <w:lang w:eastAsia="ru-RU"/>
        </w:rPr>
        <w:t xml:space="preserve">Устойчивое развитие </w:t>
      </w:r>
      <w:r w:rsidRPr="006914C2">
        <w:rPr>
          <w:rFonts w:ascii="Times New Roman" w:hAnsi="Times New Roman" w:cs="Times New Roman"/>
          <w:sz w:val="24"/>
          <w:szCs w:val="24"/>
        </w:rPr>
        <w:t>// ПАО «НОВАТЭК</w:t>
      </w:r>
      <w:proofErr w:type="gramStart"/>
      <w:r w:rsidRPr="006914C2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6914C2">
        <w:rPr>
          <w:rFonts w:ascii="Times New Roman" w:hAnsi="Times New Roman" w:cs="Times New Roman"/>
          <w:sz w:val="24"/>
          <w:szCs w:val="24"/>
        </w:rPr>
        <w:t xml:space="preserve"> официальный сайт. – 2024. – URL: </w:t>
      </w:r>
      <w:proofErr w:type="gramStart"/>
      <w:r w:rsidRPr="006914C2">
        <w:rPr>
          <w:rFonts w:ascii="Times New Roman" w:hAnsi="Times New Roman" w:cs="Times New Roman"/>
          <w:sz w:val="24"/>
          <w:szCs w:val="24"/>
        </w:rPr>
        <w:t>https://www.novatek.ru/ru/esg/ .</w:t>
      </w:r>
      <w:proofErr w:type="gramEnd"/>
    </w:p>
    <w:sectPr w:rsidR="00F172A7" w:rsidRPr="0069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1DD3"/>
    <w:multiLevelType w:val="multilevel"/>
    <w:tmpl w:val="CBCC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50042"/>
    <w:multiLevelType w:val="multilevel"/>
    <w:tmpl w:val="3F6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43185"/>
    <w:multiLevelType w:val="hybridMultilevel"/>
    <w:tmpl w:val="DEA87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130DD5"/>
    <w:multiLevelType w:val="multilevel"/>
    <w:tmpl w:val="A756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03FBC"/>
    <w:multiLevelType w:val="multilevel"/>
    <w:tmpl w:val="81AE7A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23310">
    <w:abstractNumId w:val="4"/>
  </w:num>
  <w:num w:numId="2" w16cid:durableId="826819125">
    <w:abstractNumId w:val="1"/>
  </w:num>
  <w:num w:numId="3" w16cid:durableId="921068411">
    <w:abstractNumId w:val="0"/>
  </w:num>
  <w:num w:numId="4" w16cid:durableId="1110903450">
    <w:abstractNumId w:val="3"/>
  </w:num>
  <w:num w:numId="5" w16cid:durableId="211675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8A"/>
    <w:rsid w:val="000128AE"/>
    <w:rsid w:val="00015B7A"/>
    <w:rsid w:val="00027A59"/>
    <w:rsid w:val="000437D3"/>
    <w:rsid w:val="00047272"/>
    <w:rsid w:val="00050592"/>
    <w:rsid w:val="00066B1D"/>
    <w:rsid w:val="00073879"/>
    <w:rsid w:val="000777AE"/>
    <w:rsid w:val="00095253"/>
    <w:rsid w:val="000E71D8"/>
    <w:rsid w:val="00111F73"/>
    <w:rsid w:val="00134CEA"/>
    <w:rsid w:val="00160AC4"/>
    <w:rsid w:val="00164B12"/>
    <w:rsid w:val="00193AC5"/>
    <w:rsid w:val="001A0030"/>
    <w:rsid w:val="001A3BC5"/>
    <w:rsid w:val="001A7688"/>
    <w:rsid w:val="001E4C66"/>
    <w:rsid w:val="00212D93"/>
    <w:rsid w:val="0022510B"/>
    <w:rsid w:val="00237120"/>
    <w:rsid w:val="00286024"/>
    <w:rsid w:val="00290AA8"/>
    <w:rsid w:val="00296036"/>
    <w:rsid w:val="002D1484"/>
    <w:rsid w:val="002F4954"/>
    <w:rsid w:val="00312754"/>
    <w:rsid w:val="00355707"/>
    <w:rsid w:val="00390121"/>
    <w:rsid w:val="003C2CA5"/>
    <w:rsid w:val="003C6B11"/>
    <w:rsid w:val="003D441F"/>
    <w:rsid w:val="003E7940"/>
    <w:rsid w:val="0040657E"/>
    <w:rsid w:val="00411BBB"/>
    <w:rsid w:val="0043677F"/>
    <w:rsid w:val="00454F11"/>
    <w:rsid w:val="00462059"/>
    <w:rsid w:val="00465D64"/>
    <w:rsid w:val="004974FD"/>
    <w:rsid w:val="004B3848"/>
    <w:rsid w:val="004C02DE"/>
    <w:rsid w:val="004E32DE"/>
    <w:rsid w:val="0051135E"/>
    <w:rsid w:val="00511A10"/>
    <w:rsid w:val="00514451"/>
    <w:rsid w:val="00561223"/>
    <w:rsid w:val="00576409"/>
    <w:rsid w:val="00577F9D"/>
    <w:rsid w:val="005922E4"/>
    <w:rsid w:val="005937F5"/>
    <w:rsid w:val="005A429B"/>
    <w:rsid w:val="005B61FB"/>
    <w:rsid w:val="005B7709"/>
    <w:rsid w:val="005C2D69"/>
    <w:rsid w:val="005F198A"/>
    <w:rsid w:val="00662A1C"/>
    <w:rsid w:val="00665B94"/>
    <w:rsid w:val="006761DB"/>
    <w:rsid w:val="00687131"/>
    <w:rsid w:val="006914C2"/>
    <w:rsid w:val="00691B66"/>
    <w:rsid w:val="00697475"/>
    <w:rsid w:val="006B40ED"/>
    <w:rsid w:val="006C3D48"/>
    <w:rsid w:val="006E5C3A"/>
    <w:rsid w:val="006F4297"/>
    <w:rsid w:val="006F4C35"/>
    <w:rsid w:val="00714570"/>
    <w:rsid w:val="00723ECF"/>
    <w:rsid w:val="007353F5"/>
    <w:rsid w:val="0073797F"/>
    <w:rsid w:val="00741502"/>
    <w:rsid w:val="00747C85"/>
    <w:rsid w:val="00755648"/>
    <w:rsid w:val="00770489"/>
    <w:rsid w:val="007866D7"/>
    <w:rsid w:val="00791D99"/>
    <w:rsid w:val="00796AFE"/>
    <w:rsid w:val="007B6816"/>
    <w:rsid w:val="007F0CF6"/>
    <w:rsid w:val="0081320F"/>
    <w:rsid w:val="0082707D"/>
    <w:rsid w:val="008458B9"/>
    <w:rsid w:val="00851C16"/>
    <w:rsid w:val="00855080"/>
    <w:rsid w:val="0086421F"/>
    <w:rsid w:val="00864270"/>
    <w:rsid w:val="008742A6"/>
    <w:rsid w:val="00886655"/>
    <w:rsid w:val="0089446B"/>
    <w:rsid w:val="008D4229"/>
    <w:rsid w:val="008E6B84"/>
    <w:rsid w:val="00917A2A"/>
    <w:rsid w:val="0092164D"/>
    <w:rsid w:val="00924B19"/>
    <w:rsid w:val="009462B6"/>
    <w:rsid w:val="009646B7"/>
    <w:rsid w:val="0096622F"/>
    <w:rsid w:val="00A15303"/>
    <w:rsid w:val="00A23BE1"/>
    <w:rsid w:val="00A563A8"/>
    <w:rsid w:val="00A7265C"/>
    <w:rsid w:val="00A870AE"/>
    <w:rsid w:val="00A91BAC"/>
    <w:rsid w:val="00A9476D"/>
    <w:rsid w:val="00A9579E"/>
    <w:rsid w:val="00AA0F4A"/>
    <w:rsid w:val="00AD3DC5"/>
    <w:rsid w:val="00AF769E"/>
    <w:rsid w:val="00B0649F"/>
    <w:rsid w:val="00B17458"/>
    <w:rsid w:val="00B2471D"/>
    <w:rsid w:val="00B45176"/>
    <w:rsid w:val="00B45F85"/>
    <w:rsid w:val="00B510E4"/>
    <w:rsid w:val="00B7107F"/>
    <w:rsid w:val="00B81BA5"/>
    <w:rsid w:val="00B85071"/>
    <w:rsid w:val="00BD5F18"/>
    <w:rsid w:val="00C031F9"/>
    <w:rsid w:val="00C230F9"/>
    <w:rsid w:val="00C43743"/>
    <w:rsid w:val="00C56888"/>
    <w:rsid w:val="00C57C6E"/>
    <w:rsid w:val="00C61CE1"/>
    <w:rsid w:val="00C93F69"/>
    <w:rsid w:val="00CA506D"/>
    <w:rsid w:val="00CB00EB"/>
    <w:rsid w:val="00CC25A1"/>
    <w:rsid w:val="00CE77F0"/>
    <w:rsid w:val="00D0102D"/>
    <w:rsid w:val="00D13E1B"/>
    <w:rsid w:val="00D6782F"/>
    <w:rsid w:val="00D84AC2"/>
    <w:rsid w:val="00DA0E18"/>
    <w:rsid w:val="00DA1A67"/>
    <w:rsid w:val="00DB2388"/>
    <w:rsid w:val="00DB4364"/>
    <w:rsid w:val="00DD01F2"/>
    <w:rsid w:val="00E07914"/>
    <w:rsid w:val="00E22C1F"/>
    <w:rsid w:val="00E23DDC"/>
    <w:rsid w:val="00E960E5"/>
    <w:rsid w:val="00EC3303"/>
    <w:rsid w:val="00EC4A04"/>
    <w:rsid w:val="00EE2F5D"/>
    <w:rsid w:val="00F172A7"/>
    <w:rsid w:val="00F5263B"/>
    <w:rsid w:val="00F827FE"/>
    <w:rsid w:val="00F87C21"/>
    <w:rsid w:val="00FC03B4"/>
    <w:rsid w:val="00FE5433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7C27"/>
  <w15:chartTrackingRefBased/>
  <w15:docId w15:val="{31996236-ACD4-461F-A68A-C841F115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07F"/>
  </w:style>
  <w:style w:type="paragraph" w:styleId="1">
    <w:name w:val="heading 1"/>
    <w:basedOn w:val="a"/>
    <w:link w:val="10"/>
    <w:uiPriority w:val="9"/>
    <w:qFormat/>
    <w:rsid w:val="00A95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B1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фис"/>
    <w:autoRedefine/>
    <w:qFormat/>
    <w:rsid w:val="00EC330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6">
    <w:name w:val="List Paragraph"/>
    <w:basedOn w:val="a"/>
    <w:uiPriority w:val="34"/>
    <w:qFormat/>
    <w:rsid w:val="000777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40E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40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95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B2471D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6B7F-1B43-40AE-B741-F3CD10D8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10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Lider</cp:lastModifiedBy>
  <cp:revision>25</cp:revision>
  <dcterms:created xsi:type="dcterms:W3CDTF">2024-06-14T15:24:00Z</dcterms:created>
  <dcterms:modified xsi:type="dcterms:W3CDTF">2024-06-17T12:46:00Z</dcterms:modified>
</cp:coreProperties>
</file>