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DB1D" w14:textId="3D955063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4167B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Pr="006831B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14:paraId="73712537" w14:textId="5ABE9154" w:rsidR="006831BD" w:rsidRDefault="009B44C3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DD0FF" w14:textId="77777777" w:rsidR="009B44C3" w:rsidRDefault="009B44C3" w:rsidP="009B44C3">
      <w:pPr>
        <w:jc w:val="center"/>
      </w:pPr>
      <w:r w:rsidRPr="009B44C3">
        <w:rPr>
          <w:rFonts w:ascii="Times New Roman" w:hAnsi="Times New Roman" w:cs="Times New Roman"/>
          <w:sz w:val="28"/>
          <w:szCs w:val="28"/>
        </w:rPr>
        <w:t>VII Международный конкурс инициативных научно-исследовательских проектов</w:t>
      </w:r>
      <w:r w:rsidRPr="009B44C3">
        <w:t xml:space="preserve"> </w:t>
      </w:r>
    </w:p>
    <w:p w14:paraId="0CAC0C68" w14:textId="0F777E9D" w:rsidR="009B44C3" w:rsidRPr="009B44C3" w:rsidRDefault="009B44C3" w:rsidP="009B4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4C3">
        <w:rPr>
          <w:rFonts w:ascii="Times New Roman" w:hAnsi="Times New Roman" w:cs="Times New Roman"/>
          <w:sz w:val="28"/>
          <w:szCs w:val="28"/>
        </w:rPr>
        <w:t>ВЫСОКИЕ ЦЕЛИ</w:t>
      </w:r>
    </w:p>
    <w:p w14:paraId="1A2EF676" w14:textId="3F64A87B" w:rsidR="006831BD" w:rsidRDefault="009B44C3" w:rsidP="009B4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4C3">
        <w:rPr>
          <w:rFonts w:ascii="Times New Roman" w:hAnsi="Times New Roman" w:cs="Times New Roman"/>
          <w:sz w:val="28"/>
          <w:szCs w:val="28"/>
        </w:rPr>
        <w:t>2024/2025</w:t>
      </w: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5BC873A5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конкурсной работы</w:t>
      </w:r>
    </w:p>
    <w:p w14:paraId="1A0D0D7C" w14:textId="39E4F88D" w:rsidR="006831BD" w:rsidRDefault="009B44C3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Исследование </w:t>
      </w:r>
      <w:r w:rsidR="007A65F2">
        <w:rPr>
          <w:rFonts w:ascii="Times New Roman" w:hAnsi="Times New Roman" w:cs="Times New Roman"/>
          <w:b/>
          <w:bCs/>
          <w:sz w:val="40"/>
          <w:szCs w:val="40"/>
        </w:rPr>
        <w:t xml:space="preserve">влияния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ценообразующих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факторов </w:t>
      </w:r>
      <w:r w:rsidR="00942FC2">
        <w:rPr>
          <w:rFonts w:ascii="Times New Roman" w:hAnsi="Times New Roman" w:cs="Times New Roman"/>
          <w:b/>
          <w:bCs/>
          <w:sz w:val="40"/>
          <w:szCs w:val="40"/>
        </w:rPr>
        <w:t>на динамику развития рынка торговой недвижимости</w:t>
      </w: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CE9FE" w14:textId="77777777" w:rsidR="00942FC2" w:rsidRDefault="006831BD" w:rsidP="00942F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942FC2">
        <w:rPr>
          <w:rFonts w:ascii="Times New Roman" w:hAnsi="Times New Roman" w:cs="Times New Roman"/>
          <w:sz w:val="28"/>
          <w:szCs w:val="28"/>
        </w:rPr>
        <w:t xml:space="preserve">Пирогов Михаил Сергеевич </w:t>
      </w:r>
    </w:p>
    <w:p w14:paraId="473B1C2C" w14:textId="77777777" w:rsidR="00942FC2" w:rsidRDefault="00942FC2" w:rsidP="00942F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2FC2">
        <w:rPr>
          <w:rFonts w:ascii="Times New Roman" w:hAnsi="Times New Roman" w:cs="Times New Roman"/>
          <w:sz w:val="28"/>
          <w:szCs w:val="28"/>
        </w:rPr>
        <w:t xml:space="preserve">магистрант Высшей школы бизнес-инжиниринга, </w:t>
      </w:r>
    </w:p>
    <w:p w14:paraId="49D530CA" w14:textId="77777777" w:rsidR="00942FC2" w:rsidRDefault="00942FC2" w:rsidP="00942F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2FC2">
        <w:rPr>
          <w:rFonts w:ascii="Times New Roman" w:hAnsi="Times New Roman" w:cs="Times New Roman"/>
          <w:sz w:val="28"/>
          <w:szCs w:val="28"/>
        </w:rPr>
        <w:t xml:space="preserve">Института промышленного менеджмента, экономики и торговли, </w:t>
      </w:r>
    </w:p>
    <w:p w14:paraId="0C96D61B" w14:textId="5840452B" w:rsidR="00942FC2" w:rsidRDefault="00942FC2" w:rsidP="00942F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2FC2">
        <w:rPr>
          <w:rFonts w:ascii="Times New Roman" w:hAnsi="Times New Roman" w:cs="Times New Roman"/>
          <w:sz w:val="28"/>
          <w:szCs w:val="28"/>
        </w:rPr>
        <w:t>Санкт-Петербургского политехнического университета Петра Великого,</w:t>
      </w:r>
    </w:p>
    <w:p w14:paraId="3C9ABD76" w14:textId="11A09351" w:rsidR="00942FC2" w:rsidRPr="00942FC2" w:rsidRDefault="00942FC2" w:rsidP="00942F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2FC2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942FC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42FC2">
        <w:rPr>
          <w:rFonts w:ascii="Times New Roman" w:hAnsi="Times New Roman" w:cs="Times New Roman"/>
          <w:sz w:val="28"/>
          <w:szCs w:val="28"/>
        </w:rPr>
        <w:t xml:space="preserve">: mikhan007@myrambler.ru </w:t>
      </w:r>
    </w:p>
    <w:p w14:paraId="5646BFAD" w14:textId="17633D8C" w:rsidR="006831BD" w:rsidRDefault="00942FC2" w:rsidP="00942F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2FC2">
        <w:rPr>
          <w:rFonts w:ascii="Times New Roman" w:hAnsi="Times New Roman" w:cs="Times New Roman"/>
          <w:sz w:val="28"/>
          <w:szCs w:val="28"/>
        </w:rPr>
        <w:t>Россия, Санкт-Петербург</w:t>
      </w:r>
    </w:p>
    <w:p w14:paraId="08F4E845" w14:textId="77777777" w:rsidR="009B44C3" w:rsidRDefault="009B44C3" w:rsidP="009B44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117EB6" w14:textId="77777777" w:rsidR="009B44C3" w:rsidRDefault="009B44C3" w:rsidP="009B44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36D1E1" w14:textId="77777777" w:rsidR="009B44C3" w:rsidRDefault="009B44C3" w:rsidP="009B44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DC34C30" w14:textId="5E035D7F" w:rsidR="009B44C3" w:rsidRPr="009B44C3" w:rsidRDefault="00942FC2" w:rsidP="009B44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Вилена Евгеньевна</w:t>
      </w:r>
    </w:p>
    <w:p w14:paraId="6FD09EC7" w14:textId="1568514B" w:rsidR="00942FC2" w:rsidRPr="00942FC2" w:rsidRDefault="009B44C3" w:rsidP="00942F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44C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942FC2" w:rsidRPr="00942FC2">
        <w:rPr>
          <w:rFonts w:ascii="Times New Roman" w:hAnsi="Times New Roman" w:cs="Times New Roman"/>
          <w:sz w:val="28"/>
          <w:szCs w:val="28"/>
        </w:rPr>
        <w:t>д.э.н., проф. кафедры</w:t>
      </w:r>
      <w:r w:rsidR="00942FC2">
        <w:rPr>
          <w:rFonts w:ascii="Times New Roman" w:hAnsi="Times New Roman" w:cs="Times New Roman"/>
          <w:sz w:val="28"/>
          <w:szCs w:val="28"/>
        </w:rPr>
        <w:t xml:space="preserve"> </w:t>
      </w:r>
      <w:r w:rsidR="00942FC2" w:rsidRPr="00942FC2">
        <w:rPr>
          <w:rFonts w:ascii="Times New Roman" w:hAnsi="Times New Roman" w:cs="Times New Roman"/>
          <w:sz w:val="28"/>
          <w:szCs w:val="28"/>
        </w:rPr>
        <w:t>экономической теории</w:t>
      </w:r>
      <w:r w:rsidR="00942FC2" w:rsidRPr="00942FC2">
        <w:t xml:space="preserve"> </w:t>
      </w:r>
      <w:r w:rsidR="00942FC2" w:rsidRPr="00942FC2">
        <w:rPr>
          <w:rFonts w:ascii="Times New Roman" w:hAnsi="Times New Roman" w:cs="Times New Roman"/>
          <w:sz w:val="28"/>
          <w:szCs w:val="28"/>
        </w:rPr>
        <w:t xml:space="preserve">Института промышленного менеджмента, экономики и торговли, </w:t>
      </w:r>
    </w:p>
    <w:p w14:paraId="684E7FCA" w14:textId="094D5417" w:rsidR="009B44C3" w:rsidRPr="00942FC2" w:rsidRDefault="00942FC2" w:rsidP="00942F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2FC2">
        <w:rPr>
          <w:rFonts w:ascii="Times New Roman" w:hAnsi="Times New Roman" w:cs="Times New Roman"/>
          <w:sz w:val="28"/>
          <w:szCs w:val="28"/>
        </w:rPr>
        <w:t>Санкт-Петербургского политехнического университета Петра Великого</w:t>
      </w:r>
    </w:p>
    <w:p w14:paraId="2689449F" w14:textId="77777777" w:rsidR="009B44C3" w:rsidRPr="009B44C3" w:rsidRDefault="009B44C3" w:rsidP="009B44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8A24F5" w14:textId="77777777" w:rsidR="009B44C3" w:rsidRPr="009B44C3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6F623" w14:textId="04B8A7FE" w:rsidR="009B44C3" w:rsidRDefault="009B44C3" w:rsidP="009B4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4C3">
        <w:rPr>
          <w:rFonts w:ascii="Times New Roman" w:hAnsi="Times New Roman" w:cs="Times New Roman"/>
          <w:sz w:val="28"/>
          <w:szCs w:val="28"/>
        </w:rPr>
        <w:lastRenderedPageBreak/>
        <w:t>Учебный год</w:t>
      </w:r>
    </w:p>
    <w:p w14:paraId="371E5C56" w14:textId="22C9208B" w:rsidR="009B44C3" w:rsidRDefault="009B44C3" w:rsidP="009B4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</w:t>
      </w:r>
    </w:p>
    <w:p w14:paraId="1CFD5D88" w14:textId="77777777" w:rsidR="009B44C3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E7604" w14:textId="77777777" w:rsidR="00501619" w:rsidRPr="00501619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9B44C3">
        <w:rPr>
          <w:rFonts w:ascii="Times New Roman" w:hAnsi="Times New Roman" w:cs="Times New Roman"/>
          <w:b/>
          <w:i/>
          <w:sz w:val="28"/>
          <w:szCs w:val="23"/>
          <w:shd w:val="clear" w:color="auto" w:fill="FFFFFF"/>
        </w:rPr>
        <w:t xml:space="preserve"> </w:t>
      </w:r>
      <w:r w:rsidRPr="0089693F">
        <w:rPr>
          <w:rFonts w:ascii="Times New Roman" w:hAnsi="Times New Roman" w:cs="Times New Roman"/>
          <w:b/>
          <w:i/>
          <w:sz w:val="28"/>
          <w:szCs w:val="23"/>
          <w:shd w:val="clear" w:color="auto" w:fill="FFFFFF"/>
        </w:rPr>
        <w:t>Аннотация.</w:t>
      </w:r>
      <w:r w:rsidRPr="0089693F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r w:rsidRPr="0050161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последнее время профессиональные инвесторы рынка коммерческой недвижимости все больший интерес проявляют к объектам торговой недвижимости, при этом, наибольшая доля инвестиций в 2023 году была зафиксирована в сфере торговой недвижимости. Общий объем сделок превысил 325 миллиардов рублей, что составляет 39 процентов от совокупных вложений в эту область. Таким образом, правильный подход позволяет инвестировать в такие объекты с потенциальной выгодой. Для этого важно выбрать подходящий вариант. Это возможно сделать, определив ценообразующие факторы на торговые объекты и исследовать, как меняется среда торговых объектов с учетом изменения инфляции и последующих взаимосвязанных факторов. Таким образом, данная статья посвящена анализу и выявлению факторов, оказывающих влияние на развитие торговой недвижимости. Актуальность исследования обусловлена существенными изменениями после 2022 года и продолжающимся ростом инвестиций в данную отрасль. </w:t>
      </w:r>
    </w:p>
    <w:p w14:paraId="3E30B52F" w14:textId="77777777" w:rsidR="00501619" w:rsidRPr="00501619" w:rsidRDefault="00501619" w:rsidP="0050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01619">
        <w:rPr>
          <w:rFonts w:ascii="Times New Roman" w:hAnsi="Times New Roman" w:cs="Times New Roman"/>
          <w:sz w:val="28"/>
          <w:szCs w:val="23"/>
          <w:shd w:val="clear" w:color="auto" w:fill="FFFFFF"/>
        </w:rPr>
        <w:t>Цель исследования провести анализ рынка торговой недвижимости и выявить факторы, оказывающие влияние на его развитие и динамику.</w:t>
      </w:r>
    </w:p>
    <w:p w14:paraId="3882E64E" w14:textId="77777777" w:rsidR="00501619" w:rsidRPr="00501619" w:rsidRDefault="00501619" w:rsidP="0050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01619">
        <w:rPr>
          <w:rFonts w:ascii="Times New Roman" w:hAnsi="Times New Roman" w:cs="Times New Roman"/>
          <w:sz w:val="28"/>
          <w:szCs w:val="23"/>
          <w:shd w:val="clear" w:color="auto" w:fill="FFFFFF"/>
        </w:rPr>
        <w:t>Задачи исследования: проанализировать текущее состояние рынка торговой недвижимости и определить влияние факторов внешней среды на рынок торговой недвижимости.</w:t>
      </w:r>
    </w:p>
    <w:p w14:paraId="30F4EBB7" w14:textId="77777777" w:rsidR="00501619" w:rsidRPr="00501619" w:rsidRDefault="00501619" w:rsidP="0050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01619">
        <w:rPr>
          <w:rFonts w:ascii="Times New Roman" w:hAnsi="Times New Roman" w:cs="Times New Roman"/>
          <w:sz w:val="28"/>
          <w:szCs w:val="23"/>
          <w:shd w:val="clear" w:color="auto" w:fill="FFFFFF"/>
        </w:rPr>
        <w:t>Объект исследования - рынок торговой недвижимости Санкт-Петербурга</w:t>
      </w:r>
    </w:p>
    <w:p w14:paraId="221F801D" w14:textId="07D36485" w:rsidR="00501619" w:rsidRPr="00501619" w:rsidRDefault="00501619" w:rsidP="0050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01619">
        <w:rPr>
          <w:rFonts w:ascii="Times New Roman" w:hAnsi="Times New Roman" w:cs="Times New Roman"/>
          <w:sz w:val="28"/>
          <w:szCs w:val="23"/>
          <w:shd w:val="clear" w:color="auto" w:fill="FFFFFF"/>
        </w:rPr>
        <w:t>Предмет исследования механизмы рынка торговой недвижимости</w:t>
      </w:r>
    </w:p>
    <w:p w14:paraId="34162936" w14:textId="1EC26167" w:rsidR="009B44C3" w:rsidRPr="00501619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0161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результате исследования проанализировано состояние торговой недвижимости по Санкт-Петербургу в период с 2020 по 2024 год, выявлены и определены основные факторы, влияющие на развитие торговой недвижимости, определены тенденции для характерных объектов, а также предлагается прогноз развития рынка торговой недвижимости. </w:t>
      </w:r>
    </w:p>
    <w:p w14:paraId="5137C034" w14:textId="77777777" w:rsidR="009B44C3" w:rsidRPr="00173E73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89693F">
        <w:rPr>
          <w:rFonts w:ascii="Times New Roman" w:hAnsi="Times New Roman" w:cs="Times New Roman"/>
          <w:b/>
          <w:i/>
          <w:sz w:val="28"/>
          <w:szCs w:val="23"/>
          <w:shd w:val="clear" w:color="auto" w:fill="FFFFFF"/>
        </w:rPr>
        <w:t>Ключевые слова:</w:t>
      </w:r>
      <w:r w:rsidRPr="0089693F">
        <w:rPr>
          <w:rFonts w:ascii="Times New Roman" w:hAnsi="Times New Roman" w:cs="Times New Roman"/>
          <w:i/>
          <w:sz w:val="28"/>
          <w:szCs w:val="23"/>
          <w:shd w:val="clear" w:color="auto" w:fill="FFFFFF"/>
        </w:rPr>
        <w:t xml:space="preserve"> </w:t>
      </w:r>
      <w:r w:rsidRPr="00173E73">
        <w:rPr>
          <w:rFonts w:ascii="Times New Roman" w:hAnsi="Times New Roman" w:cs="Times New Roman"/>
          <w:sz w:val="28"/>
          <w:szCs w:val="23"/>
          <w:shd w:val="clear" w:color="auto" w:fill="FFFFFF"/>
        </w:rPr>
        <w:t>торговая недвижимость, торговые помещения, инфляция, факторы влияния, ценообразующие факторы.</w:t>
      </w:r>
    </w:p>
    <w:p w14:paraId="2E1C03B4" w14:textId="77777777" w:rsidR="009B44C3" w:rsidRPr="003F2957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104FA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Введение. </w:t>
      </w:r>
      <w:r w:rsidRPr="003F295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Последние несколько лет рынок торговой недвижимости </w:t>
      </w:r>
      <w:bookmarkStart w:id="0" w:name="_GoBack"/>
      <w:r w:rsidRPr="003F295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переживает трудные времена. Эпидемические ограничения были сменены </w:t>
      </w:r>
      <w:bookmarkEnd w:id="0"/>
      <w:r w:rsidRPr="003F295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геополитическими вызовами, которые на протяжении четырех лет мешают стабильной работе сектора. В 2023 году, несмотря на отсутствие крупных социальных потрясений и постепенное заполнение вакантных помещений ушедших арендаторов, посещаемость торговых центров в Москве и Санкт-Петербурге растет довольно медленно. К тому же, из-за сравнительно невысоких объемов продаж российских ритейлеров, значительного </w:t>
      </w:r>
      <w:r w:rsidRPr="003F2957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увеличения арендных ставок пока не ожидается. Таким образом, можно отметить, что среди всех категорий коммерческой недвижимости именно сектор торговой недвижимости оказался наиболее уязвимым во время нестабильности 20-х годов XXI века.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Таким образом, цель исследования провести анализ рынка торговой недвижимости и выявить факторы, оказывающие влияние на его развитие и динамику.</w:t>
      </w:r>
    </w:p>
    <w:p w14:paraId="03C6CFDC" w14:textId="77777777" w:rsidR="009B44C3" w:rsidRDefault="009B44C3" w:rsidP="009B44C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8F6E90">
        <w:rPr>
          <w:rFonts w:ascii="Times New Roman" w:hAnsi="Times New Roman" w:cs="Times New Roman"/>
          <w:b/>
          <w:sz w:val="28"/>
        </w:rPr>
        <w:t>Материалы и методы</w:t>
      </w:r>
    </w:p>
    <w:p w14:paraId="7D20D8A0" w14:textId="77777777" w:rsidR="009B44C3" w:rsidRPr="0020332C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Период 2020 – 2023 годов для рынка торговой недвижимости стал ключевым. Торговую недвижимость коснулась как пандемия, так и уход зарубежных арендаторов. Большинство инвесторов, собственников и управляющих компаний готовились к наихудшему положению дел, почувствовали начало кризиса в 2020 году, затем в 2022 году уход иностранных брендов ухудшили ситуацию</w:t>
      </w:r>
      <w:r w:rsidRPr="00BC694F">
        <w:rPr>
          <w:rFonts w:ascii="Times New Roman" w:hAnsi="Times New Roman" w:cs="Times New Roman"/>
          <w:sz w:val="28"/>
        </w:rPr>
        <w:t xml:space="preserve"> [1]</w:t>
      </w:r>
      <w:r>
        <w:rPr>
          <w:rFonts w:ascii="Times New Roman" w:hAnsi="Times New Roman" w:cs="Times New Roman"/>
          <w:sz w:val="28"/>
        </w:rPr>
        <w:t xml:space="preserve">. На сегодняшний день рынок торговой недвижимости находится в стадии роста, но нельзя отрицать, что данные события не оказали влияние на данную сферу. Многие предприниматели после этого считали, что нет смысла инвестировать в такие объекты, но в настоящее время наблюдается обратная ситуация. </w:t>
      </w:r>
      <w:r w:rsidRPr="0020332C">
        <w:rPr>
          <w:rFonts w:ascii="Times New Roman" w:hAnsi="Times New Roman" w:cs="Times New Roman"/>
          <w:sz w:val="28"/>
        </w:rPr>
        <w:t>Совокупный объем инвестиций в недвижимость России по итогам I квартала 20</w:t>
      </w:r>
      <w:r>
        <w:rPr>
          <w:rFonts w:ascii="Times New Roman" w:hAnsi="Times New Roman" w:cs="Times New Roman"/>
          <w:sz w:val="28"/>
        </w:rPr>
        <w:t xml:space="preserve">24 года составил 87 млрд. </w:t>
      </w:r>
      <w:proofErr w:type="gramStart"/>
      <w:r>
        <w:rPr>
          <w:rFonts w:ascii="Times New Roman" w:hAnsi="Times New Roman" w:cs="Times New Roman"/>
          <w:sz w:val="28"/>
        </w:rPr>
        <w:t>рублей,</w:t>
      </w:r>
      <w:r w:rsidRPr="0020332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0332C">
        <w:rPr>
          <w:rFonts w:ascii="Times New Roman" w:hAnsi="Times New Roman" w:cs="Times New Roman"/>
          <w:sz w:val="28"/>
        </w:rPr>
        <w:t>на 37% ниже результата за аналогичный период 2023 года и на 9% ниже показателя 2022 года</w:t>
      </w:r>
      <w:r>
        <w:rPr>
          <w:rFonts w:ascii="Times New Roman" w:hAnsi="Times New Roman" w:cs="Times New Roman"/>
          <w:sz w:val="28"/>
        </w:rPr>
        <w:t xml:space="preserve"> </w:t>
      </w:r>
      <w:r w:rsidRPr="0020332C">
        <w:rPr>
          <w:rFonts w:ascii="Times New Roman" w:hAnsi="Times New Roman" w:cs="Times New Roman"/>
          <w:sz w:val="28"/>
        </w:rPr>
        <w:t>[2].</w:t>
      </w:r>
    </w:p>
    <w:p w14:paraId="70236AAF" w14:textId="77777777" w:rsidR="009B44C3" w:rsidRPr="00F668ED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Рассмотрим объем предложения торговой недвижимости по Санкт-Петербургу (рис. 1). На основе данных рис.1 можно</w:t>
      </w:r>
      <w:r w:rsidRPr="00DA5D22">
        <w:rPr>
          <w:rFonts w:ascii="Times New Roman" w:hAnsi="Times New Roman" w:cs="Times New Roman"/>
          <w:sz w:val="28"/>
        </w:rPr>
        <w:t xml:space="preserve"> заметить тенденцию к сохранению объемов предложения торговых площадей в городе. Тенденция сохраняется с конца 2020 года. Торговые предложения перестают сохранять интерес для целей инвестирования: крупные проекты отсутствуют на рынке торговых объектов. Конец 1 квартала этого года завершился объемом предложения около 7</w:t>
      </w:r>
      <w:r>
        <w:rPr>
          <w:rFonts w:ascii="Times New Roman" w:hAnsi="Times New Roman" w:cs="Times New Roman"/>
          <w:sz w:val="28"/>
        </w:rPr>
        <w:t xml:space="preserve"> </w:t>
      </w:r>
      <w:r w:rsidRPr="00DA5D22">
        <w:rPr>
          <w:rFonts w:ascii="Times New Roman" w:hAnsi="Times New Roman" w:cs="Times New Roman"/>
          <w:sz w:val="28"/>
        </w:rPr>
        <w:t xml:space="preserve">230 тыс. кв. м. На данный момент отмечается нулевой прирост торговых помещений за счет ограниченности свободных участков под строительство ТЦ. </w:t>
      </w:r>
    </w:p>
    <w:p w14:paraId="19C09F75" w14:textId="77777777" w:rsidR="009B44C3" w:rsidRPr="001B4A67" w:rsidRDefault="009B44C3" w:rsidP="009B44C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0DB203EE" w14:textId="77777777" w:rsidR="009B44C3" w:rsidRPr="00DA5D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A5D2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ECEC1AD" wp14:editId="4CE8D3F4">
            <wp:extent cx="4877435" cy="300729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81"/>
                    <a:stretch/>
                  </pic:blipFill>
                  <pic:spPr bwMode="auto">
                    <a:xfrm>
                      <a:off x="0" y="0"/>
                      <a:ext cx="5107933" cy="3149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D6C53" w14:textId="77777777" w:rsidR="009B44C3" w:rsidRPr="00836722" w:rsidRDefault="009B44C3" w:rsidP="009B4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415BBC" w14:textId="77777777" w:rsidR="009B44C3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 xml:space="preserve">Рисунок 1 – Объём предложения торговых площадей по Санкт-Петербургу, </w:t>
      </w:r>
    </w:p>
    <w:p w14:paraId="7068FBE2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тыс. кв. м [3]</w:t>
      </w:r>
    </w:p>
    <w:p w14:paraId="0694087A" w14:textId="77777777" w:rsidR="009B44C3" w:rsidRPr="00DA5D22" w:rsidRDefault="009B44C3" w:rsidP="009B4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815D375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5D22">
        <w:rPr>
          <w:rFonts w:ascii="Times New Roman" w:hAnsi="Times New Roman" w:cs="Times New Roman"/>
          <w:sz w:val="28"/>
        </w:rPr>
        <w:t xml:space="preserve">Отметим при этом изменение в динамике заполняемости торговых площадей (рис. </w:t>
      </w:r>
      <w:r>
        <w:rPr>
          <w:rFonts w:ascii="Times New Roman" w:hAnsi="Times New Roman" w:cs="Times New Roman"/>
          <w:sz w:val="28"/>
        </w:rPr>
        <w:t>2</w:t>
      </w:r>
      <w:r w:rsidRPr="00DA5D22">
        <w:rPr>
          <w:rFonts w:ascii="Times New Roman" w:hAnsi="Times New Roman" w:cs="Times New Roman"/>
          <w:sz w:val="28"/>
        </w:rPr>
        <w:t>).</w:t>
      </w:r>
    </w:p>
    <w:p w14:paraId="785E36F9" w14:textId="77777777" w:rsidR="009B44C3" w:rsidRDefault="009B44C3" w:rsidP="009B44C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6FD7E1" w14:textId="77777777" w:rsidR="009B44C3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5D2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1803C5" wp14:editId="03556507">
            <wp:extent cx="3589916" cy="206876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108"/>
                    <a:stretch/>
                  </pic:blipFill>
                  <pic:spPr bwMode="auto">
                    <a:xfrm>
                      <a:off x="0" y="0"/>
                      <a:ext cx="3675316" cy="2117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9C275" w14:textId="77777777" w:rsidR="009B44C3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365D5AC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2 – Динамика заполняемости торговых площадей</w:t>
      </w:r>
    </w:p>
    <w:p w14:paraId="04C31928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Санкт-Петербурга, % [3]</w:t>
      </w:r>
    </w:p>
    <w:p w14:paraId="4BA8B5B3" w14:textId="77777777" w:rsidR="009B44C3" w:rsidRPr="00DA5D22" w:rsidRDefault="009B44C3" w:rsidP="009B44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224F6746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5D22">
        <w:rPr>
          <w:rFonts w:ascii="Times New Roman" w:hAnsi="Times New Roman" w:cs="Times New Roman"/>
          <w:sz w:val="28"/>
        </w:rPr>
        <w:t xml:space="preserve">Динамика заполняемости с конца 2019 года наблюдает периодичный подъем и спад в сроках полугода – год. Наибольший спрос сохраняет индустрия </w:t>
      </w:r>
      <w:r w:rsidRPr="00DA5D22">
        <w:rPr>
          <w:rFonts w:ascii="Times New Roman" w:hAnsi="Times New Roman" w:cs="Times New Roman"/>
          <w:sz w:val="28"/>
          <w:lang w:val="en-US"/>
        </w:rPr>
        <w:t>fashion</w:t>
      </w:r>
      <w:r w:rsidRPr="00DA5D22">
        <w:rPr>
          <w:rFonts w:ascii="Times New Roman" w:hAnsi="Times New Roman" w:cs="Times New Roman"/>
          <w:sz w:val="28"/>
        </w:rPr>
        <w:t>-операторов</w:t>
      </w:r>
      <w:r>
        <w:rPr>
          <w:rFonts w:ascii="Times New Roman" w:hAnsi="Times New Roman" w:cs="Times New Roman"/>
          <w:sz w:val="28"/>
        </w:rPr>
        <w:t xml:space="preserve"> (44%)</w:t>
      </w:r>
      <w:r w:rsidRPr="00DA5D2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При это доля открытий предприятий общественного питания составляет 16%, товары для спорта – 11%. Суммарная </w:t>
      </w:r>
      <w:r>
        <w:rPr>
          <w:rFonts w:ascii="Times New Roman" w:hAnsi="Times New Roman" w:cs="Times New Roman"/>
          <w:sz w:val="28"/>
        </w:rPr>
        <w:lastRenderedPageBreak/>
        <w:t xml:space="preserve">площадь открытых магазинов продолжает расти: </w:t>
      </w:r>
      <w:proofErr w:type="spellStart"/>
      <w:r>
        <w:rPr>
          <w:rFonts w:ascii="Times New Roman" w:hAnsi="Times New Roman" w:cs="Times New Roman"/>
          <w:sz w:val="28"/>
        </w:rPr>
        <w:t>фэшн</w:t>
      </w:r>
      <w:proofErr w:type="spellEnd"/>
      <w:r>
        <w:rPr>
          <w:rFonts w:ascii="Times New Roman" w:hAnsi="Times New Roman" w:cs="Times New Roman"/>
          <w:sz w:val="28"/>
        </w:rPr>
        <w:t xml:space="preserve">-сегмент лидер по открытиям – 45.  </w:t>
      </w:r>
      <w:r w:rsidRPr="00DA5D22">
        <w:rPr>
          <w:rFonts w:ascii="Times New Roman" w:hAnsi="Times New Roman" w:cs="Times New Roman"/>
          <w:sz w:val="28"/>
        </w:rPr>
        <w:t>На конец квартала заполняемость торговых центров составля</w:t>
      </w:r>
      <w:r>
        <w:rPr>
          <w:rFonts w:ascii="Times New Roman" w:hAnsi="Times New Roman" w:cs="Times New Roman"/>
          <w:sz w:val="28"/>
        </w:rPr>
        <w:t>ла</w:t>
      </w:r>
      <w:r w:rsidRPr="00DA5D22">
        <w:rPr>
          <w:rFonts w:ascii="Times New Roman" w:hAnsi="Times New Roman" w:cs="Times New Roman"/>
          <w:sz w:val="28"/>
        </w:rPr>
        <w:t xml:space="preserve"> около 91,0%. При этом ключевым итогом конца 1 квартала 2024 года является двукратное снижение уровня вакантности торговых площадей (с 6,3% до 2,8%). Сохраняется уровень посещаемости (+0,4% по сравнению с первым полугодием 2023 года).</w:t>
      </w:r>
    </w:p>
    <w:p w14:paraId="5B39BAB3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изменение уровня вакантности по Санкт-Петербургу (рис. 3). Из рисунка 3 можем отметить, что уровень вакантности в качественных ТЦ сменил направление в начале 4 квартала 2022 года – повысился уровень вакантности до 11%. Далее постепенно снижался и оказался на уровне 2%, что свидетельствует о том, что доля невостребованных </w:t>
      </w:r>
      <w:proofErr w:type="spellStart"/>
      <w:r>
        <w:rPr>
          <w:rFonts w:ascii="Times New Roman" w:hAnsi="Times New Roman" w:cs="Times New Roman"/>
          <w:sz w:val="28"/>
        </w:rPr>
        <w:t>арендопригодных</w:t>
      </w:r>
      <w:proofErr w:type="spellEnd"/>
      <w:r>
        <w:rPr>
          <w:rFonts w:ascii="Times New Roman" w:hAnsi="Times New Roman" w:cs="Times New Roman"/>
          <w:sz w:val="28"/>
        </w:rPr>
        <w:t xml:space="preserve"> помещений сократилась – наблюдается тенденция к спросу (уровень вакантности минимальный за последние 15 лет). </w:t>
      </w:r>
    </w:p>
    <w:p w14:paraId="50BC4FCD" w14:textId="77777777" w:rsidR="009B44C3" w:rsidRPr="00DA5D22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4E3F17" w14:textId="77777777" w:rsidR="009B44C3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DA5D2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E116374" wp14:editId="7C2155E5">
            <wp:extent cx="4639247" cy="194297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5019" cy="19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4A78" w14:textId="77777777" w:rsidR="009B44C3" w:rsidRPr="00836722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3 – Динамика вакантности в классических торговых центрах Санкт-Петербурга [4]</w:t>
      </w:r>
    </w:p>
    <w:p w14:paraId="1D50B3C4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C0D1555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Аналогично наблюдался повышенный уровень вакантности среди классических ТЦ, при этом до 2023 года вакантность в качественных торговых центрах была ниже в 2-3 раза. Во 2 квартале 2024 года уровень вакантности классических ТЦ упал до 2,8% – аналогично тенденция предложения сменилась на спрос. </w:t>
      </w:r>
    </w:p>
    <w:p w14:paraId="5CF84162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изменение арендных ставок для галереи и якорных арендаторов (рис. 4).</w:t>
      </w:r>
    </w:p>
    <w:p w14:paraId="3AF12ED5" w14:textId="77777777" w:rsidR="009B44C3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19E803D" w14:textId="77777777" w:rsidR="009B44C3" w:rsidRDefault="009B44C3" w:rsidP="009B44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A136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E93398" wp14:editId="7E6D1C5E">
            <wp:extent cx="4106689" cy="2883461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05"/>
                    <a:stretch/>
                  </pic:blipFill>
                  <pic:spPr bwMode="auto">
                    <a:xfrm>
                      <a:off x="0" y="0"/>
                      <a:ext cx="4153377" cy="291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A7C5A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4 – Динамика изменений арендных ставок на площади торговых комплексов Санкт-Петербурга [3]</w:t>
      </w:r>
    </w:p>
    <w:p w14:paraId="4F715A84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со ставками для якорных (ключевых) </w:t>
      </w:r>
      <w:proofErr w:type="gramStart"/>
      <w:r>
        <w:rPr>
          <w:rFonts w:ascii="Times New Roman" w:hAnsi="Times New Roman" w:cs="Times New Roman"/>
          <w:sz w:val="28"/>
        </w:rPr>
        <w:t>арендаторов  практически</w:t>
      </w:r>
      <w:proofErr w:type="gramEnd"/>
      <w:r>
        <w:rPr>
          <w:rFonts w:ascii="Times New Roman" w:hAnsi="Times New Roman" w:cs="Times New Roman"/>
          <w:sz w:val="28"/>
        </w:rPr>
        <w:t xml:space="preserve"> не меняется – 620-720 руб. за 1 кв. м. в месяц в среднем по рынку. Иначе обстоит ситуация с крупными игроками рынка – на конец 4 квартала 2023 года ставки дошли до уровня 2 250-2 750 руб. за 1 кв. м. Ставка капитализации выросла до уровня 11-12,5%. При этом заметнее всего наблюдался рост ставок на более привлекательные объекты с точки зрения расположения и активности потока посетителей. </w:t>
      </w:r>
    </w:p>
    <w:p w14:paraId="4AAA6147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индикаторы рынка торговой недвижимости (табл. 1).</w:t>
      </w:r>
    </w:p>
    <w:p w14:paraId="0562CD25" w14:textId="77777777" w:rsidR="009B44C3" w:rsidRDefault="009B44C3" w:rsidP="009B44C3">
      <w:pPr>
        <w:spacing w:after="0" w:line="360" w:lineRule="auto"/>
      </w:pPr>
      <w:r>
        <w:rPr>
          <w:rFonts w:ascii="Times New Roman" w:hAnsi="Times New Roman" w:cs="Times New Roman"/>
          <w:sz w:val="28"/>
        </w:rPr>
        <w:t>Таблица 1 – Индикаторы рынка Санкт-Петербурга</w:t>
      </w:r>
      <w:r w:rsidRPr="007F41AF">
        <w:rPr>
          <w:rFonts w:ascii="Times New Roman" w:hAnsi="Times New Roman" w:cs="Times New Roman"/>
          <w:sz w:val="28"/>
        </w:rPr>
        <w:t xml:space="preserve"> [</w:t>
      </w:r>
      <w:r w:rsidRPr="0020332C">
        <w:rPr>
          <w:rFonts w:ascii="Times New Roman" w:hAnsi="Times New Roman" w:cs="Times New Roman"/>
          <w:sz w:val="28"/>
        </w:rPr>
        <w:t>4</w:t>
      </w:r>
      <w:r w:rsidRPr="007F41A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LINK Excel.Sheet.12 "C:\\Users\\admin\\Desktop\\Лист Microsoft Excel.xlsx" Лист1!R1C2:R7C6 \a \f 5 \h  \* MERGEFORMAT </w:instrText>
      </w:r>
      <w:r>
        <w:rPr>
          <w:rFonts w:ascii="Times New Roman" w:hAnsi="Times New Roman" w:cs="Times New Roman"/>
          <w:sz w:val="28"/>
        </w:rPr>
        <w:fldChar w:fldCharType="separate"/>
      </w:r>
    </w:p>
    <w:tbl>
      <w:tblPr>
        <w:tblStyle w:val="af1"/>
        <w:tblW w:w="9546" w:type="dxa"/>
        <w:tblLook w:val="04A0" w:firstRow="1" w:lastRow="0" w:firstColumn="1" w:lastColumn="0" w:noHBand="0" w:noVBand="1"/>
      </w:tblPr>
      <w:tblGrid>
        <w:gridCol w:w="5665"/>
        <w:gridCol w:w="776"/>
        <w:gridCol w:w="851"/>
        <w:gridCol w:w="1275"/>
        <w:gridCol w:w="979"/>
      </w:tblGrid>
      <w:tr w:rsidR="009B44C3" w:rsidRPr="002B6E11" w14:paraId="394A484B" w14:textId="77777777" w:rsidTr="005831A0">
        <w:trPr>
          <w:trHeight w:val="288"/>
        </w:trPr>
        <w:tc>
          <w:tcPr>
            <w:tcW w:w="5665" w:type="dxa"/>
            <w:noWrap/>
            <w:hideMark/>
          </w:tcPr>
          <w:p w14:paraId="3A64AA95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14:paraId="42F0DB10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noWrap/>
            <w:hideMark/>
          </w:tcPr>
          <w:p w14:paraId="2D10D2D9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noWrap/>
            <w:hideMark/>
          </w:tcPr>
          <w:p w14:paraId="7975A718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П1 2024</w:t>
            </w:r>
          </w:p>
        </w:tc>
        <w:tc>
          <w:tcPr>
            <w:tcW w:w="979" w:type="dxa"/>
            <w:noWrap/>
            <w:hideMark/>
          </w:tcPr>
          <w:p w14:paraId="319842E0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2024П</w:t>
            </w:r>
          </w:p>
        </w:tc>
      </w:tr>
      <w:tr w:rsidR="009B44C3" w:rsidRPr="002B6E11" w14:paraId="0DE92F34" w14:textId="77777777" w:rsidTr="005831A0">
        <w:trPr>
          <w:trHeight w:val="576"/>
        </w:trPr>
        <w:tc>
          <w:tcPr>
            <w:tcW w:w="5665" w:type="dxa"/>
            <w:hideMark/>
          </w:tcPr>
          <w:p w14:paraId="71C43292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Общее предложение торговых площадей на конец периода, тыс. кв. м.</w:t>
            </w:r>
          </w:p>
        </w:tc>
        <w:tc>
          <w:tcPr>
            <w:tcW w:w="776" w:type="dxa"/>
            <w:noWrap/>
            <w:hideMark/>
          </w:tcPr>
          <w:p w14:paraId="0ED4F644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851" w:type="dxa"/>
            <w:noWrap/>
            <w:hideMark/>
          </w:tcPr>
          <w:p w14:paraId="1AF83F7C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1275" w:type="dxa"/>
            <w:noWrap/>
            <w:hideMark/>
          </w:tcPr>
          <w:p w14:paraId="40A8350A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979" w:type="dxa"/>
            <w:noWrap/>
            <w:hideMark/>
          </w:tcPr>
          <w:p w14:paraId="100794EE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</w:tr>
      <w:tr w:rsidR="009B44C3" w:rsidRPr="002B6E11" w14:paraId="6E333405" w14:textId="77777777" w:rsidTr="005831A0">
        <w:trPr>
          <w:trHeight w:val="288"/>
        </w:trPr>
        <w:tc>
          <w:tcPr>
            <w:tcW w:w="5665" w:type="dxa"/>
            <w:noWrap/>
            <w:hideMark/>
          </w:tcPr>
          <w:p w14:paraId="45C48EF8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Новое предложение за период, тыс. кв. м.</w:t>
            </w:r>
          </w:p>
        </w:tc>
        <w:tc>
          <w:tcPr>
            <w:tcW w:w="776" w:type="dxa"/>
            <w:noWrap/>
            <w:hideMark/>
          </w:tcPr>
          <w:p w14:paraId="20AD98F6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noWrap/>
            <w:hideMark/>
          </w:tcPr>
          <w:p w14:paraId="3ED1D92D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75" w:type="dxa"/>
            <w:noWrap/>
            <w:hideMark/>
          </w:tcPr>
          <w:p w14:paraId="13857BF3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14:paraId="02F0E2A3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9B44C3" w:rsidRPr="002B6E11" w14:paraId="41240C11" w14:textId="77777777" w:rsidTr="005831A0">
        <w:trPr>
          <w:trHeight w:val="576"/>
        </w:trPr>
        <w:tc>
          <w:tcPr>
            <w:tcW w:w="5665" w:type="dxa"/>
            <w:noWrap/>
            <w:hideMark/>
          </w:tcPr>
          <w:p w14:paraId="3D5F957C" w14:textId="77777777" w:rsidR="009B44C3" w:rsidRPr="002B6E11" w:rsidRDefault="009B44C3" w:rsidP="005831A0">
            <w:pPr>
              <w:jc w:val="center"/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действующих </w:t>
            </w:r>
            <w:proofErr w:type="spellStart"/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классиеских</w:t>
            </w:r>
            <w:proofErr w:type="spellEnd"/>
            <w:r w:rsidRPr="002B6E11">
              <w:rPr>
                <w:rFonts w:ascii="Times New Roman" w:hAnsi="Times New Roman" w:cs="Times New Roman"/>
                <w:sz w:val="24"/>
                <w:szCs w:val="24"/>
              </w:rPr>
              <w:t xml:space="preserve"> ТЦ, тыс. кв. </w:t>
            </w:r>
            <w:r w:rsidRPr="002B6E11">
              <w:t>м.</w:t>
            </w:r>
          </w:p>
        </w:tc>
        <w:tc>
          <w:tcPr>
            <w:tcW w:w="776" w:type="dxa"/>
            <w:noWrap/>
            <w:hideMark/>
          </w:tcPr>
          <w:p w14:paraId="16F69595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851" w:type="dxa"/>
            <w:noWrap/>
            <w:hideMark/>
          </w:tcPr>
          <w:p w14:paraId="0CD53F50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275" w:type="dxa"/>
            <w:noWrap/>
            <w:hideMark/>
          </w:tcPr>
          <w:p w14:paraId="6BEA8CCB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979" w:type="dxa"/>
            <w:noWrap/>
            <w:hideMark/>
          </w:tcPr>
          <w:p w14:paraId="20283272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</w:tr>
      <w:tr w:rsidR="009B44C3" w:rsidRPr="002B6E11" w14:paraId="295F3469" w14:textId="77777777" w:rsidTr="005831A0">
        <w:trPr>
          <w:trHeight w:val="288"/>
        </w:trPr>
        <w:tc>
          <w:tcPr>
            <w:tcW w:w="5665" w:type="dxa"/>
            <w:hideMark/>
          </w:tcPr>
          <w:p w14:paraId="1EEFBB0C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классических и специализированных ТЦ, штук</w:t>
            </w:r>
          </w:p>
        </w:tc>
        <w:tc>
          <w:tcPr>
            <w:tcW w:w="776" w:type="dxa"/>
            <w:noWrap/>
            <w:hideMark/>
          </w:tcPr>
          <w:p w14:paraId="6DE79126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noWrap/>
            <w:hideMark/>
          </w:tcPr>
          <w:p w14:paraId="67B85E2E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noWrap/>
            <w:hideMark/>
          </w:tcPr>
          <w:p w14:paraId="270202D3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9" w:type="dxa"/>
            <w:noWrap/>
            <w:hideMark/>
          </w:tcPr>
          <w:p w14:paraId="133312A6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B44C3" w:rsidRPr="002B6E11" w14:paraId="09B21F6D" w14:textId="77777777" w:rsidTr="005831A0">
        <w:trPr>
          <w:trHeight w:val="288"/>
        </w:trPr>
        <w:tc>
          <w:tcPr>
            <w:tcW w:w="5665" w:type="dxa"/>
            <w:noWrap/>
            <w:hideMark/>
          </w:tcPr>
          <w:p w14:paraId="446A6C46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Уровень вакантности, %</w:t>
            </w:r>
          </w:p>
        </w:tc>
        <w:tc>
          <w:tcPr>
            <w:tcW w:w="776" w:type="dxa"/>
            <w:noWrap/>
            <w:hideMark/>
          </w:tcPr>
          <w:p w14:paraId="41C881E3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noWrap/>
            <w:hideMark/>
          </w:tcPr>
          <w:p w14:paraId="442BADBE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  <w:noWrap/>
            <w:hideMark/>
          </w:tcPr>
          <w:p w14:paraId="5AB5286A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9" w:type="dxa"/>
            <w:noWrap/>
            <w:hideMark/>
          </w:tcPr>
          <w:p w14:paraId="72DC54E7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9B44C3" w:rsidRPr="002B6E11" w14:paraId="4187CA9E" w14:textId="77777777" w:rsidTr="005831A0">
        <w:trPr>
          <w:trHeight w:val="288"/>
        </w:trPr>
        <w:tc>
          <w:tcPr>
            <w:tcW w:w="5665" w:type="dxa"/>
            <w:noWrap/>
            <w:hideMark/>
          </w:tcPr>
          <w:p w14:paraId="116C55AB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Обеспеченность площадями, кв. м. на 1 000 человек</w:t>
            </w:r>
          </w:p>
        </w:tc>
        <w:tc>
          <w:tcPr>
            <w:tcW w:w="776" w:type="dxa"/>
            <w:noWrap/>
            <w:hideMark/>
          </w:tcPr>
          <w:p w14:paraId="041F3606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851" w:type="dxa"/>
            <w:noWrap/>
            <w:hideMark/>
          </w:tcPr>
          <w:p w14:paraId="3C6840CC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275" w:type="dxa"/>
            <w:noWrap/>
            <w:hideMark/>
          </w:tcPr>
          <w:p w14:paraId="068AA9EE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979" w:type="dxa"/>
            <w:noWrap/>
            <w:hideMark/>
          </w:tcPr>
          <w:p w14:paraId="10A5BE72" w14:textId="77777777" w:rsidR="009B44C3" w:rsidRPr="002B6E11" w:rsidRDefault="009B44C3" w:rsidP="0058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11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</w:tbl>
    <w:p w14:paraId="1174F9E0" w14:textId="77777777" w:rsidR="009B44C3" w:rsidRDefault="009B44C3" w:rsidP="009B44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end"/>
      </w:r>
    </w:p>
    <w:p w14:paraId="4FA2BE1F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Наблюдается тенденция к росту предложения торговых площадей, при этом доля вакантности по прогнозам должна сохраниться на уровне до 3%. Это </w:t>
      </w:r>
      <w:r>
        <w:rPr>
          <w:rFonts w:ascii="Times New Roman" w:hAnsi="Times New Roman" w:cs="Times New Roman"/>
          <w:sz w:val="28"/>
        </w:rPr>
        <w:lastRenderedPageBreak/>
        <w:t xml:space="preserve">может произойти за счет высокой активности арендаторов. Арендаторы нацелены на развитие доли развлечений и фитнеса, дополняя попутным сервисом, так называемый </w:t>
      </w:r>
      <w:proofErr w:type="spellStart"/>
      <w:r>
        <w:rPr>
          <w:rFonts w:ascii="Times New Roman" w:hAnsi="Times New Roman" w:cs="Times New Roman"/>
          <w:sz w:val="28"/>
        </w:rPr>
        <w:t>мультиформат</w:t>
      </w:r>
      <w:proofErr w:type="spellEnd"/>
      <w:r>
        <w:rPr>
          <w:rFonts w:ascii="Times New Roman" w:hAnsi="Times New Roman" w:cs="Times New Roman"/>
          <w:sz w:val="28"/>
        </w:rPr>
        <w:t>. Это повышает узнаваемость бренда, формирует лояльность – тем самым, повышается привлекательность для торгового центра. При этом на рынке появляется тренд на цифровизацию – в</w:t>
      </w:r>
      <w:r w:rsidRPr="004B7007">
        <w:rPr>
          <w:rFonts w:ascii="Times New Roman" w:hAnsi="Times New Roman" w:cs="Times New Roman"/>
          <w:sz w:val="28"/>
        </w:rPr>
        <w:t xml:space="preserve"> магазинах </w:t>
      </w:r>
      <w:proofErr w:type="spellStart"/>
      <w:r w:rsidRPr="004B7007">
        <w:rPr>
          <w:rFonts w:ascii="Times New Roman" w:hAnsi="Times New Roman" w:cs="Times New Roman"/>
          <w:sz w:val="28"/>
        </w:rPr>
        <w:t>Ready</w:t>
      </w:r>
      <w:proofErr w:type="spellEnd"/>
      <w:r w:rsidRPr="004B7007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4B7007">
        <w:rPr>
          <w:rFonts w:ascii="Times New Roman" w:hAnsi="Times New Roman" w:cs="Times New Roman"/>
          <w:sz w:val="28"/>
        </w:rPr>
        <w:t>Steady</w:t>
      </w:r>
      <w:proofErr w:type="spellEnd"/>
      <w:r w:rsidRPr="004B7007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4B7007">
        <w:rPr>
          <w:rFonts w:ascii="Times New Roman" w:hAnsi="Times New Roman" w:cs="Times New Roman"/>
          <w:sz w:val="28"/>
        </w:rPr>
        <w:t>Go</w:t>
      </w:r>
      <w:proofErr w:type="spellEnd"/>
      <w:r w:rsidRPr="004B7007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</w:t>
      </w:r>
      <w:r w:rsidRPr="004B7007">
        <w:rPr>
          <w:rFonts w:ascii="Times New Roman" w:hAnsi="Times New Roman" w:cs="Times New Roman"/>
          <w:sz w:val="28"/>
        </w:rPr>
        <w:t xml:space="preserve">уже </w:t>
      </w:r>
      <w:r>
        <w:rPr>
          <w:rFonts w:ascii="Times New Roman" w:hAnsi="Times New Roman" w:cs="Times New Roman"/>
          <w:sz w:val="28"/>
        </w:rPr>
        <w:t>внедрены в работу</w:t>
      </w:r>
      <w:r w:rsidRPr="004B7007">
        <w:rPr>
          <w:rFonts w:ascii="Times New Roman" w:hAnsi="Times New Roman" w:cs="Times New Roman"/>
          <w:sz w:val="28"/>
        </w:rPr>
        <w:t xml:space="preserve"> онлайн-примерочные, а на открытии </w:t>
      </w:r>
      <w:proofErr w:type="spellStart"/>
      <w:r w:rsidRPr="004B7007">
        <w:rPr>
          <w:rFonts w:ascii="Times New Roman" w:hAnsi="Times New Roman" w:cs="Times New Roman"/>
          <w:sz w:val="28"/>
        </w:rPr>
        <w:t>Befree</w:t>
      </w:r>
      <w:proofErr w:type="spellEnd"/>
      <w:r w:rsidRPr="004B7007">
        <w:rPr>
          <w:rFonts w:ascii="Times New Roman" w:hAnsi="Times New Roman" w:cs="Times New Roman"/>
          <w:sz w:val="28"/>
        </w:rPr>
        <w:t xml:space="preserve"> в ТРЦ «Галерея» 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4B7007">
        <w:rPr>
          <w:rFonts w:ascii="Times New Roman" w:hAnsi="Times New Roman" w:cs="Times New Roman"/>
          <w:sz w:val="28"/>
        </w:rPr>
        <w:t>было примерить вещи из цифровой капсулы через специальные экраны</w:t>
      </w:r>
      <w:r>
        <w:rPr>
          <w:rFonts w:ascii="Times New Roman" w:hAnsi="Times New Roman" w:cs="Times New Roman"/>
          <w:sz w:val="28"/>
        </w:rPr>
        <w:t xml:space="preserve">, тем самым экономя время на переодеваниях </w:t>
      </w:r>
      <w:r w:rsidRPr="007F41AF">
        <w:rPr>
          <w:rFonts w:ascii="Times New Roman" w:hAnsi="Times New Roman" w:cs="Times New Roman"/>
          <w:sz w:val="28"/>
        </w:rPr>
        <w:t>[</w:t>
      </w:r>
      <w:r w:rsidRPr="0020332C">
        <w:rPr>
          <w:rFonts w:ascii="Times New Roman" w:hAnsi="Times New Roman" w:cs="Times New Roman"/>
          <w:sz w:val="28"/>
        </w:rPr>
        <w:t>5</w:t>
      </w:r>
      <w:r w:rsidRPr="007F41A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 w14:paraId="31648A7F" w14:textId="77777777" w:rsidR="009B44C3" w:rsidRDefault="009B44C3" w:rsidP="009B44C3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Pr="001B4A67">
        <w:rPr>
          <w:rFonts w:ascii="Times New Roman" w:hAnsi="Times New Roman" w:cs="Times New Roman"/>
          <w:b/>
          <w:sz w:val="28"/>
        </w:rPr>
        <w:t xml:space="preserve">езультаты </w:t>
      </w:r>
      <w:r w:rsidRPr="001A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исследования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и обсуждение</w:t>
      </w:r>
    </w:p>
    <w:p w14:paraId="7921FECD" w14:textId="77777777" w:rsidR="009B44C3" w:rsidRPr="000E5BDC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BDC">
        <w:rPr>
          <w:rFonts w:ascii="Times New Roman" w:hAnsi="Times New Roman" w:cs="Times New Roman"/>
          <w:sz w:val="28"/>
        </w:rPr>
        <w:t xml:space="preserve">Для выявления взаимосвязи между изменениями инфляции и характерными факторами для торговой недвижимости рассмотрим их по порядку (рис. </w:t>
      </w:r>
      <w:r>
        <w:rPr>
          <w:rFonts w:ascii="Times New Roman" w:hAnsi="Times New Roman" w:cs="Times New Roman"/>
          <w:sz w:val="28"/>
        </w:rPr>
        <w:t>5</w:t>
      </w:r>
      <w:r w:rsidRPr="000E5BDC">
        <w:rPr>
          <w:rFonts w:ascii="Times New Roman" w:hAnsi="Times New Roman" w:cs="Times New Roman"/>
          <w:sz w:val="28"/>
        </w:rPr>
        <w:t xml:space="preserve">). </w:t>
      </w:r>
    </w:p>
    <w:p w14:paraId="2839086B" w14:textId="77777777" w:rsidR="009B44C3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8263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AE62D4C" wp14:editId="2B648CDC">
            <wp:extent cx="6009806" cy="2088694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195" b="10780"/>
                    <a:stretch/>
                  </pic:blipFill>
                  <pic:spPr bwMode="auto">
                    <a:xfrm>
                      <a:off x="0" y="0"/>
                      <a:ext cx="6067599" cy="210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18AD">
        <w:rPr>
          <w:rFonts w:ascii="Times New Roman" w:hAnsi="Times New Roman" w:cs="Times New Roman"/>
          <w:sz w:val="28"/>
        </w:rPr>
        <w:t xml:space="preserve"> </w:t>
      </w:r>
    </w:p>
    <w:p w14:paraId="2F04B3C9" w14:textId="77777777" w:rsidR="009B44C3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6271E15C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5 – Динамика инфляции по Санкт-Петербургу [6]</w:t>
      </w:r>
    </w:p>
    <w:p w14:paraId="45DF813B" w14:textId="77777777" w:rsidR="009B44C3" w:rsidRDefault="009B44C3" w:rsidP="009B44C3">
      <w:pPr>
        <w:tabs>
          <w:tab w:val="left" w:pos="7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A6D831C" w14:textId="77777777" w:rsidR="009B44C3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рисунку наблюдается резкое изменение инфляции за последние годы. На начало 2024 года инфляция поднялась до 9,05%. Далее определим ценообразующие факторы для торговой недвижимости (рис. 6). </w:t>
      </w:r>
    </w:p>
    <w:p w14:paraId="464B985F" w14:textId="77777777" w:rsidR="009B44C3" w:rsidRDefault="009B44C3" w:rsidP="009B44C3">
      <w:pPr>
        <w:tabs>
          <w:tab w:val="left" w:pos="7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214E20" w14:textId="77777777" w:rsidR="009B44C3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F6E90">
        <w:rPr>
          <w:noProof/>
          <w:lang w:eastAsia="ru-RU"/>
        </w:rPr>
        <w:lastRenderedPageBreak/>
        <w:drawing>
          <wp:inline distT="0" distB="0" distL="0" distR="0" wp14:anchorId="4B7C9C01" wp14:editId="0679A22A">
            <wp:extent cx="6120130" cy="2834005"/>
            <wp:effectExtent l="0" t="0" r="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8AD">
        <w:rPr>
          <w:rFonts w:ascii="Times New Roman" w:hAnsi="Times New Roman" w:cs="Times New Roman"/>
          <w:sz w:val="28"/>
        </w:rPr>
        <w:t xml:space="preserve"> </w:t>
      </w:r>
    </w:p>
    <w:p w14:paraId="61BF04C1" w14:textId="77777777" w:rsidR="009B44C3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82645DD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6 – Основные ценообразующие факторы [7,8]</w:t>
      </w:r>
    </w:p>
    <w:p w14:paraId="6F5322BF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рисунке 6 определены приоритетные ценообразующие факторы, при этом можем заметить, что наибольшее влияние на цену оказывает престижность местоположения, включающая в себя удаленность от центра города, транспортную доступность и плотность населения. Следующим фактором является проходимость, прямо связанная с фактором выше. Для представленных выше факторов определим их вес (табл. 2).</w:t>
      </w:r>
    </w:p>
    <w:p w14:paraId="6368F624" w14:textId="77777777" w:rsidR="009B44C3" w:rsidRDefault="009B44C3" w:rsidP="009B44C3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CB7AD8D" w14:textId="77777777" w:rsidR="009B44C3" w:rsidRPr="007F41AF" w:rsidRDefault="009B44C3" w:rsidP="009B44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2 – </w:t>
      </w:r>
      <w:r w:rsidRPr="002E18AD">
        <w:rPr>
          <w:rFonts w:ascii="Times New Roman" w:hAnsi="Times New Roman" w:cs="Times New Roman"/>
          <w:sz w:val="28"/>
        </w:rPr>
        <w:t>Основные ценообразующие факторы и средние коэффициенты их влияния</w:t>
      </w:r>
      <w:r w:rsidRPr="007F41AF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9</w:t>
      </w:r>
      <w:r w:rsidRPr="007F41AF">
        <w:rPr>
          <w:rFonts w:ascii="Times New Roman" w:hAnsi="Times New Roman" w:cs="Times New Roman"/>
          <w:sz w:val="28"/>
        </w:rPr>
        <w:t>]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832"/>
        <w:gridCol w:w="1228"/>
      </w:tblGrid>
      <w:tr w:rsidR="009B44C3" w:rsidRPr="0020332C" w14:paraId="7E397133" w14:textId="77777777" w:rsidTr="005831A0">
        <w:trPr>
          <w:jc w:val="center"/>
        </w:trPr>
        <w:tc>
          <w:tcPr>
            <w:tcW w:w="7832" w:type="dxa"/>
            <w:vAlign w:val="center"/>
          </w:tcPr>
          <w:p w14:paraId="3D89D855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Фактор</w:t>
            </w:r>
          </w:p>
        </w:tc>
        <w:tc>
          <w:tcPr>
            <w:tcW w:w="1228" w:type="dxa"/>
            <w:vAlign w:val="center"/>
          </w:tcPr>
          <w:p w14:paraId="6C3D141C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Вес</w:t>
            </w:r>
          </w:p>
        </w:tc>
      </w:tr>
      <w:tr w:rsidR="009B44C3" w:rsidRPr="0020332C" w14:paraId="3BE5A136" w14:textId="77777777" w:rsidTr="005831A0">
        <w:trPr>
          <w:jc w:val="center"/>
        </w:trPr>
        <w:tc>
          <w:tcPr>
            <w:tcW w:w="7832" w:type="dxa"/>
            <w:vAlign w:val="center"/>
          </w:tcPr>
          <w:p w14:paraId="7CB8BB9E" w14:textId="77777777" w:rsidR="009B44C3" w:rsidRPr="00836722" w:rsidRDefault="009B44C3" w:rsidP="005831A0">
            <w:pPr>
              <w:tabs>
                <w:tab w:val="left" w:pos="765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Престижность местоположения, интенсивность пешеходных потоков</w:t>
            </w:r>
          </w:p>
        </w:tc>
        <w:tc>
          <w:tcPr>
            <w:tcW w:w="1228" w:type="dxa"/>
            <w:vAlign w:val="center"/>
          </w:tcPr>
          <w:p w14:paraId="5602939C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0,1-0,5</w:t>
            </w:r>
          </w:p>
        </w:tc>
      </w:tr>
      <w:tr w:rsidR="009B44C3" w:rsidRPr="0020332C" w14:paraId="1D9F7A6D" w14:textId="77777777" w:rsidTr="005831A0">
        <w:trPr>
          <w:jc w:val="center"/>
        </w:trPr>
        <w:tc>
          <w:tcPr>
            <w:tcW w:w="7832" w:type="dxa"/>
            <w:vAlign w:val="center"/>
          </w:tcPr>
          <w:p w14:paraId="736670C7" w14:textId="77777777" w:rsidR="009B44C3" w:rsidRPr="00836722" w:rsidRDefault="009B44C3" w:rsidP="005831A0">
            <w:pPr>
              <w:tabs>
                <w:tab w:val="left" w:pos="765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Характеристика входа в помещение, этаж расположения помещения, состояние внутренней отделки помещения, обеспеченность помещения коммуникациями, наличие витринных окон</w:t>
            </w:r>
          </w:p>
        </w:tc>
        <w:tc>
          <w:tcPr>
            <w:tcW w:w="1228" w:type="dxa"/>
            <w:vAlign w:val="center"/>
          </w:tcPr>
          <w:p w14:paraId="3C016C2B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0,1-0,35</w:t>
            </w:r>
          </w:p>
        </w:tc>
      </w:tr>
      <w:tr w:rsidR="009B44C3" w:rsidRPr="0020332C" w14:paraId="7C828D9F" w14:textId="77777777" w:rsidTr="005831A0">
        <w:trPr>
          <w:jc w:val="center"/>
        </w:trPr>
        <w:tc>
          <w:tcPr>
            <w:tcW w:w="7832" w:type="dxa"/>
            <w:vAlign w:val="center"/>
          </w:tcPr>
          <w:p w14:paraId="0A28620C" w14:textId="77777777" w:rsidR="009B44C3" w:rsidRPr="00836722" w:rsidRDefault="009B44C3" w:rsidP="005831A0">
            <w:pPr>
              <w:tabs>
                <w:tab w:val="left" w:pos="765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Состояние здания, площадь помещения, условия осуществления погрузочно-разгрузочных работ, система доступа</w:t>
            </w:r>
          </w:p>
        </w:tc>
        <w:tc>
          <w:tcPr>
            <w:tcW w:w="1228" w:type="dxa"/>
            <w:vAlign w:val="center"/>
          </w:tcPr>
          <w:p w14:paraId="4A460D8C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0,05-0,35</w:t>
            </w:r>
          </w:p>
        </w:tc>
      </w:tr>
      <w:tr w:rsidR="009B44C3" w:rsidRPr="0020332C" w14:paraId="6EAD67C3" w14:textId="77777777" w:rsidTr="005831A0">
        <w:trPr>
          <w:jc w:val="center"/>
        </w:trPr>
        <w:tc>
          <w:tcPr>
            <w:tcW w:w="7832" w:type="dxa"/>
            <w:vAlign w:val="center"/>
          </w:tcPr>
          <w:p w14:paraId="377FFDD4" w14:textId="77777777" w:rsidR="009B44C3" w:rsidRPr="00836722" w:rsidRDefault="009B44C3" w:rsidP="005831A0">
            <w:pPr>
              <w:tabs>
                <w:tab w:val="left" w:pos="765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Условия парковки, коэффициент полезных площадей, высота потолков в помещении</w:t>
            </w:r>
          </w:p>
        </w:tc>
        <w:tc>
          <w:tcPr>
            <w:tcW w:w="1228" w:type="dxa"/>
            <w:vAlign w:val="center"/>
          </w:tcPr>
          <w:p w14:paraId="44398B9A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0,05-0,25</w:t>
            </w:r>
          </w:p>
        </w:tc>
      </w:tr>
    </w:tbl>
    <w:p w14:paraId="0D72955C" w14:textId="77777777" w:rsidR="009B44C3" w:rsidRDefault="009B44C3" w:rsidP="009B44C3">
      <w:pPr>
        <w:tabs>
          <w:tab w:val="left" w:pos="7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D8A516" w14:textId="77777777" w:rsidR="009B44C3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 самым, можем отметить, что наиболее важными факторами при определении ставок на аренду торговых объектов необходимо руководствоваться первыми двумя факторами с наибольшим весом. </w:t>
      </w:r>
    </w:p>
    <w:p w14:paraId="354245D0" w14:textId="77777777" w:rsidR="009B44C3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Предложение по городу торговых помещений по Санкт-Петербург распределилось следующим образом (рис. 7).</w:t>
      </w:r>
    </w:p>
    <w:p w14:paraId="4A7D0A1D" w14:textId="77777777" w:rsidR="009B44C3" w:rsidRDefault="009B44C3" w:rsidP="009B44C3">
      <w:pPr>
        <w:tabs>
          <w:tab w:val="left" w:pos="7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9F9D44D" w14:textId="77777777" w:rsidR="009B44C3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34EE9E5" wp14:editId="056FB85B">
            <wp:extent cx="5416657" cy="1673225"/>
            <wp:effectExtent l="0" t="0" r="12700" b="3175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B7C286-1173-4C88-9749-12E3513A83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E18AD">
        <w:rPr>
          <w:rFonts w:ascii="Times New Roman" w:hAnsi="Times New Roman" w:cs="Times New Roman"/>
          <w:sz w:val="28"/>
        </w:rPr>
        <w:t xml:space="preserve"> </w:t>
      </w:r>
    </w:p>
    <w:p w14:paraId="405258AD" w14:textId="77777777" w:rsidR="009B44C3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220C25C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7 – Доля предложения торговых помещений по районам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722">
        <w:rPr>
          <w:rFonts w:ascii="Times New Roman" w:hAnsi="Times New Roman" w:cs="Times New Roman"/>
          <w:sz w:val="24"/>
          <w:szCs w:val="24"/>
        </w:rPr>
        <w:t>[10]</w:t>
      </w:r>
    </w:p>
    <w:p w14:paraId="2DCD1146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60D2">
        <w:rPr>
          <w:rFonts w:ascii="Times New Roman" w:hAnsi="Times New Roman" w:cs="Times New Roman"/>
          <w:sz w:val="28"/>
        </w:rPr>
        <w:t xml:space="preserve">Таким образом, большинство торговых объектов сосредоточено в удаленных районах: Выборгском, Калининском, Кировском, Московском, Красногвардейском, Невском, Приморском, Фрунзенском. </w:t>
      </w:r>
    </w:p>
    <w:p w14:paraId="2F1C79B5" w14:textId="77777777" w:rsidR="009B44C3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взаимосвязь района и цен на продажу и аренду (табл. 3).</w:t>
      </w:r>
    </w:p>
    <w:p w14:paraId="7275CEF8" w14:textId="77777777" w:rsidR="009B44C3" w:rsidRPr="007860D2" w:rsidRDefault="009B44C3" w:rsidP="009B44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C920578" w14:textId="77777777" w:rsidR="009B44C3" w:rsidRPr="00836722" w:rsidRDefault="009B44C3" w:rsidP="009B44C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3 – Цена аренды и цена продажи по районам города</w:t>
      </w:r>
      <w:r w:rsidRPr="007F41AF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10</w:t>
      </w:r>
      <w:r w:rsidRPr="007F41AF">
        <w:rPr>
          <w:rFonts w:ascii="Times New Roman" w:hAnsi="Times New Roman" w:cs="Times New Roman"/>
          <w:sz w:val="28"/>
        </w:rPr>
        <w:t>]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23"/>
        <w:gridCol w:w="1258"/>
        <w:gridCol w:w="1559"/>
        <w:gridCol w:w="1418"/>
        <w:gridCol w:w="2402"/>
      </w:tblGrid>
      <w:tr w:rsidR="009B44C3" w:rsidRPr="0020332C" w14:paraId="3882E7D7" w14:textId="77777777" w:rsidTr="005831A0">
        <w:tc>
          <w:tcPr>
            <w:tcW w:w="2423" w:type="dxa"/>
            <w:vMerge w:val="restart"/>
            <w:vAlign w:val="center"/>
          </w:tcPr>
          <w:p w14:paraId="78E88C5B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Районы</w:t>
            </w:r>
          </w:p>
        </w:tc>
        <w:tc>
          <w:tcPr>
            <w:tcW w:w="2817" w:type="dxa"/>
            <w:gridSpan w:val="2"/>
            <w:vAlign w:val="center"/>
          </w:tcPr>
          <w:p w14:paraId="0C5D6F01" w14:textId="77777777" w:rsidR="009B44C3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ставка, </w:t>
            </w:r>
          </w:p>
          <w:p w14:paraId="77783B39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руб./ кв. м в мес.</w:t>
            </w:r>
          </w:p>
        </w:tc>
        <w:tc>
          <w:tcPr>
            <w:tcW w:w="3820" w:type="dxa"/>
            <w:gridSpan w:val="2"/>
            <w:vAlign w:val="center"/>
          </w:tcPr>
          <w:p w14:paraId="5A84ECF2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Цена, руб./ кв. м</w:t>
            </w:r>
          </w:p>
        </w:tc>
      </w:tr>
      <w:tr w:rsidR="009B44C3" w:rsidRPr="0020332C" w14:paraId="52093948" w14:textId="77777777" w:rsidTr="005831A0">
        <w:tc>
          <w:tcPr>
            <w:tcW w:w="2423" w:type="dxa"/>
            <w:vMerge/>
          </w:tcPr>
          <w:p w14:paraId="1104FA7A" w14:textId="77777777" w:rsidR="009B44C3" w:rsidRPr="00836722" w:rsidRDefault="009B44C3" w:rsidP="005831A0">
            <w:pPr>
              <w:tabs>
                <w:tab w:val="left" w:pos="765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709C5DC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vAlign w:val="center"/>
          </w:tcPr>
          <w:p w14:paraId="1CF82A7E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диапазон</w:t>
            </w:r>
          </w:p>
        </w:tc>
        <w:tc>
          <w:tcPr>
            <w:tcW w:w="1418" w:type="dxa"/>
            <w:vAlign w:val="center"/>
          </w:tcPr>
          <w:p w14:paraId="7782E5A2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средняя</w:t>
            </w:r>
          </w:p>
        </w:tc>
        <w:tc>
          <w:tcPr>
            <w:tcW w:w="2402" w:type="dxa"/>
            <w:vAlign w:val="center"/>
          </w:tcPr>
          <w:p w14:paraId="73B06B17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диапазон</w:t>
            </w:r>
          </w:p>
        </w:tc>
      </w:tr>
      <w:tr w:rsidR="009B44C3" w:rsidRPr="0020332C" w14:paraId="166E4013" w14:textId="77777777" w:rsidTr="005831A0">
        <w:tc>
          <w:tcPr>
            <w:tcW w:w="2423" w:type="dxa"/>
            <w:vAlign w:val="center"/>
          </w:tcPr>
          <w:p w14:paraId="46E75699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Центральные районы</w:t>
            </w:r>
          </w:p>
        </w:tc>
        <w:tc>
          <w:tcPr>
            <w:tcW w:w="1258" w:type="dxa"/>
            <w:vAlign w:val="center"/>
          </w:tcPr>
          <w:p w14:paraId="33F20473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2028</w:t>
            </w:r>
          </w:p>
        </w:tc>
        <w:tc>
          <w:tcPr>
            <w:tcW w:w="1559" w:type="dxa"/>
            <w:vAlign w:val="center"/>
          </w:tcPr>
          <w:p w14:paraId="66A17396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418" w:type="dxa"/>
            <w:vAlign w:val="center"/>
          </w:tcPr>
          <w:p w14:paraId="5ADC2A17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292 987</w:t>
            </w:r>
          </w:p>
        </w:tc>
        <w:tc>
          <w:tcPr>
            <w:tcW w:w="2402" w:type="dxa"/>
            <w:vAlign w:val="center"/>
          </w:tcPr>
          <w:p w14:paraId="4B47A413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- 1 059 322</w:t>
            </w:r>
          </w:p>
        </w:tc>
      </w:tr>
      <w:tr w:rsidR="009B44C3" w:rsidRPr="0020332C" w14:paraId="549742CB" w14:textId="77777777" w:rsidTr="005831A0">
        <w:tc>
          <w:tcPr>
            <w:tcW w:w="2423" w:type="dxa"/>
            <w:vAlign w:val="center"/>
          </w:tcPr>
          <w:p w14:paraId="1E9CE435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Районы, удаленные от центра</w:t>
            </w:r>
          </w:p>
        </w:tc>
        <w:tc>
          <w:tcPr>
            <w:tcW w:w="1258" w:type="dxa"/>
            <w:vAlign w:val="center"/>
          </w:tcPr>
          <w:p w14:paraId="03EB8DCA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1673</w:t>
            </w:r>
          </w:p>
        </w:tc>
        <w:tc>
          <w:tcPr>
            <w:tcW w:w="1559" w:type="dxa"/>
            <w:vAlign w:val="center"/>
          </w:tcPr>
          <w:p w14:paraId="7EAB2B43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4 356</w:t>
            </w:r>
          </w:p>
        </w:tc>
        <w:tc>
          <w:tcPr>
            <w:tcW w:w="1418" w:type="dxa"/>
            <w:vAlign w:val="center"/>
          </w:tcPr>
          <w:p w14:paraId="07A7A1FA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226 989</w:t>
            </w:r>
          </w:p>
        </w:tc>
        <w:tc>
          <w:tcPr>
            <w:tcW w:w="2402" w:type="dxa"/>
            <w:vAlign w:val="center"/>
          </w:tcPr>
          <w:p w14:paraId="44FDB861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- 521 896</w:t>
            </w:r>
          </w:p>
        </w:tc>
      </w:tr>
      <w:tr w:rsidR="009B44C3" w:rsidRPr="0020332C" w14:paraId="75555D2E" w14:textId="77777777" w:rsidTr="005831A0">
        <w:tc>
          <w:tcPr>
            <w:tcW w:w="2423" w:type="dxa"/>
            <w:vAlign w:val="center"/>
          </w:tcPr>
          <w:p w14:paraId="49EA529E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Периферийные районы</w:t>
            </w:r>
          </w:p>
        </w:tc>
        <w:tc>
          <w:tcPr>
            <w:tcW w:w="1258" w:type="dxa"/>
            <w:vAlign w:val="center"/>
          </w:tcPr>
          <w:p w14:paraId="3D704E51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1488</w:t>
            </w:r>
          </w:p>
        </w:tc>
        <w:tc>
          <w:tcPr>
            <w:tcW w:w="1559" w:type="dxa"/>
            <w:vAlign w:val="center"/>
          </w:tcPr>
          <w:p w14:paraId="187947E1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8 783</w:t>
            </w:r>
          </w:p>
        </w:tc>
        <w:tc>
          <w:tcPr>
            <w:tcW w:w="1418" w:type="dxa"/>
            <w:vAlign w:val="center"/>
          </w:tcPr>
          <w:p w14:paraId="7FC73D07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149 630</w:t>
            </w:r>
          </w:p>
        </w:tc>
        <w:tc>
          <w:tcPr>
            <w:tcW w:w="2402" w:type="dxa"/>
            <w:vAlign w:val="center"/>
          </w:tcPr>
          <w:p w14:paraId="197D41E3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- 673 077</w:t>
            </w:r>
          </w:p>
        </w:tc>
      </w:tr>
      <w:tr w:rsidR="009B44C3" w:rsidRPr="0020332C" w14:paraId="62D8888D" w14:textId="77777777" w:rsidTr="005831A0">
        <w:tc>
          <w:tcPr>
            <w:tcW w:w="2423" w:type="dxa"/>
            <w:vAlign w:val="center"/>
          </w:tcPr>
          <w:p w14:paraId="66E4A4FF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В среднем по городу</w:t>
            </w:r>
          </w:p>
        </w:tc>
        <w:tc>
          <w:tcPr>
            <w:tcW w:w="1258" w:type="dxa"/>
            <w:vAlign w:val="center"/>
          </w:tcPr>
          <w:p w14:paraId="6C9AAB11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noProof/>
                <w:sz w:val="24"/>
                <w:szCs w:val="24"/>
              </w:rPr>
              <w:t>1779</w:t>
            </w:r>
          </w:p>
        </w:tc>
        <w:tc>
          <w:tcPr>
            <w:tcW w:w="1559" w:type="dxa"/>
            <w:vAlign w:val="center"/>
          </w:tcPr>
          <w:p w14:paraId="04A1A29E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418" w:type="dxa"/>
            <w:vAlign w:val="center"/>
          </w:tcPr>
          <w:p w14:paraId="47E82931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249 464</w:t>
            </w:r>
          </w:p>
        </w:tc>
        <w:tc>
          <w:tcPr>
            <w:tcW w:w="2402" w:type="dxa"/>
            <w:vAlign w:val="center"/>
          </w:tcPr>
          <w:p w14:paraId="30811392" w14:textId="77777777" w:rsidR="009B44C3" w:rsidRPr="00836722" w:rsidRDefault="009B44C3" w:rsidP="005831A0">
            <w:pPr>
              <w:tabs>
                <w:tab w:val="left" w:pos="765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22">
              <w:rPr>
                <w:rFonts w:ascii="Times New Roman" w:hAnsi="Times New Roman" w:cs="Times New Roman"/>
                <w:sz w:val="24"/>
                <w:szCs w:val="24"/>
              </w:rPr>
              <w:t>- 1 059 322</w:t>
            </w:r>
          </w:p>
        </w:tc>
      </w:tr>
    </w:tbl>
    <w:p w14:paraId="27FB7220" w14:textId="77777777" w:rsidR="009B44C3" w:rsidRDefault="009B44C3" w:rsidP="009B44C3">
      <w:pPr>
        <w:tabs>
          <w:tab w:val="left" w:pos="7656"/>
        </w:tabs>
        <w:spacing w:after="0" w:line="360" w:lineRule="auto"/>
        <w:jc w:val="both"/>
        <w:rPr>
          <w:noProof/>
        </w:rPr>
      </w:pPr>
    </w:p>
    <w:p w14:paraId="7455F47D" w14:textId="77777777" w:rsidR="009B44C3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Таким образом, исходя из данных таблицы 3 и рисунка 7</w:t>
      </w:r>
      <w:r w:rsidRPr="007860D2">
        <w:rPr>
          <w:rFonts w:ascii="Times New Roman" w:hAnsi="Times New Roman" w:cs="Times New Roman"/>
          <w:noProof/>
          <w:sz w:val="28"/>
        </w:rPr>
        <w:t xml:space="preserve"> можно заметить, что цена продажи и аренды имеет наибольшее значение для центральных районов и удаленных</w:t>
      </w:r>
      <w:r>
        <w:rPr>
          <w:rFonts w:ascii="Times New Roman" w:hAnsi="Times New Roman" w:cs="Times New Roman"/>
          <w:noProof/>
          <w:sz w:val="28"/>
        </w:rPr>
        <w:t xml:space="preserve"> районов</w:t>
      </w:r>
      <w:r w:rsidRPr="007860D2">
        <w:rPr>
          <w:rFonts w:ascii="Times New Roman" w:hAnsi="Times New Roman" w:cs="Times New Roman"/>
          <w:noProof/>
          <w:sz w:val="28"/>
        </w:rPr>
        <w:t xml:space="preserve">. </w:t>
      </w:r>
      <w:r>
        <w:rPr>
          <w:rFonts w:ascii="Times New Roman" w:hAnsi="Times New Roman" w:cs="Times New Roman"/>
          <w:noProof/>
          <w:sz w:val="28"/>
        </w:rPr>
        <w:t>Далее определим взаимосвязь инфляции с учетом изменения объемов предложения, заполняемости торговых центров, уровня вакантности и цен для галереи (рис. 8).</w:t>
      </w:r>
    </w:p>
    <w:p w14:paraId="20914876" w14:textId="77777777" w:rsidR="009B44C3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14:paraId="0095A3D3" w14:textId="77777777" w:rsidR="009B44C3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3C17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A003D73" wp14:editId="66422CB2">
            <wp:extent cx="3954780" cy="1397233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3707"/>
                    <a:stretch/>
                  </pic:blipFill>
                  <pic:spPr bwMode="auto">
                    <a:xfrm>
                      <a:off x="0" y="0"/>
                      <a:ext cx="3954780" cy="1397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A77AC" w14:textId="77777777" w:rsidR="009B44C3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8DC6CC" w14:textId="77777777" w:rsidR="009B44C3" w:rsidRPr="00836722" w:rsidRDefault="009B44C3" w:rsidP="009B4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8 – Взаимосвязь факторов с учетом инфляции (составлено авторами)</w:t>
      </w:r>
    </w:p>
    <w:p w14:paraId="35103FC3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можем заметить следующее: объем предложения торговых центров практически не менялся с начала 2021 года и не оказал влияния на других факторах. Аналогичным образом не оказали сопутствующие факторы на изменение ставок аренды для якорей. Взаимосвязь изменения уровня инфляции совпадала с изменение уровня вакантности: в период с 2020 по 2022 год наблюдался рост. Резкий скачок в этих факторах произошел к 4 кварталу 2022 года. Далее наблюдался медленны спад к концу 2023 года. </w:t>
      </w:r>
    </w:p>
    <w:p w14:paraId="4B6AEE26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Взаимосвязь инфляции уровня заполняемости торговых центров выглядела следующим образом: медленный рост к 4 кварталу 2021 года, с 2023 года рост инфляции и уровня заполняемости. Переломным моментом являлся период 2022 года: инфляция с резкого скачка пошла на спад, а уровень заполняемости торговых центров – был минимальным. То есть, чем выше уровень инфляции, тем больше пустующих помещений, на что в тот период сильное влияние оказал уход зарубежных брендов. Но при этом он не опустился ниже 80%. </w:t>
      </w:r>
    </w:p>
    <w:p w14:paraId="603F02E1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 самым, экономическое изменение рынка, в частности корректировка одной только инфляции может оказывать сильное влияние на торговые центры, в части заполняемости, вакантности и цен, как аренды, так и продажи. При этом больше всего адаптироваться приходится торговым центрам в удаленных районах, так как их количество преобладает. </w:t>
      </w:r>
      <w:r w:rsidRPr="003833D5">
        <w:rPr>
          <w:rFonts w:ascii="Times New Roman" w:hAnsi="Times New Roman" w:cs="Times New Roman"/>
          <w:sz w:val="28"/>
        </w:rPr>
        <w:t>После 2022 года более 180 иностранных брендов приостановили свою деятельность на территории РФ.</w:t>
      </w:r>
    </w:p>
    <w:p w14:paraId="6C5E5671" w14:textId="77777777" w:rsidR="009B44C3" w:rsidRDefault="009B44C3" w:rsidP="009B4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Рассмотрим торговые арендные ставки и цены по Санкт-Петербургу (рис. 9).</w:t>
      </w:r>
    </w:p>
    <w:p w14:paraId="7A270BAF" w14:textId="77777777" w:rsidR="009B44C3" w:rsidRDefault="009B44C3" w:rsidP="009B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F8224C" w14:textId="77777777" w:rsidR="009B44C3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364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3B9A802" wp14:editId="546F0FC5">
            <wp:extent cx="6054851" cy="21793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5749" cy="220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A2D7" w14:textId="77777777" w:rsidR="009B44C3" w:rsidRPr="00021918" w:rsidRDefault="009B44C3" w:rsidP="009B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722">
        <w:rPr>
          <w:rFonts w:ascii="Times New Roman" w:hAnsi="Times New Roman" w:cs="Times New Roman"/>
          <w:sz w:val="24"/>
          <w:szCs w:val="24"/>
        </w:rPr>
        <w:t>Рисунок 9 – Арендные ставки и цены [11, 12]</w:t>
      </w:r>
    </w:p>
    <w:p w14:paraId="559BD4CA" w14:textId="77777777" w:rsidR="009B44C3" w:rsidRPr="00A83644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A83644">
        <w:rPr>
          <w:rFonts w:ascii="Times New Roman" w:hAnsi="Times New Roman" w:cs="Times New Roman"/>
          <w:noProof/>
          <w:sz w:val="28"/>
        </w:rPr>
        <w:t xml:space="preserve">В 1 квартале 2024 года относительно 1 квартала 2023 года уровень арендных ставок на рынке встроенных </w:t>
      </w:r>
      <w:r>
        <w:rPr>
          <w:rFonts w:ascii="Times New Roman" w:hAnsi="Times New Roman" w:cs="Times New Roman"/>
          <w:noProof/>
          <w:sz w:val="28"/>
        </w:rPr>
        <w:t>торговых</w:t>
      </w:r>
      <w:r w:rsidRPr="00A83644">
        <w:rPr>
          <w:rFonts w:ascii="Times New Roman" w:hAnsi="Times New Roman" w:cs="Times New Roman"/>
          <w:noProof/>
          <w:sz w:val="28"/>
        </w:rPr>
        <w:t xml:space="preserve"> помещений </w:t>
      </w:r>
      <w:r>
        <w:rPr>
          <w:rFonts w:ascii="Times New Roman" w:hAnsi="Times New Roman" w:cs="Times New Roman"/>
          <w:noProof/>
          <w:sz w:val="28"/>
        </w:rPr>
        <w:t>увеличился на</w:t>
      </w:r>
      <w:r w:rsidRPr="00A83644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15,7</w:t>
      </w:r>
      <w:r w:rsidRPr="00A83644">
        <w:rPr>
          <w:rFonts w:ascii="Times New Roman" w:hAnsi="Times New Roman" w:cs="Times New Roman"/>
          <w:noProof/>
          <w:sz w:val="28"/>
        </w:rPr>
        <w:t xml:space="preserve">%, а уровень цен </w:t>
      </w:r>
      <w:r>
        <w:rPr>
          <w:rFonts w:ascii="Times New Roman" w:hAnsi="Times New Roman" w:cs="Times New Roman"/>
          <w:noProof/>
          <w:sz w:val="28"/>
        </w:rPr>
        <w:t xml:space="preserve">вырос на 8,8%. При этом можно заметить, насколько сильно выросла цена продажи с 2014 года. Наибольший рост заметен с конца 2020 года. При этом цена аренды не столь значительно выросла в соотношении продажи. Цена аренды в 2018 году была выше цены продажи. После этого ситуация поменялась и с начала 2022 года отрыв между ценой продажи и аренды составил в среднем 25-30%.  </w:t>
      </w:r>
    </w:p>
    <w:p w14:paraId="563F3C8C" w14:textId="77777777" w:rsidR="009B44C3" w:rsidRPr="003F2957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37D36">
        <w:rPr>
          <w:rFonts w:ascii="Times New Roman" w:hAnsi="Times New Roman" w:cs="Times New Roman"/>
          <w:b/>
          <w:noProof/>
          <w:sz w:val="28"/>
        </w:rPr>
        <w:t>Вывод</w:t>
      </w:r>
      <w:r>
        <w:rPr>
          <w:rFonts w:ascii="Times New Roman" w:hAnsi="Times New Roman" w:cs="Times New Roman"/>
          <w:b/>
          <w:noProof/>
          <w:sz w:val="28"/>
        </w:rPr>
        <w:t>ы</w:t>
      </w:r>
      <w:r w:rsidRPr="00537D36">
        <w:rPr>
          <w:rFonts w:ascii="Times New Roman" w:hAnsi="Times New Roman" w:cs="Times New Roman"/>
          <w:b/>
          <w:noProof/>
          <w:sz w:val="28"/>
        </w:rPr>
        <w:t xml:space="preserve">. </w:t>
      </w:r>
      <w:r w:rsidRPr="003F2957">
        <w:rPr>
          <w:rFonts w:ascii="Times New Roman" w:hAnsi="Times New Roman" w:cs="Times New Roman"/>
          <w:noProof/>
          <w:sz w:val="28"/>
        </w:rPr>
        <w:t xml:space="preserve">Доля российских брендов на 1 половину 2024 года по сравнению с 1 половиной 2022 года выросла на 15%, иностранные бренды – снизилась на 13%. Таким образом, как и писалось выше, вакантность помещений восстановилась, наблюдается тенденция к заполнению пустующих арендопригодных помещений. Прирост торговых центров планируется в пригороды, поскольку рынок Питера уже насыщен помещениями. Ориентир будет больше на мелкоформатные торговые центры. К концу года планируется октрытие 3 торговых центров, ожидается выход азиатских брендов. </w:t>
      </w:r>
      <w:r>
        <w:rPr>
          <w:rFonts w:ascii="Times New Roman" w:hAnsi="Times New Roman" w:cs="Times New Roman"/>
          <w:noProof/>
          <w:sz w:val="28"/>
        </w:rPr>
        <w:t xml:space="preserve">При этом, инвесторам необходио уделить внимание оценке рисков. Санкт-Петербург, как и любой другой мегаполис, подвержен разнообразным экономечским и </w:t>
      </w:r>
      <w:r>
        <w:rPr>
          <w:rFonts w:ascii="Times New Roman" w:hAnsi="Times New Roman" w:cs="Times New Roman"/>
          <w:noProof/>
          <w:sz w:val="28"/>
        </w:rPr>
        <w:lastRenderedPageBreak/>
        <w:t xml:space="preserve">политическим фаткорам, которые могут влиять на стабильность и доходность ивестиций. </w:t>
      </w:r>
    </w:p>
    <w:p w14:paraId="5302A7AA" w14:textId="77777777" w:rsidR="009B44C3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F2957">
        <w:rPr>
          <w:rFonts w:ascii="Times New Roman" w:hAnsi="Times New Roman" w:cs="Times New Roman"/>
          <w:noProof/>
          <w:sz w:val="28"/>
        </w:rPr>
        <w:t>ЦБ планирует в 2025 год приблизить инфляцию к значению 4%. Таким образом, показатели последуют за инфляцией: вакатных площадей будет меньше, заполнямость торговых помещений немного снизится. Таким образом, в 2025 году рост арендных ставок за встроенные помещения в среднем составит 2,9% в сегменте торговых помещений. В 2026 году рост арендных ставок составит 2,9% в сегменте торговых помещений.</w:t>
      </w:r>
    </w:p>
    <w:p w14:paraId="27E718AC" w14:textId="77777777" w:rsidR="009B44C3" w:rsidRDefault="009B44C3" w:rsidP="009B44C3">
      <w:pPr>
        <w:tabs>
          <w:tab w:val="left" w:pos="7656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14:paraId="67AA583F" w14:textId="77777777" w:rsidR="009B44C3" w:rsidRPr="0020332C" w:rsidRDefault="009B44C3" w:rsidP="009B44C3">
      <w:pPr>
        <w:tabs>
          <w:tab w:val="left" w:pos="7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</w:rPr>
      </w:pPr>
      <w:r w:rsidRPr="00537D36">
        <w:rPr>
          <w:rFonts w:ascii="Times New Roman" w:hAnsi="Times New Roman" w:cs="Times New Roman"/>
          <w:b/>
          <w:noProof/>
          <w:sz w:val="28"/>
        </w:rPr>
        <w:t>Список источников</w:t>
      </w:r>
    </w:p>
    <w:p w14:paraId="0D0859F5" w14:textId="77777777" w:rsidR="009B44C3" w:rsidRPr="003E1232" w:rsidRDefault="009B44C3" w:rsidP="009B44C3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3E1232">
        <w:rPr>
          <w:rFonts w:ascii="Times New Roman" w:hAnsi="Times New Roman" w:cs="Times New Roman"/>
          <w:noProof/>
          <w:sz w:val="28"/>
        </w:rPr>
        <w:t>Соколов, А. В. Методы анализа и оценки офисной и торговой недвижимости / А. В. Соколов. – Екатеринбург : РГППУ, 2016. – 71 с.</w:t>
      </w:r>
    </w:p>
    <w:p w14:paraId="146FC327" w14:textId="77777777" w:rsidR="009B44C3" w:rsidRPr="000B6419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>АйБи ГРУПП [Электронный ресурс]. – Режим доступа: https://www.ibgroup.ru/_files/analytica/2024/1Q/24_01_mall.pdf. – Дата доступа: 02.09.24.</w:t>
      </w:r>
    </w:p>
    <w:p w14:paraId="1E9E7D05" w14:textId="77777777" w:rsidR="009B44C3" w:rsidRPr="000B6419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>Nikoliers [Электронный ресурс]. – Режим доступа: https://nikoliers-global.com/upload/iblock/12b/p24cbzrov4fobdolal951mf4si5wnpgj.pdf. – Дата доступа: 0</w:t>
      </w:r>
      <w:r w:rsidRPr="003E1232">
        <w:rPr>
          <w:rFonts w:ascii="Times New Roman" w:hAnsi="Times New Roman" w:cs="Times New Roman"/>
          <w:noProof/>
          <w:sz w:val="28"/>
        </w:rPr>
        <w:t>4</w:t>
      </w:r>
      <w:r w:rsidRPr="000B6419">
        <w:rPr>
          <w:rFonts w:ascii="Times New Roman" w:hAnsi="Times New Roman" w:cs="Times New Roman"/>
          <w:noProof/>
          <w:sz w:val="28"/>
        </w:rPr>
        <w:t>.09.24.</w:t>
      </w:r>
    </w:p>
    <w:p w14:paraId="412EF817" w14:textId="77777777" w:rsidR="009B44C3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 xml:space="preserve">Эксперт.Юг [Электронный ресурс]. – Режим доступа: https://expertsouth.ru/articles/ai-primerochnye-i-zona-s-pristavkami-gloriya-dzhins-stremitsya-zanyat-novuyu-nishu-na-rynke/. – Дата доступа: </w:t>
      </w:r>
      <w:r w:rsidRPr="003E1232">
        <w:rPr>
          <w:rFonts w:ascii="Times New Roman" w:hAnsi="Times New Roman" w:cs="Times New Roman"/>
          <w:noProof/>
          <w:sz w:val="28"/>
        </w:rPr>
        <w:t>10</w:t>
      </w:r>
      <w:r w:rsidRPr="000B6419">
        <w:rPr>
          <w:rFonts w:ascii="Times New Roman" w:hAnsi="Times New Roman" w:cs="Times New Roman"/>
          <w:noProof/>
          <w:sz w:val="28"/>
        </w:rPr>
        <w:t>.09.24.</w:t>
      </w:r>
      <w:r w:rsidRPr="00CD55FA">
        <w:rPr>
          <w:rFonts w:ascii="Times New Roman" w:hAnsi="Times New Roman" w:cs="Times New Roman"/>
          <w:noProof/>
          <w:sz w:val="28"/>
        </w:rPr>
        <w:t xml:space="preserve"> </w:t>
      </w:r>
    </w:p>
    <w:p w14:paraId="41F06AF0" w14:textId="77777777" w:rsidR="009B44C3" w:rsidRPr="00CD55FA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 xml:space="preserve">Банк России [Электронный ресурс]. – Режим доступа: https://cbr.ru/hd_base/infl/. – Дата доступа: </w:t>
      </w:r>
      <w:r w:rsidRPr="003E1232">
        <w:rPr>
          <w:rFonts w:ascii="Times New Roman" w:hAnsi="Times New Roman" w:cs="Times New Roman"/>
          <w:noProof/>
          <w:sz w:val="28"/>
        </w:rPr>
        <w:t>10</w:t>
      </w:r>
      <w:r w:rsidRPr="000B6419">
        <w:rPr>
          <w:rFonts w:ascii="Times New Roman" w:hAnsi="Times New Roman" w:cs="Times New Roman"/>
          <w:noProof/>
          <w:sz w:val="28"/>
        </w:rPr>
        <w:t>.09.24.</w:t>
      </w:r>
    </w:p>
    <w:p w14:paraId="3F435832" w14:textId="77777777" w:rsidR="009B44C3" w:rsidRPr="000B6419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 xml:space="preserve">NF group [Электронный ресурс]. – Режим доступа: https://kf.expert/publish/Rynok-torgovoj-nedvizhimosti-Sankt-Peterburg-H1-2024. – Дата доступа: </w:t>
      </w:r>
      <w:r w:rsidRPr="003E1232">
        <w:rPr>
          <w:rFonts w:ascii="Times New Roman" w:hAnsi="Times New Roman" w:cs="Times New Roman"/>
          <w:noProof/>
          <w:sz w:val="28"/>
        </w:rPr>
        <w:t>10</w:t>
      </w:r>
      <w:r w:rsidRPr="000B6419">
        <w:rPr>
          <w:rFonts w:ascii="Times New Roman" w:hAnsi="Times New Roman" w:cs="Times New Roman"/>
          <w:noProof/>
          <w:sz w:val="28"/>
        </w:rPr>
        <w:t>.09.24.</w:t>
      </w:r>
    </w:p>
    <w:p w14:paraId="159B5C4B" w14:textId="77777777" w:rsidR="009B44C3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 xml:space="preserve">ГУИОН [Электронный ресурс]. – Режим доступа: https://guion.spb.ru/. – Дата доступа: </w:t>
      </w:r>
      <w:r w:rsidRPr="003E1232">
        <w:rPr>
          <w:rFonts w:ascii="Times New Roman" w:hAnsi="Times New Roman" w:cs="Times New Roman"/>
          <w:noProof/>
          <w:sz w:val="28"/>
        </w:rPr>
        <w:t>15</w:t>
      </w:r>
      <w:r w:rsidRPr="000B6419">
        <w:rPr>
          <w:rFonts w:ascii="Times New Roman" w:hAnsi="Times New Roman" w:cs="Times New Roman"/>
          <w:noProof/>
          <w:sz w:val="28"/>
        </w:rPr>
        <w:t>.09.24.</w:t>
      </w:r>
    </w:p>
    <w:p w14:paraId="043072D4" w14:textId="77777777" w:rsidR="009B44C3" w:rsidRPr="003E1232" w:rsidRDefault="009B44C3" w:rsidP="009B44C3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3E1232">
        <w:rPr>
          <w:rFonts w:ascii="Times New Roman" w:hAnsi="Times New Roman" w:cs="Times New Roman"/>
          <w:noProof/>
          <w:sz w:val="28"/>
        </w:rPr>
        <w:lastRenderedPageBreak/>
        <w:t>Мудрова, С. В. Воздействие некоторых факторов на ценообразование на рынке недвижимости российских мегаполисов / С. В. Мудрова // Геоэкономика энергетики. – 2024. № 26. – С. 138-156</w:t>
      </w:r>
    </w:p>
    <w:p w14:paraId="51B1F0BA" w14:textId="77777777" w:rsidR="009B44C3" w:rsidRPr="000B6419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CD55FA">
        <w:rPr>
          <w:rFonts w:ascii="Times New Roman" w:hAnsi="Times New Roman" w:cs="Times New Roman"/>
          <w:noProof/>
          <w:sz w:val="28"/>
        </w:rPr>
        <w:t xml:space="preserve">Investment Russia [Электронный ресурс]. – Режим доступа: https://ibcrealestate.ru/upload/iblock/c52/4ooc33rvadk4czxpmnca415wis5sfsv5/IBC_Q12024_Invest_Russia_Final_2pdf.com_edit_metadata-_2_.pdf. – Дата доступа: </w:t>
      </w:r>
      <w:r w:rsidRPr="003E1232">
        <w:rPr>
          <w:rFonts w:ascii="Times New Roman" w:hAnsi="Times New Roman" w:cs="Times New Roman"/>
          <w:noProof/>
          <w:sz w:val="28"/>
        </w:rPr>
        <w:t>15</w:t>
      </w:r>
      <w:r w:rsidRPr="00CD55FA">
        <w:rPr>
          <w:rFonts w:ascii="Times New Roman" w:hAnsi="Times New Roman" w:cs="Times New Roman"/>
          <w:noProof/>
          <w:sz w:val="28"/>
        </w:rPr>
        <w:t>.09.24.</w:t>
      </w:r>
    </w:p>
    <w:p w14:paraId="326CF4E0" w14:textId="77777777" w:rsidR="009B44C3" w:rsidRPr="000B6419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 xml:space="preserve">ГБУ «ГУИОН»,  ПРОГНОЗ развития рынка аренды нежилых помещений в Санкт-Петербурге на период 2024-2026 годов /  ГБУ «ГУИОН». – СПБ : ГБУ «ГУИОН», 2024. – 41 с. </w:t>
      </w:r>
    </w:p>
    <w:p w14:paraId="18FAFF08" w14:textId="77777777" w:rsidR="009B44C3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0B6419">
        <w:rPr>
          <w:rFonts w:ascii="Times New Roman" w:hAnsi="Times New Roman" w:cs="Times New Roman"/>
          <w:noProof/>
          <w:sz w:val="28"/>
        </w:rPr>
        <w:t xml:space="preserve">CRE.ru [Электронный ресурс]. – Режим доступа: https://cre.ru/analytics/92536. – Дата доступа: </w:t>
      </w:r>
      <w:r w:rsidRPr="000573D7">
        <w:rPr>
          <w:rFonts w:ascii="Times New Roman" w:hAnsi="Times New Roman" w:cs="Times New Roman"/>
          <w:noProof/>
          <w:sz w:val="28"/>
        </w:rPr>
        <w:t>20</w:t>
      </w:r>
      <w:r w:rsidRPr="000B6419">
        <w:rPr>
          <w:rFonts w:ascii="Times New Roman" w:hAnsi="Times New Roman" w:cs="Times New Roman"/>
          <w:noProof/>
          <w:sz w:val="28"/>
        </w:rPr>
        <w:t>.09.24.</w:t>
      </w:r>
    </w:p>
    <w:p w14:paraId="70169E96" w14:textId="77777777" w:rsidR="009B44C3" w:rsidRPr="00FA4B5C" w:rsidRDefault="009B44C3" w:rsidP="009B44C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</w:rPr>
      </w:pPr>
      <w:r w:rsidRPr="00FA4B5C">
        <w:rPr>
          <w:rFonts w:ascii="Times New Roman" w:hAnsi="Times New Roman" w:cs="Times New Roman"/>
          <w:noProof/>
          <w:sz w:val="28"/>
        </w:rPr>
        <w:t>Сергеева, Н. В. Оценка эффективности инвестиций в коммерческую недвижимость (на примере США, ОАЭ и России) / Н. В. Сереева // Мировая экономика и мировые финансы. – 2024. – Т. 3, № 3. – С. 19-2</w:t>
      </w:r>
      <w:r>
        <w:rPr>
          <w:rFonts w:ascii="Times New Roman" w:hAnsi="Times New Roman" w:cs="Times New Roman"/>
          <w:noProof/>
          <w:sz w:val="28"/>
        </w:rPr>
        <w:t>8.</w:t>
      </w:r>
    </w:p>
    <w:p w14:paraId="6B04AB0E" w14:textId="543A2645" w:rsidR="00DC3001" w:rsidRDefault="00DC3001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F2E501A" w14:textId="77777777" w:rsidR="009B44C3" w:rsidRPr="006831BD" w:rsidRDefault="009B44C3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4C3" w:rsidRPr="006831BD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80274" w14:textId="77777777" w:rsidR="0072623C" w:rsidRDefault="0072623C" w:rsidP="003F5EC0">
      <w:pPr>
        <w:spacing w:after="0" w:line="240" w:lineRule="auto"/>
      </w:pPr>
      <w:r>
        <w:separator/>
      </w:r>
    </w:p>
  </w:endnote>
  <w:endnote w:type="continuationSeparator" w:id="0">
    <w:p w14:paraId="7A93F262" w14:textId="77777777" w:rsidR="0072623C" w:rsidRDefault="0072623C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50000" w14:textId="77777777" w:rsidR="0072623C" w:rsidRDefault="0072623C" w:rsidP="003F5EC0">
      <w:pPr>
        <w:spacing w:after="0" w:line="240" w:lineRule="auto"/>
      </w:pPr>
      <w:r>
        <w:separator/>
      </w:r>
    </w:p>
  </w:footnote>
  <w:footnote w:type="continuationSeparator" w:id="0">
    <w:p w14:paraId="4C111F39" w14:textId="77777777" w:rsidR="0072623C" w:rsidRDefault="0072623C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</w:t>
      </w:r>
      <w:proofErr w:type="spellStart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РусАльянс</w:t>
      </w:r>
      <w:proofErr w:type="spellEnd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  <w:proofErr w:type="spellEnd"/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E17BD"/>
    <w:multiLevelType w:val="hybridMultilevel"/>
    <w:tmpl w:val="BA40A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0D0075"/>
    <w:rsid w:val="00173E73"/>
    <w:rsid w:val="001F3ED8"/>
    <w:rsid w:val="00306BD4"/>
    <w:rsid w:val="003C7D7F"/>
    <w:rsid w:val="003F5EC0"/>
    <w:rsid w:val="004150DF"/>
    <w:rsid w:val="00462A90"/>
    <w:rsid w:val="00473563"/>
    <w:rsid w:val="004E620C"/>
    <w:rsid w:val="00501619"/>
    <w:rsid w:val="005525B4"/>
    <w:rsid w:val="005F7964"/>
    <w:rsid w:val="00601F1D"/>
    <w:rsid w:val="0060610A"/>
    <w:rsid w:val="006401B0"/>
    <w:rsid w:val="0064167B"/>
    <w:rsid w:val="00675CEF"/>
    <w:rsid w:val="00676EFC"/>
    <w:rsid w:val="006831BD"/>
    <w:rsid w:val="006E1E7C"/>
    <w:rsid w:val="007055CC"/>
    <w:rsid w:val="0072623C"/>
    <w:rsid w:val="00753679"/>
    <w:rsid w:val="0078763F"/>
    <w:rsid w:val="007A65F2"/>
    <w:rsid w:val="007C75EA"/>
    <w:rsid w:val="007F5B8D"/>
    <w:rsid w:val="00826DDB"/>
    <w:rsid w:val="00881DFC"/>
    <w:rsid w:val="00942FC2"/>
    <w:rsid w:val="009576E7"/>
    <w:rsid w:val="0097064E"/>
    <w:rsid w:val="009B44C3"/>
    <w:rsid w:val="00AA15EE"/>
    <w:rsid w:val="00B1290A"/>
    <w:rsid w:val="00B63222"/>
    <w:rsid w:val="00C251C8"/>
    <w:rsid w:val="00C40111"/>
    <w:rsid w:val="00CB6E16"/>
    <w:rsid w:val="00D62DBA"/>
    <w:rsid w:val="00DC3001"/>
    <w:rsid w:val="00E2072A"/>
    <w:rsid w:val="00E66BEA"/>
    <w:rsid w:val="00EB40F1"/>
    <w:rsid w:val="00ED02F1"/>
    <w:rsid w:val="00F55CDD"/>
    <w:rsid w:val="00F873A9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9B44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91;&#1095;&#1077;&#1073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261919487496654"/>
          <c:y val="0.19912205471469765"/>
          <c:w val="0.23198542298601632"/>
          <c:h val="0.7080177501531473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AC-4B7A-B0E0-1AE3B842A9A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AC-4B7A-B0E0-1AE3B842A9A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AC-4B7A-B0E0-1AE3B842A9A1}"/>
              </c:ext>
            </c:extLst>
          </c:dPt>
          <c:dLbls>
            <c:dLbl>
              <c:idx val="0"/>
              <c:layout>
                <c:manualLayout>
                  <c:x val="0.18955973266335988"/>
                  <c:y val="-6.48149531593180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B720E3A-4E9C-41A4-B49B-01FE61CD8585}" type="CATEGORYNAME">
                      <a:rPr lang="ru-RU"/>
                      <a:pPr>
                        <a:defRPr sz="1100" b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baseline="0"/>
                  </a:p>
                  <a:p>
                    <a:pPr>
                      <a:defRPr sz="1100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ru-RU" baseline="0"/>
                  </a:p>
                  <a:p>
                    <a:pPr>
                      <a:defRPr sz="1100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baseline="0"/>
                      <a:t> </a:t>
                    </a:r>
                    <a:fld id="{E3882AB0-1C52-4BAB-9721-E8B5933280C4}" type="PERCENTAGE">
                      <a:rPr lang="ru-RU" baseline="0"/>
                      <a:pPr>
                        <a:defRPr sz="1100" b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AC-4B7A-B0E0-1AE3B842A9A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6081158671109838"/>
                  <c:y val="-3.53676283823155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53632C4-D5DB-4ACC-8EDC-EE81E3153A8A}" type="CATEGORYNAME">
                      <a:rPr lang="ru-RU"/>
                      <a:pPr>
                        <a:defRPr sz="1100" b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 </a:t>
                    </a:r>
                  </a:p>
                  <a:p>
                    <a:pPr>
                      <a:defRPr sz="1100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ru-RU" baseline="0"/>
                  </a:p>
                  <a:p>
                    <a:pPr>
                      <a:defRPr sz="1100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E7127A44-9F2D-40B8-BA92-B7C16AC83AEE}" type="PERCENTAGE">
                      <a:rPr lang="ru-RU" baseline="0"/>
                      <a:pPr>
                        <a:defRPr sz="1100" b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0AC-4B7A-B0E0-1AE3B842A9A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444444444444443"/>
                  <c:y val="7.4074074074074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4B5142E-A55D-4BB9-B82A-3FC183F8B75F}" type="CATEGORYNAME">
                      <a:rPr lang="ru-RU"/>
                      <a:pPr>
                        <a:defRPr sz="1100" b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endParaRPr lang="ru-RU" baseline="0"/>
                  </a:p>
                  <a:p>
                    <a:pPr>
                      <a:defRPr sz="1100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baseline="0"/>
                      <a:t> </a:t>
                    </a:r>
                  </a:p>
                  <a:p>
                    <a:pPr>
                      <a:defRPr sz="1100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D8663A55-771C-4EA3-B014-D169CCED57C5}" type="PERCENTAGE">
                      <a:rPr lang="ru-RU" baseline="0"/>
                      <a:pPr>
                        <a:defRPr sz="1100" b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0AC-4B7A-B0E0-1AE3B842A9A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[учеба.xlsx]Лист1!$B$4:$D$4</c:f>
              <c:strCache>
                <c:ptCount val="3"/>
                <c:pt idx="0">
                  <c:v>Удаленные районы</c:v>
                </c:pt>
                <c:pt idx="1">
                  <c:v>Центральные районы</c:v>
                </c:pt>
                <c:pt idx="2">
                  <c:v>Спальные районы</c:v>
                </c:pt>
              </c:strCache>
            </c:strRef>
          </c:cat>
          <c:val>
            <c:numRef>
              <c:f>[учеба.xlsx]Лист1!$B$5:$D$5</c:f>
              <c:numCache>
                <c:formatCode>General</c:formatCode>
                <c:ptCount val="3"/>
                <c:pt idx="0">
                  <c:v>50.8</c:v>
                </c:pt>
                <c:pt idx="1">
                  <c:v>37.6</c:v>
                </c:pt>
                <c:pt idx="2">
                  <c:v>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0AC-4B7A-B0E0-1AE3B842A9A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16</cp:revision>
  <cp:lastPrinted>2024-09-19T08:17:00Z</cp:lastPrinted>
  <dcterms:created xsi:type="dcterms:W3CDTF">2024-10-10T12:00:00Z</dcterms:created>
  <dcterms:modified xsi:type="dcterms:W3CDTF">2024-10-10T12:30:00Z</dcterms:modified>
</cp:coreProperties>
</file>