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E64E" w14:textId="77777777" w:rsidR="00244C48" w:rsidRDefault="00000000">
      <w:pPr>
        <w:pBdr>
          <w:bottom w:val="single" w:sz="4" w:space="1" w:color="000000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</w:t>
      </w:r>
    </w:p>
    <w:p w14:paraId="54D30EBC" w14:textId="77777777" w:rsidR="00244C48" w:rsidRDefault="00000000">
      <w:pPr>
        <w:pBdr>
          <w:bottom w:val="single" w:sz="4" w:space="1" w:color="000000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ОБРАЗОВАТЕЛЬНОЕ УЧЕРЕЖДЕНИЕ ВЫСШЕГО ОБРАЗОВАНИЯ</w:t>
      </w:r>
    </w:p>
    <w:p w14:paraId="3FE91851" w14:textId="77777777" w:rsidR="00244C48" w:rsidRDefault="00000000">
      <w:pPr>
        <w:pBdr>
          <w:bottom w:val="single" w:sz="4" w:space="1" w:color="000000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«НАЦИОНАЛЬНЫЙ ГОСУДАРСТВЕННЫЙ УНИВЕРСИТЕТ ФИЗИЧЕСКОЙ КУЛЬТУРЫ, СПОРТА И ЗДОРОВЬЯ</w:t>
      </w:r>
    </w:p>
    <w:p w14:paraId="6C56A2FB" w14:textId="77777777" w:rsidR="00244C48" w:rsidRDefault="00000000">
      <w:pPr>
        <w:pBdr>
          <w:bottom w:val="single" w:sz="4" w:space="1" w:color="000000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ИМЕНИ П.Ф ЛЕСГАФТА, САНКТ-ПЕТЕРБУРГ»</w:t>
      </w:r>
    </w:p>
    <w:p w14:paraId="52B762EE" w14:textId="77777777" w:rsidR="00244C48" w:rsidRDefault="00244C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5B2617" w14:textId="77777777" w:rsidR="00244C48" w:rsidRDefault="00244C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D13432" w14:textId="77777777" w:rsidR="00244C48" w:rsidRDefault="00244C48">
      <w:pPr>
        <w:pStyle w:val="af0"/>
        <w:spacing w:beforeAutospacing="0" w:after="0" w:afterAutospacing="0"/>
        <w:jc w:val="center"/>
      </w:pPr>
    </w:p>
    <w:p w14:paraId="2BCC34F6" w14:textId="77777777" w:rsidR="00244C48" w:rsidRDefault="00244C48">
      <w:pPr>
        <w:pStyle w:val="af0"/>
        <w:spacing w:beforeAutospacing="0" w:after="0" w:afterAutospacing="0"/>
        <w:jc w:val="center"/>
      </w:pPr>
    </w:p>
    <w:p w14:paraId="54189031" w14:textId="77777777" w:rsidR="00244C48" w:rsidRDefault="00244C48">
      <w:pPr>
        <w:pStyle w:val="af0"/>
        <w:spacing w:beforeAutospacing="0" w:after="0" w:afterAutospacing="0"/>
        <w:jc w:val="center"/>
      </w:pPr>
    </w:p>
    <w:p w14:paraId="4D6084F0" w14:textId="77777777" w:rsidR="00244C48" w:rsidRDefault="00244C48">
      <w:pPr>
        <w:pStyle w:val="af0"/>
        <w:spacing w:beforeAutospacing="0" w:after="0" w:afterAutospacing="0"/>
        <w:jc w:val="center"/>
      </w:pPr>
    </w:p>
    <w:p w14:paraId="0AD8BC90" w14:textId="77777777" w:rsidR="00244C48" w:rsidRDefault="00000000">
      <w:pPr>
        <w:pStyle w:val="a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Доклад</w:t>
      </w:r>
    </w:p>
    <w:p w14:paraId="37C69DD4" w14:textId="77777777" w:rsidR="00244C48" w:rsidRDefault="00244C48">
      <w:pPr>
        <w:pStyle w:val="a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59A1ACB9" w14:textId="77777777" w:rsidR="00244C48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СОВЕРШЕНСТВОВАНИЕ ПРЯМОГО НАПАДАЮЩЕГО УДАРА </w:t>
      </w:r>
    </w:p>
    <w:p w14:paraId="2A6C25D3" w14:textId="77777777" w:rsidR="00244C48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>У ВОЛЕЙБОЛИСТОВ 12-13 ЛЕТ НА ОСНОВЕ РАЗВИТИЯ ЛОВКОСТИ</w:t>
      </w:r>
    </w:p>
    <w:p w14:paraId="11F3E9B8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5559F80E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778E2479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231A2BAC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3E0A26BF" w14:textId="77777777" w:rsidR="00244C4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Направление подготовки 49.03.04 – Спорт</w:t>
      </w:r>
    </w:p>
    <w:p w14:paraId="267D4F3F" w14:textId="77777777" w:rsidR="00244C4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Направленность (профиль) образовательной программы:</w:t>
      </w:r>
    </w:p>
    <w:p w14:paraId="3055DFE8" w14:textId="77777777" w:rsidR="00244C48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Тренерско-преподавательская деятельность в ИВС (волейбол)</w:t>
      </w:r>
    </w:p>
    <w:p w14:paraId="697B8DB6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43F8756E" w14:textId="77777777" w:rsidR="00244C48" w:rsidRDefault="00244C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BDCF89" w14:textId="77777777" w:rsidR="00244C48" w:rsidRDefault="00244C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CF74B0" w14:textId="77777777" w:rsidR="00244C48" w:rsidRDefault="00244C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BC6D6F" w14:textId="77777777" w:rsidR="00244C48" w:rsidRDefault="00244C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1BF31EF" w14:textId="77777777" w:rsidR="00244C48" w:rsidRDefault="00000000">
      <w:pPr>
        <w:tabs>
          <w:tab w:val="left" w:pos="3686"/>
          <w:tab w:val="left" w:pos="382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Выполнил:</w:t>
      </w:r>
    </w:p>
    <w:p w14:paraId="4EEB8C45" w14:textId="77777777" w:rsidR="00244C48" w:rsidRDefault="0000000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      Зубок Мария Александровна,</w:t>
      </w:r>
    </w:p>
    <w:p w14:paraId="3D710304" w14:textId="77777777" w:rsidR="00244C48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                                 студентка бакалавриата, 4 курс, 408 группа,</w:t>
      </w:r>
    </w:p>
    <w:p w14:paraId="338D8306" w14:textId="77777777" w:rsidR="00244C4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                               кафедра теории и методики спортивных игр</w:t>
      </w:r>
    </w:p>
    <w:p w14:paraId="56E85D76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2B56615E" w14:textId="77777777" w:rsidR="00244C48" w:rsidRDefault="00000000">
      <w:pPr>
        <w:tabs>
          <w:tab w:val="left" w:pos="3686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Научный руководитель:</w:t>
      </w:r>
    </w:p>
    <w:p w14:paraId="2BE22366" w14:textId="77777777" w:rsidR="00244C48" w:rsidRDefault="00000000">
      <w:pPr>
        <w:tabs>
          <w:tab w:val="left" w:pos="3686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                              Луткова Наталия Валерьевна, д-р пед. наук,</w:t>
      </w:r>
    </w:p>
    <w:p w14:paraId="1D74C823" w14:textId="77777777" w:rsidR="00244C48" w:rsidRDefault="00000000">
      <w:pPr>
        <w:tabs>
          <w:tab w:val="left" w:pos="3686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                   доцент, профессор кафедры теории и</w:t>
      </w:r>
    </w:p>
    <w:p w14:paraId="242EB684" w14:textId="77777777" w:rsidR="00244C48" w:rsidRDefault="00000000">
      <w:pPr>
        <w:tabs>
          <w:tab w:val="left" w:pos="3686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методики спортивных игр</w:t>
      </w:r>
    </w:p>
    <w:p w14:paraId="2F1CAA97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79C92504" w14:textId="77777777" w:rsidR="00244C48" w:rsidRDefault="00244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349DF334" w14:textId="77777777" w:rsidR="00244C48" w:rsidRDefault="00244C4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2A87E955" w14:textId="77777777" w:rsidR="00244C48" w:rsidRDefault="00244C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3B0F3ABF" w14:textId="77777777" w:rsidR="00244C48" w:rsidRDefault="00244C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524D7532" w14:textId="77777777" w:rsidR="00244C48" w:rsidRDefault="00244C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0095E7C5" w14:textId="77777777" w:rsidR="00244C48" w:rsidRDefault="0000000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Санкт-Петербург, 2025 </w:t>
      </w:r>
    </w:p>
    <w:p w14:paraId="11E91390" w14:textId="77777777" w:rsidR="00244C48" w:rsidRDefault="00244C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</w:p>
    <w:p w14:paraId="35A0281F" w14:textId="77777777" w:rsidR="00244C48" w:rsidRDefault="000000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Доклад</w:t>
      </w:r>
    </w:p>
    <w:p w14:paraId="5C300411" w14:textId="77777777" w:rsidR="00244C48" w:rsidRDefault="00244C48">
      <w:pPr>
        <w:spacing w:after="0" w:line="276" w:lineRule="auto"/>
        <w:jc w:val="center"/>
      </w:pPr>
    </w:p>
    <w:p w14:paraId="3918D765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Федерального стандарта спортивной подготовки по волейболу значительно увеличилось количество часов на соревновательную подготовку волейболистов. Это повышает требования к эффективности выполнения всех технических приемов игры волейбол, одним из которых является </w:t>
      </w:r>
      <w:r>
        <w:rPr>
          <w:rFonts w:ascii="Times New Roman" w:hAnsi="Times New Roman" w:cs="Times New Roman"/>
          <w:color w:val="000000"/>
          <w:sz w:val="28"/>
        </w:rPr>
        <w:t>прямой нападающий удар. Нападающий удар - это технический прием атаки, заключающийся в перебивании мяча одной рукой на сторону соперника, выше верхнего края сетки.</w:t>
      </w:r>
    </w:p>
    <w:p w14:paraId="090C01A8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Одним из ведущих показателей подготовленности волейболистов к выполнению нападающего удара  является ловкость. Ловкость в волейболе имеет особенную важность, т.к. этот вид спорта отличается сложной техникой и непрерывно изменяющимися игровыми условиями.</w:t>
      </w:r>
    </w:p>
    <w:p w14:paraId="2CA833D8" w14:textId="77777777" w:rsidR="00244C48" w:rsidRDefault="00000000">
      <w:pPr>
        <w:widowControl w:val="0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В современной научной литературе по волейболу достаточно подробно раскрыты характеристики прямого нападающего удара, определены средства и методы обучения прямому нападающему удару, критерии оценки эффективности выполнения прямого нападающего удара волейболистами 12-13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соревновательной деятельности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подробно раскрыты вопросы характеристики ловкости, средства и методы ее развития и содержание контрольных нормативов по определению показателей ловкости. </w:t>
      </w:r>
      <w:r>
        <w:rPr>
          <w:rFonts w:ascii="Times New Roman" w:hAnsi="Times New Roman" w:cs="Times New Roman"/>
          <w:color w:val="000000"/>
          <w:sz w:val="28"/>
        </w:rPr>
        <w:t xml:space="preserve">Однако, вопрос совершенствования прямого нападающего удара у волейболистов 12-13 лет на основе развития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предметной, телесной и смешанной ловкости</w:t>
      </w:r>
      <w:r>
        <w:rPr>
          <w:rFonts w:ascii="Times New Roman" w:hAnsi="Times New Roman" w:cs="Times New Roman"/>
          <w:color w:val="000000"/>
          <w:sz w:val="28"/>
        </w:rPr>
        <w:t xml:space="preserve"> представляется наименее изученным.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выбор темы является актуальным.</w:t>
      </w:r>
    </w:p>
    <w:p w14:paraId="4BD9A695" w14:textId="77777777" w:rsidR="00244C48" w:rsidRDefault="00000000">
      <w:pPr>
        <w:widowControl w:val="0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исследования заключается в противоречии между </w:t>
      </w:r>
      <w:r>
        <w:rPr>
          <w:rFonts w:ascii="Times New Roman" w:hAnsi="Times New Roman" w:cs="Times New Roman"/>
          <w:color w:val="000000"/>
          <w:sz w:val="28"/>
        </w:rPr>
        <w:t xml:space="preserve">необходимостью повышения показателей эффективности прямого нападающего удара у волейболистов 12-13 лет и ограниченными возможностями существующей теории обеспечить реализацию этих требований. Такое противоречие является отличительным признаком существования научной проблемы. </w:t>
      </w:r>
    </w:p>
    <w:p w14:paraId="77D8760C" w14:textId="77777777" w:rsidR="00244C48" w:rsidRDefault="00000000">
      <w:pPr>
        <w:widowControl w:val="0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Объект исследования: тренировочный процесс с волейболистами 12-13 лет, направленный на повышение эффективности выполнения прямого нападающего удара.</w:t>
      </w:r>
    </w:p>
    <w:p w14:paraId="463594FB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Предмет исследования: средства тренировочного процесса, предусматривающие развитие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предметной, телесной и смешанной </w:t>
      </w:r>
      <w:r>
        <w:rPr>
          <w:rFonts w:ascii="Times New Roman" w:hAnsi="Times New Roman" w:cs="Times New Roman"/>
          <w:color w:val="000000"/>
          <w:sz w:val="28"/>
        </w:rPr>
        <w:t>ловкости для повышения эффективности выполнения прямого нападающего удара волейболистами 12-13 лет.</w:t>
      </w:r>
    </w:p>
    <w:p w14:paraId="10A14D4F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исследовании, проводимом на базе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СШОР «Экран» и СШОР Василеостровского района г. Санкт-Петербурга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предполагалось, что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включение в тренировочный процесс средств, направленных на развитие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предметной, телесной и смешанной </w:t>
      </w:r>
      <w:r>
        <w:rPr>
          <w:rFonts w:ascii="Times New Roman" w:eastAsia="Calibri" w:hAnsi="Times New Roman" w:cs="Times New Roman"/>
          <w:color w:val="000000"/>
          <w:sz w:val="28"/>
        </w:rPr>
        <w:t>ловкости, позволит повысить эффективность выполнения прямого нападающего удара у волейболистов 12-13 лет.</w:t>
      </w:r>
    </w:p>
    <w:p w14:paraId="171F874D" w14:textId="77777777" w:rsidR="00244C48" w:rsidRDefault="00000000">
      <w:pPr>
        <w:tabs>
          <w:tab w:val="left" w:pos="2955"/>
        </w:tabs>
        <w:spacing w:after="0" w:line="360" w:lineRule="auto"/>
        <w:ind w:firstLine="73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исследовании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 спортсменов 12-13 лет, занимающихся волейболом в различных секциях города Санкт-Петербурга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 волейболиста 12-13 лет, занимающихся волейболом в СШОР. </w:t>
      </w:r>
    </w:p>
    <w:p w14:paraId="2F963FE8" w14:textId="77777777" w:rsidR="00244C48" w:rsidRDefault="00000000">
      <w:pPr>
        <w:spacing w:after="0"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Цель исследования: совершенствование тренировочного процесса, направленного на повышение эффективности выполнения прямого нападающего удара у волейболистов 12-13 лет на основе заданий, направленных на развитие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предметной, телесной и смешанной </w:t>
      </w:r>
      <w:r>
        <w:rPr>
          <w:rFonts w:ascii="Times New Roman" w:hAnsi="Times New Roman" w:cs="Times New Roman"/>
          <w:color w:val="000000"/>
          <w:sz w:val="28"/>
        </w:rPr>
        <w:t>ловкости.</w:t>
      </w:r>
    </w:p>
    <w:p w14:paraId="321E8432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были определены 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hAnsi="Times New Roman" w:cs="Times New Roman"/>
          <w:color w:val="000000"/>
          <w:sz w:val="28"/>
        </w:rPr>
        <w:t>:</w:t>
      </w:r>
    </w:p>
    <w:p w14:paraId="57C22EA1" w14:textId="77777777" w:rsidR="00244C48" w:rsidRDefault="000000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Определить показатели эффективности выполнения прямого нападающего удара у волейболистов 12-13 лет.</w:t>
      </w:r>
    </w:p>
    <w:p w14:paraId="4F83C6BB" w14:textId="77777777" w:rsidR="00244C48" w:rsidRDefault="000000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Определить показатели подготовленности волейболистов 12-13 лет, влияющие на выполнение прямого нападающего удара.</w:t>
      </w:r>
    </w:p>
    <w:p w14:paraId="0D6BD186" w14:textId="77777777" w:rsidR="00244C48" w:rsidRDefault="000000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Разработать критерии оценки ловкости для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спортсменов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возрастной категории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12-13 лет на основе выполнения заданий в привычных и непривычных условиях.</w:t>
      </w:r>
    </w:p>
    <w:p w14:paraId="7C51B022" w14:textId="77777777" w:rsidR="00244C48" w:rsidRDefault="000000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</w:rPr>
      </w:pPr>
      <w:r>
        <w:rPr>
          <w:rFonts w:ascii="Times New Roman" w:eastAsiaTheme="minorHAnsi" w:hAnsi="Times New Roman" w:cs="Times New Roman"/>
          <w:color w:val="000000"/>
          <w:sz w:val="28"/>
          <w:lang w:eastAsia="en-US"/>
        </w:rPr>
        <w:t xml:space="preserve">Разработать содержание заданий, направленных на развитие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предметной, телесной и смешанной </w:t>
      </w:r>
      <w:r>
        <w:rPr>
          <w:rFonts w:ascii="Times New Roman" w:eastAsiaTheme="minorHAnsi" w:hAnsi="Times New Roman" w:cs="Times New Roman"/>
          <w:color w:val="000000"/>
          <w:sz w:val="28"/>
          <w:lang w:eastAsia="en-US"/>
        </w:rPr>
        <w:t xml:space="preserve">ловкости для совершенствования </w:t>
      </w:r>
      <w:r>
        <w:rPr>
          <w:rFonts w:ascii="Times New Roman" w:eastAsiaTheme="minorHAnsi" w:hAnsi="Times New Roman" w:cs="Times New Roman"/>
          <w:color w:val="000000"/>
          <w:sz w:val="28"/>
          <w:lang w:eastAsia="en-US"/>
        </w:rPr>
        <w:lastRenderedPageBreak/>
        <w:t>прямого нападающего удара у волейболистов 12-13 лет, и выявить динамику показателей за период эксперимента.</w:t>
      </w:r>
    </w:p>
    <w:p w14:paraId="64DEF9DE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поставленных задач использовались пять методов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исследования: </w:t>
      </w:r>
      <w:r>
        <w:rPr>
          <w:rFonts w:ascii="Times New Roman" w:hAnsi="Times New Roman" w:cs="Times New Roman"/>
          <w:color w:val="000000"/>
          <w:sz w:val="28"/>
        </w:rPr>
        <w:t>1. Теоретический анализ и обобщение литературных источников. 2. Педагогическое наблюдение.</w:t>
      </w:r>
      <w:r>
        <w:rPr>
          <w:rFonts w:ascii="Times New Roman" w:hAnsi="Times New Roman" w:cs="Times New Roman"/>
          <w:color w:val="000000"/>
          <w:sz w:val="28"/>
        </w:rPr>
        <w:tab/>
        <w:t>3. Спортивно - педагогическое тестирование. 4. Педагогический эксперимент. 5. Методы математической обработки результатов исследования.</w:t>
      </w:r>
    </w:p>
    <w:p w14:paraId="59249AAE" w14:textId="77777777" w:rsidR="00244C48" w:rsidRDefault="00000000">
      <w:pPr>
        <w:pStyle w:val="docdata"/>
        <w:spacing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Для проведения исследования была изучена специальная и методическая литература, позволяющая выявить проблему исследования.</w:t>
      </w:r>
    </w:p>
    <w:p w14:paraId="6C4EE7AA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первой задачи исследования нами было проведено педагогическое наблюдение в ходе соревновательной деятельности двух команд с целью определения показателей эффективности выполнения спортсменами прямого нападающего удара. </w:t>
      </w:r>
    </w:p>
    <w:p w14:paraId="2A1A5886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Определено, что у волейболистов двух групп показатель выигрыша нападающего удара в ходе 5 игр соответствует модельным показателям (40%) для данного возраста (показатель в команде  «А» составляет 40,3±0,39%, в команде «Б» 40,6±0,29%). </w:t>
      </w:r>
    </w:p>
    <w:p w14:paraId="4FC2D895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проигрыша в двух группах при выполнении прямого нападающего удара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соответствует модельным требованиям (25%) для данного возраста. (Показатель в команде «А» составляет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24,9±0,39%,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команде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«Б» </w:t>
      </w:r>
      <w:r>
        <w:rPr>
          <w:rFonts w:ascii="Times New Roman" w:hAnsi="Times New Roman" w:cs="Times New Roman"/>
          <w:color w:val="000000"/>
          <w:sz w:val="28"/>
          <w:szCs w:val="28"/>
        </w:rPr>
        <w:t>25,11±0,29%).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00FBA60C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показателей эффективности и ошибок выполнения прямого нападающего удара волейболистами двух групп свидетельствует, что показатели в группах не имеют статистически достоверных различий (на уровне значимости 0,05). Группы являются однородными. </w:t>
      </w:r>
    </w:p>
    <w:p w14:paraId="511DCCA3" w14:textId="77777777" w:rsidR="00244C48" w:rsidRDefault="00000000">
      <w:pPr>
        <w:pStyle w:val="docdata"/>
        <w:spacing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Для решения второй задачи исследования нами было проведено спортивно-педагогическое тестирование, состоящее из десяти контрольных упражнений для определения показателей, влияющих на выполнение прямого нападающего удара. У волейболистов 12-13 лет определялись показатели физической, технической и тактической подготовленности.</w:t>
      </w:r>
    </w:p>
    <w:p w14:paraId="7F405E7B" w14:textId="77777777" w:rsidR="00244C48" w:rsidRDefault="00000000">
      <w:pPr>
        <w:pStyle w:val="docdata"/>
        <w:spacing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Результатов свидетельствуют, что все показатели подготовленности в двух группах соответствует программным требованиям, предусмотренными для групп УТЭ-2, и не имеют статистически достоверных различий.  </w:t>
      </w:r>
    </w:p>
    <w:p w14:paraId="6375951C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третьей задачи, для разработки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критериев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оценки ловкости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спортсменов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возрастной категории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12-13 лет, 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спортивно-педагогического тестирования были включены контрольные упражнения (тесты), выполняемые в привычных и непривычных условиях.</w:t>
      </w:r>
    </w:p>
    <w:p w14:paraId="30E639E6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привычных для волейболистов условиях выполнялись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двигательные действия: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Бег 30метров; Ходьба по линии 7 метров с открытыми глазами;  Прыжок в длину с места лицом вперед.</w:t>
      </w:r>
    </w:p>
    <w:p w14:paraId="0B480785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непривычных для волейболистов условиях выполнялись следующие двигательные действия: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Прыжок в длину с места спиной вперед; Челночный бег 3х10метров; Ходьба по линии 7 метров с закрытыми глазами. </w:t>
      </w:r>
    </w:p>
    <w:p w14:paraId="6555406C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bookmarkStart w:id="0" w:name="_Hlk4314683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результатов тестирования свидетельствует, что в обследуемой группе спортсменов, занимающихся волейболом в различных секциях города (n=100), показатели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бега 30 м., челночного бега 3х10 метров и прыжка в длину с места соответствуют требованиям ВФСК ГТО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ступени (мальчики 12-13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ступени (юноши 14-15 лет) (таблица 1). </w:t>
      </w:r>
      <w:bookmarkEnd w:id="0"/>
    </w:p>
    <w:p w14:paraId="1295578A" w14:textId="77777777" w:rsidR="00244C48" w:rsidRDefault="00000000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Таблица 1 - Показатели ловкости в привычных и непривычных условиях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 спортсменов возрастной категории 12-13 лет, занимающихся волейболом в различных секциях города (n=100)</w:t>
      </w:r>
    </w:p>
    <w:tbl>
      <w:tblPr>
        <w:tblStyle w:val="af4"/>
        <w:tblpPr w:leftFromText="180" w:rightFromText="180" w:vertAnchor="text" w:horzAnchor="margin" w:tblpX="108" w:tblpY="201"/>
        <w:tblW w:w="9360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519"/>
        <w:gridCol w:w="1545"/>
        <w:gridCol w:w="1793"/>
      </w:tblGrid>
      <w:tr w:rsidR="00244C48" w14:paraId="1D0D6720" w14:textId="77777777">
        <w:trPr>
          <w:trHeight w:val="557"/>
        </w:trPr>
        <w:tc>
          <w:tcPr>
            <w:tcW w:w="4503" w:type="dxa"/>
            <w:gridSpan w:val="2"/>
            <w:vAlign w:val="center"/>
          </w:tcPr>
          <w:p w14:paraId="064BF69E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упражнение</w:t>
            </w:r>
          </w:p>
        </w:tc>
        <w:tc>
          <w:tcPr>
            <w:tcW w:w="1519" w:type="dxa"/>
            <w:vAlign w:val="center"/>
          </w:tcPr>
          <w:p w14:paraId="2B40C8B1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Показатель в группе</w:t>
            </w:r>
          </w:p>
          <w:p w14:paraId="6F5FF81A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̅ ±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Sx</w:t>
            </w:r>
          </w:p>
        </w:tc>
        <w:tc>
          <w:tcPr>
            <w:tcW w:w="1545" w:type="dxa"/>
            <w:vAlign w:val="center"/>
          </w:tcPr>
          <w:p w14:paraId="4FBDFA6D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</w:t>
            </w:r>
          </w:p>
          <w:p w14:paraId="463D008A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ГТО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ст.)</w:t>
            </w:r>
          </w:p>
        </w:tc>
        <w:tc>
          <w:tcPr>
            <w:tcW w:w="1793" w:type="dxa"/>
            <w:vAlign w:val="center"/>
          </w:tcPr>
          <w:p w14:paraId="2D4A78EA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 ГТО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ст.)</w:t>
            </w:r>
          </w:p>
        </w:tc>
      </w:tr>
      <w:tr w:rsidR="00244C48" w14:paraId="7F346649" w14:textId="77777777">
        <w:trPr>
          <w:trHeight w:val="291"/>
        </w:trPr>
        <w:tc>
          <w:tcPr>
            <w:tcW w:w="1951" w:type="dxa"/>
            <w:vMerge w:val="restart"/>
            <w:vAlign w:val="center"/>
          </w:tcPr>
          <w:p w14:paraId="263A005B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 (с.)</w:t>
            </w:r>
          </w:p>
        </w:tc>
        <w:tc>
          <w:tcPr>
            <w:tcW w:w="2552" w:type="dxa"/>
            <w:vAlign w:val="center"/>
          </w:tcPr>
          <w:p w14:paraId="1A2C72B6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м.</w:t>
            </w:r>
          </w:p>
        </w:tc>
        <w:tc>
          <w:tcPr>
            <w:tcW w:w="1519" w:type="dxa"/>
            <w:vAlign w:val="center"/>
          </w:tcPr>
          <w:p w14:paraId="363966D1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5,19±0,11</w:t>
            </w:r>
          </w:p>
        </w:tc>
        <w:tc>
          <w:tcPr>
            <w:tcW w:w="1545" w:type="dxa"/>
            <w:vAlign w:val="center"/>
          </w:tcPr>
          <w:p w14:paraId="532A2A54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5,0-5,8</w:t>
            </w:r>
          </w:p>
        </w:tc>
        <w:tc>
          <w:tcPr>
            <w:tcW w:w="1793" w:type="dxa"/>
            <w:vAlign w:val="center"/>
          </w:tcPr>
          <w:p w14:paraId="13A6C085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4,6-5,4</w:t>
            </w:r>
          </w:p>
        </w:tc>
      </w:tr>
      <w:tr w:rsidR="00244C48" w14:paraId="1FFB3D14" w14:textId="77777777">
        <w:trPr>
          <w:trHeight w:val="132"/>
        </w:trPr>
        <w:tc>
          <w:tcPr>
            <w:tcW w:w="1951" w:type="dxa"/>
            <w:vMerge/>
            <w:vAlign w:val="center"/>
          </w:tcPr>
          <w:p w14:paraId="1844F2A9" w14:textId="77777777" w:rsidR="00244C48" w:rsidRDefault="00244C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1E05DA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челночный 3х10м.</w:t>
            </w:r>
          </w:p>
        </w:tc>
        <w:tc>
          <w:tcPr>
            <w:tcW w:w="1519" w:type="dxa"/>
            <w:vAlign w:val="center"/>
          </w:tcPr>
          <w:p w14:paraId="22D34879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7,73±0,16</w:t>
            </w:r>
          </w:p>
        </w:tc>
        <w:tc>
          <w:tcPr>
            <w:tcW w:w="1545" w:type="dxa"/>
            <w:vAlign w:val="center"/>
          </w:tcPr>
          <w:p w14:paraId="1E90205A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7,7-9,2</w:t>
            </w:r>
          </w:p>
        </w:tc>
        <w:tc>
          <w:tcPr>
            <w:tcW w:w="1793" w:type="dxa"/>
            <w:vAlign w:val="center"/>
          </w:tcPr>
          <w:p w14:paraId="1A35E0BC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7,1-8,2</w:t>
            </w:r>
          </w:p>
        </w:tc>
      </w:tr>
      <w:tr w:rsidR="00244C48" w14:paraId="0A201D06" w14:textId="77777777">
        <w:trPr>
          <w:trHeight w:val="277"/>
        </w:trPr>
        <w:tc>
          <w:tcPr>
            <w:tcW w:w="1951" w:type="dxa"/>
            <w:vMerge w:val="restart"/>
            <w:vAlign w:val="center"/>
          </w:tcPr>
          <w:p w14:paraId="0462E543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Прыжок в длину с места (м.)</w:t>
            </w:r>
          </w:p>
        </w:tc>
        <w:tc>
          <w:tcPr>
            <w:tcW w:w="2552" w:type="dxa"/>
            <w:vAlign w:val="center"/>
          </w:tcPr>
          <w:p w14:paraId="6101E945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лицом вперед</w:t>
            </w:r>
          </w:p>
        </w:tc>
        <w:tc>
          <w:tcPr>
            <w:tcW w:w="1519" w:type="dxa"/>
            <w:vAlign w:val="center"/>
          </w:tcPr>
          <w:p w14:paraId="215EE32C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188,16±5,58</w:t>
            </w:r>
          </w:p>
        </w:tc>
        <w:tc>
          <w:tcPr>
            <w:tcW w:w="1545" w:type="dxa"/>
            <w:vAlign w:val="center"/>
          </w:tcPr>
          <w:p w14:paraId="503DC010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183-147</w:t>
            </w:r>
          </w:p>
        </w:tc>
        <w:tc>
          <w:tcPr>
            <w:tcW w:w="1793" w:type="dxa"/>
            <w:vAlign w:val="center"/>
          </w:tcPr>
          <w:p w14:paraId="6BFDFEAD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218-167</w:t>
            </w:r>
          </w:p>
        </w:tc>
      </w:tr>
      <w:tr w:rsidR="00244C48" w14:paraId="22C52A03" w14:textId="77777777">
        <w:trPr>
          <w:trHeight w:val="252"/>
        </w:trPr>
        <w:tc>
          <w:tcPr>
            <w:tcW w:w="1951" w:type="dxa"/>
            <w:vMerge/>
            <w:vAlign w:val="center"/>
          </w:tcPr>
          <w:p w14:paraId="0D06317F" w14:textId="77777777" w:rsidR="00244C48" w:rsidRDefault="00244C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A57F19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спиной вперед</w:t>
            </w:r>
          </w:p>
        </w:tc>
        <w:tc>
          <w:tcPr>
            <w:tcW w:w="1519" w:type="dxa"/>
            <w:vAlign w:val="center"/>
          </w:tcPr>
          <w:p w14:paraId="0509B123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116,33±5,83</w:t>
            </w:r>
          </w:p>
        </w:tc>
        <w:tc>
          <w:tcPr>
            <w:tcW w:w="1545" w:type="dxa"/>
            <w:vAlign w:val="center"/>
          </w:tcPr>
          <w:p w14:paraId="5FDD3107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14:paraId="43AEC4EA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4C48" w14:paraId="2083D8D0" w14:textId="77777777">
        <w:trPr>
          <w:trHeight w:val="291"/>
        </w:trPr>
        <w:tc>
          <w:tcPr>
            <w:tcW w:w="1951" w:type="dxa"/>
            <w:vMerge w:val="restart"/>
            <w:vAlign w:val="center"/>
          </w:tcPr>
          <w:p w14:paraId="00E9893D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Ходьба</w:t>
            </w:r>
          </w:p>
          <w:p w14:paraId="1A429BF7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линии 7м. (с.)</w:t>
            </w:r>
          </w:p>
        </w:tc>
        <w:tc>
          <w:tcPr>
            <w:tcW w:w="2552" w:type="dxa"/>
            <w:vAlign w:val="center"/>
          </w:tcPr>
          <w:p w14:paraId="08660C0E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открытыми глазами</w:t>
            </w:r>
          </w:p>
        </w:tc>
        <w:tc>
          <w:tcPr>
            <w:tcW w:w="1519" w:type="dxa"/>
            <w:vAlign w:val="center"/>
          </w:tcPr>
          <w:p w14:paraId="4DE93257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4,51±0,25</w:t>
            </w:r>
          </w:p>
        </w:tc>
        <w:tc>
          <w:tcPr>
            <w:tcW w:w="1545" w:type="dxa"/>
            <w:vAlign w:val="center"/>
          </w:tcPr>
          <w:p w14:paraId="063D0D1C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14:paraId="6F2CB0B4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4C48" w14:paraId="1F4F18CE" w14:textId="77777777">
        <w:trPr>
          <w:trHeight w:val="132"/>
        </w:trPr>
        <w:tc>
          <w:tcPr>
            <w:tcW w:w="1951" w:type="dxa"/>
            <w:vMerge/>
          </w:tcPr>
          <w:p w14:paraId="7D215AEE" w14:textId="77777777" w:rsidR="00244C48" w:rsidRDefault="00244C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AA6595" w14:textId="77777777" w:rsidR="00244C48" w:rsidRDefault="00000000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закрытыми глазами</w:t>
            </w:r>
          </w:p>
        </w:tc>
        <w:tc>
          <w:tcPr>
            <w:tcW w:w="1519" w:type="dxa"/>
            <w:vAlign w:val="center"/>
          </w:tcPr>
          <w:p w14:paraId="3B07C831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5,98±0,27</w:t>
            </w:r>
          </w:p>
        </w:tc>
        <w:tc>
          <w:tcPr>
            <w:tcW w:w="1545" w:type="dxa"/>
            <w:vAlign w:val="center"/>
          </w:tcPr>
          <w:p w14:paraId="3497C915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14:paraId="3E09F6D5" w14:textId="77777777" w:rsidR="00244C4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8775EFE" w14:textId="77777777" w:rsidR="00244C48" w:rsidRDefault="00244C48">
      <w:pPr>
        <w:spacing w:after="0" w:line="360" w:lineRule="auto"/>
        <w:ind w:firstLine="709"/>
        <w:jc w:val="both"/>
        <w:rPr>
          <w:color w:val="000000"/>
        </w:rPr>
      </w:pPr>
    </w:p>
    <w:p w14:paraId="56840D0A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Критерии оценки выполнения прыжка в длину с места (м.) спиной вперед, ходьбы по линии 7 м. (с.) с открытыми глазами и с закрытыми глазами для данной возрастной категории отсутствуют. </w:t>
      </w:r>
    </w:p>
    <w:p w14:paraId="22F51F83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Исходя из того, что физическая подготовленность тестируемых в трех обязательных тестах для сдачи норм ГТО соответствует нормативным требованиям двух ступеней ГТО, средние результаты тестирования по трем тестам, которые не имеют нормативов для оценивания, были определены нами в качестве критериев среднего уровня для дальнейшего оценивания спортсменов данной возрастной категории. </w:t>
      </w:r>
    </w:p>
    <w:p w14:paraId="30C6A721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Далее выполнялся расчет уровня проявления ловкости при беге, при прыжке в длину и при ходьбе по прямой линии в привычных и непривычных условиях.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065BDA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формуле, предложенной Б.И. Таракановым и С.Н. Никитиным, для каждого тестируемого необходимо рассчитать показатель проявления ловкости при беге, при прыжке в длину и при ходьбе по прямой линии в привычных и непривычных условиях по следующей формуле:</w:t>
      </w:r>
    </w:p>
    <w:p w14:paraId="1EFEA33F" w14:textId="77777777" w:rsidR="00244C48" w:rsidRDefault="00000000">
      <w:pPr>
        <w:spacing w:after="0" w:line="360" w:lineRule="auto"/>
        <w:ind w:firstLine="709"/>
        <w:jc w:val="center"/>
        <w:rPr>
          <w:color w:val="00000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Кл=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14:paraId="29C974B1" w14:textId="77777777" w:rsidR="00244C48" w:rsidRDefault="0000000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Примечание: </w:t>
      </w:r>
    </w:p>
    <w:p w14:paraId="308E64BF" w14:textId="77777777" w:rsidR="00244C48" w:rsidRDefault="00000000">
      <w:pPr>
        <w:spacing w:after="0" w:line="240" w:lineRule="auto"/>
        <w:jc w:val="both"/>
        <w:rPr>
          <w:color w:val="000000"/>
        </w:rPr>
      </w:pPr>
      <m:oMath>
        <m:r>
          <w:rPr>
            <w:rFonts w:ascii="Cambria Math" w:hAnsi="Cambria Math"/>
          </w:rPr>
          <m:t>Кл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уровень проявления ловкости (лов);</w:t>
      </w:r>
    </w:p>
    <w:p w14:paraId="61BBC0F0" w14:textId="77777777" w:rsidR="00244C48" w:rsidRDefault="00000000">
      <w:pPr>
        <w:spacing w:after="0" w:line="240" w:lineRule="auto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eastAsia="Calibri" w:hAnsi="Times New Roman" w:cs="Times New Roman"/>
          <w:color w:val="000000"/>
          <w:sz w:val="24"/>
          <w:szCs w:val="24"/>
        </w:rPr>
        <w:t>– результат выполнения в привычных условиях;</w:t>
      </w:r>
    </w:p>
    <w:p w14:paraId="7AE590F3" w14:textId="77777777" w:rsidR="00244C48" w:rsidRDefault="00000000">
      <w:pPr>
        <w:spacing w:after="0" w:line="240" w:lineRule="auto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– результат выполнения в непривычных условиях.</w:t>
      </w:r>
    </w:p>
    <w:p w14:paraId="53F6AB58" w14:textId="77777777" w:rsidR="00244C48" w:rsidRDefault="00244C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182C8E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рассчитан показатель проявления ловкости каждого спортсмена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=100) при беге, при прыжке в длину и при ходьбе по прямой линии в привычных и непривычных условиях. Далее были рассчитаны значения среднего арифметического и ошибки среднего арифметического всей выборки (при беге, при прыжке в длину и при ходьбе по прямой линии в привычных и непривычных условиях).</w:t>
      </w:r>
    </w:p>
    <w:p w14:paraId="6F721867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расчетов критериев проявления ловкости при беге, прыжке в длину и ходьбе по прямой, выполняемых в привычных и непривычных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условиях у спортсменов возрастной категории 12-13 лет, занимающихся волейболом в различных секциях города (n=100):</w:t>
      </w:r>
    </w:p>
    <w:p w14:paraId="071F18F0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Уровень проявления ловкости при беге в привычных и непривычных условиях — 0,67±0,68 у.е.</w:t>
      </w:r>
    </w:p>
    <w:p w14:paraId="4F0C69DB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Уровень проявления ловкости при прыжке в длину в привычных и непривычных условиях — 1,62±0,95 у.е.</w:t>
      </w:r>
    </w:p>
    <w:p w14:paraId="2A45D904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Уровень проявления ловкости при ходьбе по прямой в привычных и непривычных условиях —  0,75±0,92 у.е.</w:t>
      </w:r>
    </w:p>
    <w:p w14:paraId="54A33BDA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Эти расчетные значения были определены нами в качестве критериев для оценки среднего уровня проявления ловкости у спортсменов данной возрастной категории,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позволят осуществлять анализ результатов тестирования других спортсменов и оценивать их индивидуальный уровень развития ловкости. </w:t>
      </w:r>
    </w:p>
    <w:p w14:paraId="153C0C64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втором этапе исследования проводилось спортивно-педагогическое тестирование по определению показателей ловкости у 24 юношей 12–13 лет, занимающихся волейболом в СШОР.</w:t>
      </w:r>
    </w:p>
    <w:p w14:paraId="3BB404E9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спортивно-педагогического тестирования определено, что две группы волейболистов соответствует вышеуказанным критериям ловкости,  показатели не имеют статистических различий. Это позволяет нам сделать заключение о том, что группы по этим показателям однородны.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Группа Б была определена нами как экспериментальная группа. </w:t>
      </w:r>
    </w:p>
    <w:p w14:paraId="042D3B69" w14:textId="77777777" w:rsidR="00244C48" w:rsidRDefault="00000000">
      <w:pPr>
        <w:pStyle w:val="docdata"/>
        <w:spacing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Далее нами были разработаны упражнения для развитие ловкости. Упражнения были составлены по 3 блокам</w:t>
      </w:r>
      <w:r>
        <w:rPr>
          <w:b/>
          <w:bCs/>
          <w:i/>
          <w:iCs/>
          <w:color w:val="000000"/>
          <w:sz w:val="28"/>
          <w:szCs w:val="28"/>
        </w:rPr>
        <w:t xml:space="preserve">: </w:t>
      </w:r>
      <w:r>
        <w:rPr>
          <w:bCs/>
          <w:iCs/>
          <w:color w:val="000000"/>
          <w:sz w:val="28"/>
          <w:szCs w:val="28"/>
        </w:rPr>
        <w:t>Блок 1. Упражнения на развитие предметной ловкости.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Блок 2. Упражнения на развитие телесной ловкости.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Блок 3. Упражнения на развитие смешанной ловкости.</w:t>
      </w:r>
    </w:p>
    <w:p w14:paraId="564CD9AD" w14:textId="77777777" w:rsidR="00244C48" w:rsidRDefault="00000000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В тренировочных занятиях выполнялось по два упражнения из каждого блока. Смена упражнений осуществлялась в начале недельного цикла. Упражнения выполнялись в подготовительной и основной частях занятия.</w:t>
      </w:r>
    </w:p>
    <w:p w14:paraId="5D4793F8" w14:textId="77777777" w:rsidR="00244C48" w:rsidRDefault="00000000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педагогического эксперимента нами было проведено повторное спортивно-педагогическое тестирование с целью определения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показателей ловкости.</w:t>
      </w:r>
      <w:r>
        <w:rPr>
          <w:rFonts w:eastAsia="Times New Roman" w:cs="Calibri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сравнения результатов свидетельствует о статистически значимом приросте, на уровне значимости 0,05, показателей, характеризующих уровень развития ловкости в экспериментальной группе, который соответствует уровню выше среднего.</w:t>
      </w:r>
    </w:p>
    <w:p w14:paraId="1E046DEF" w14:textId="77777777" w:rsidR="00244C48" w:rsidRDefault="00000000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повторного педагогического наблюдения в ходе соревновательной деятельности</w:t>
      </w:r>
      <w:r>
        <w:rPr>
          <w:rFonts w:eastAsia="Times New Roman" w:cs="Calibri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свидетельствуют, что у волейболистов двух групп показатели эффективности выполнения прямого нападающего удара имеют статистически достоверные различия на уровне значимости 0,05. Показатели эффективности выполнения прямого нападающего удара в экспериментальной группе существенно выше.</w:t>
      </w:r>
    </w:p>
    <w:p w14:paraId="2AFA1F53" w14:textId="77777777" w:rsidR="00244C48" w:rsidRDefault="00000000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показателей эффективности выполнения прямого нападающего удара у волейболистов 12-13 лет в экспериментальной группе до и после проведения педагогического эксперимента позволяет выявить статистически достоверную динамику показателя в группе после эксперимента.</w:t>
      </w:r>
    </w:p>
    <w:p w14:paraId="58908127" w14:textId="77777777" w:rsidR="00244C48" w:rsidRDefault="00000000">
      <w:pPr>
        <w:spacing w:after="0" w:line="360" w:lineRule="auto"/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и обобщая вышеизложенное можно сделать заключение, что педагогический эксперимент способствовал повышению показателей ловкости и эффективности выполнения нападающего удара волейболистами экспериментальной группы в ходе соревновательной деятельности. </w:t>
      </w:r>
    </w:p>
    <w:p w14:paraId="3AB79261" w14:textId="77777777" w:rsidR="00244C48" w:rsidRDefault="00000000">
      <w:pPr>
        <w:spacing w:after="0" w:line="360" w:lineRule="auto"/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эксперимента эффективность выполнения прямого нападающего удара соответствовала среднему уровню, а после педагогического эксперимента показатель эффективности соответствует уровню выше среднего, в соответствии с модельными характеристиками.</w:t>
      </w:r>
    </w:p>
    <w:p w14:paraId="2F776B94" w14:textId="77777777" w:rsidR="00244C48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цель исследования - достигнута, гипотеза исследования – подтверждена.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 изложенного можно сделать следующие выводы:</w:t>
      </w:r>
    </w:p>
    <w:p w14:paraId="1366EC87" w14:textId="77777777" w:rsidR="00244C48" w:rsidRDefault="00000000">
      <w:pPr>
        <w:pStyle w:val="af0"/>
        <w:numPr>
          <w:ilvl w:val="0"/>
          <w:numId w:val="3"/>
        </w:numPr>
        <w:tabs>
          <w:tab w:val="left" w:pos="0"/>
          <w:tab w:val="left" w:pos="993"/>
        </w:tabs>
        <w:spacing w:beforeAutospacing="0" w:after="0" w:afterAutospacing="0" w:line="360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Показатель выигрыша выполнения прямого нападающего удара волейболистами 12-13 лет в группе «А» до проведения педагогического эксперимента составляет 40,3±0,39%, в группе «Б» - 40,6±0,29% (модельный показатель 40%). Показатель проигрыша при выполнении прямого </w:t>
      </w:r>
      <w:r>
        <w:rPr>
          <w:color w:val="000000"/>
          <w:sz w:val="28"/>
          <w:szCs w:val="28"/>
        </w:rPr>
        <w:lastRenderedPageBreak/>
        <w:t xml:space="preserve">нападающего удара у волейболистов в группе «А» составляет </w:t>
      </w:r>
      <w:r>
        <w:rPr>
          <w:color w:val="000000"/>
          <w:sz w:val="28"/>
        </w:rPr>
        <w:t xml:space="preserve">24,9±0,39%, в группе «Б» - </w:t>
      </w:r>
      <w:r>
        <w:rPr>
          <w:color w:val="000000"/>
          <w:sz w:val="28"/>
          <w:szCs w:val="28"/>
        </w:rPr>
        <w:t xml:space="preserve">25,11±0,29% (модельный показатель 25%). Показатели в группах волейболистов 12-13 лет не имеют статистически достоверных различий, группы являются однородными. </w:t>
      </w:r>
    </w:p>
    <w:p w14:paraId="6E8CAFC3" w14:textId="77777777" w:rsidR="00244C48" w:rsidRDefault="00000000">
      <w:pPr>
        <w:pStyle w:val="af0"/>
        <w:numPr>
          <w:ilvl w:val="0"/>
          <w:numId w:val="3"/>
        </w:numPr>
        <w:tabs>
          <w:tab w:val="left" w:pos="993"/>
        </w:tabs>
        <w:spacing w:beforeAutospacing="0" w:after="0" w:afterAutospacing="0" w:line="360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Показатели специальной физической, технико-тактической и интегральной подготовленности волейболистов двух групп до проведения педагогического эксперимента соответствует программным требованиям по волейболу для групп на этапе спортивной специализации и </w:t>
      </w:r>
      <w:r>
        <w:rPr>
          <w:rFonts w:eastAsia="Calibri"/>
          <w:color w:val="000000"/>
          <w:sz w:val="28"/>
          <w:szCs w:val="28"/>
          <w:lang w:eastAsia="en-US"/>
        </w:rPr>
        <w:t>не имеют статистически достоверных различий. Это позволяет считать группы, участвующие в исследовании, однородными по этим показателям.</w:t>
      </w:r>
    </w:p>
    <w:p w14:paraId="263FB8F0" w14:textId="77777777" w:rsidR="00244C48" w:rsidRDefault="00000000">
      <w:pPr>
        <w:pStyle w:val="af0"/>
        <w:numPr>
          <w:ilvl w:val="0"/>
          <w:numId w:val="3"/>
        </w:numPr>
        <w:tabs>
          <w:tab w:val="left" w:pos="993"/>
        </w:tabs>
        <w:spacing w:beforeAutospacing="0" w:after="0" w:afterAutospacing="0" w:line="360" w:lineRule="auto"/>
        <w:ind w:left="0"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В ходе исследования были определены критерии для оценивания проявления ловкости при беге, прыжке и ходьбе в привычных и непривычных условиях: критерий проявления ловкости при беге (</w:t>
      </w:r>
      <w:r>
        <w:rPr>
          <w:color w:val="000000"/>
          <w:sz w:val="28"/>
          <w:szCs w:val="28"/>
        </w:rPr>
        <w:t>0,67±0,68</w:t>
      </w:r>
      <w:r>
        <w:rPr>
          <w:rFonts w:eastAsia="Calibri"/>
          <w:color w:val="000000"/>
          <w:sz w:val="28"/>
          <w:szCs w:val="28"/>
        </w:rPr>
        <w:t xml:space="preserve">); </w:t>
      </w:r>
      <w:r>
        <w:rPr>
          <w:color w:val="000000"/>
          <w:sz w:val="28"/>
          <w:szCs w:val="28"/>
        </w:rPr>
        <w:t xml:space="preserve">критерий </w:t>
      </w:r>
      <w:r>
        <w:rPr>
          <w:rFonts w:eastAsia="Calibri"/>
          <w:color w:val="000000"/>
          <w:sz w:val="28"/>
          <w:szCs w:val="28"/>
        </w:rPr>
        <w:t>проявления ловкости при прыжке в длину (</w:t>
      </w:r>
      <w:r>
        <w:rPr>
          <w:color w:val="000000"/>
          <w:sz w:val="28"/>
          <w:szCs w:val="28"/>
        </w:rPr>
        <w:t>1,62±0,95</w:t>
      </w:r>
      <w:r>
        <w:rPr>
          <w:rFonts w:eastAsia="Calibri"/>
          <w:color w:val="000000"/>
          <w:sz w:val="28"/>
          <w:szCs w:val="28"/>
        </w:rPr>
        <w:t xml:space="preserve">); </w:t>
      </w:r>
      <w:r>
        <w:rPr>
          <w:color w:val="000000"/>
          <w:sz w:val="28"/>
          <w:szCs w:val="28"/>
        </w:rPr>
        <w:t>критерий</w:t>
      </w:r>
      <w:r>
        <w:rPr>
          <w:rFonts w:eastAsia="Calibri"/>
          <w:color w:val="000000"/>
          <w:sz w:val="28"/>
          <w:szCs w:val="28"/>
        </w:rPr>
        <w:t xml:space="preserve"> проявления ловкости при ходьбе по прямой (</w:t>
      </w:r>
      <w:r>
        <w:rPr>
          <w:color w:val="000000"/>
          <w:sz w:val="28"/>
          <w:szCs w:val="28"/>
        </w:rPr>
        <w:t>0,75±0,92</w:t>
      </w:r>
      <w:r>
        <w:rPr>
          <w:rFonts w:eastAsia="Calibri"/>
          <w:color w:val="000000"/>
          <w:sz w:val="28"/>
          <w:szCs w:val="28"/>
        </w:rPr>
        <w:t>).</w:t>
      </w:r>
    </w:p>
    <w:p w14:paraId="75A694A5" w14:textId="77777777" w:rsidR="00244C48" w:rsidRDefault="00000000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Выполненный нами расчет критериев оценивания позволяет анализировать результаты проведенного тестирования и оценивать индивидуальный уровень развития ловкости волейболистов 12-13 лет.</w:t>
      </w:r>
    </w:p>
    <w:p w14:paraId="12A16665" w14:textId="77777777" w:rsidR="00244C48" w:rsidRDefault="000000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Повышение показателей телесной, предметной и смешанной ловкости 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волейболистов 12-13 лет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целесообразно осуществлять по 3 блокам заданий: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Блок 1. Упражнения на развитие предметной ловкости. Блок 2. Упражнения на развитие телесной ловкости. Блок 3. Упражнения на развитие смешанной ловкости.</w:t>
      </w:r>
    </w:p>
    <w:p w14:paraId="54E1EC42" w14:textId="77777777" w:rsidR="00244C48" w:rsidRDefault="00000000">
      <w:pPr>
        <w:pStyle w:val="docdata"/>
        <w:numPr>
          <w:ilvl w:val="0"/>
          <w:numId w:val="3"/>
        </w:numPr>
        <w:tabs>
          <w:tab w:val="left" w:pos="993"/>
        </w:tabs>
        <w:spacing w:beforeAutospacing="0" w:after="0" w:afterAutospacing="0" w:line="360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Эффективность применения разработанных блоков заданий доказана результатами повторного спортивно-педагогического тестирования и педагогического наблюдения.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После проведения педагогического эксперимента в экспериментальной группе показатели  проявления ловкости при беге, прыжке и ходьбе в привычных и непривычных условиях повысились до уровня выше среднего. </w:t>
      </w:r>
    </w:p>
    <w:p w14:paraId="7A318953" w14:textId="77777777" w:rsidR="00244C48" w:rsidRDefault="00000000">
      <w:pPr>
        <w:pStyle w:val="docdata"/>
        <w:numPr>
          <w:ilvl w:val="0"/>
          <w:numId w:val="3"/>
        </w:numPr>
        <w:tabs>
          <w:tab w:val="left" w:pos="993"/>
        </w:tabs>
        <w:spacing w:beforeAutospacing="0" w:after="0" w:afterAutospacing="0" w:line="360" w:lineRule="auto"/>
        <w:ind w:left="0"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Показатели эффективности</w:t>
      </w:r>
      <w:r>
        <w:rPr>
          <w:color w:val="000000"/>
          <w:sz w:val="28"/>
          <w:szCs w:val="28"/>
        </w:rPr>
        <w:t xml:space="preserve"> выполнения нападающего удара имеют </w:t>
      </w:r>
      <w:r>
        <w:rPr>
          <w:rFonts w:eastAsia="Calibri"/>
          <w:color w:val="000000"/>
          <w:sz w:val="28"/>
          <w:szCs w:val="28"/>
          <w:lang w:eastAsia="en-US"/>
        </w:rPr>
        <w:t>достоверные различия с исходными показателями</w:t>
      </w:r>
      <w:r>
        <w:rPr>
          <w:color w:val="000000"/>
          <w:sz w:val="28"/>
          <w:szCs w:val="28"/>
        </w:rPr>
        <w:t xml:space="preserve"> (показатель выигрыша нападающего удара до эксперимента 40,6±0,29%, после 42,4±0,16%). </w:t>
      </w:r>
    </w:p>
    <w:p w14:paraId="596E1DD3" w14:textId="77777777" w:rsidR="00244C48" w:rsidRDefault="00244C48">
      <w:pPr>
        <w:pStyle w:val="af0"/>
        <w:widowControl w:val="0"/>
        <w:tabs>
          <w:tab w:val="left" w:pos="993"/>
        </w:tabs>
        <w:spacing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707B1E69" w14:textId="77777777" w:rsidR="00244C48" w:rsidRDefault="00000000">
      <w:pPr>
        <w:pStyle w:val="af0"/>
        <w:widowControl w:val="0"/>
        <w:tabs>
          <w:tab w:val="left" w:pos="993"/>
        </w:tabs>
        <w:spacing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28"/>
          <w:szCs w:val="28"/>
        </w:rPr>
        <w:t>Спасибо за внимание!</w:t>
      </w:r>
    </w:p>
    <w:sectPr w:rsidR="00244C48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A054" w14:textId="77777777" w:rsidR="00110779" w:rsidRDefault="00110779">
      <w:pPr>
        <w:spacing w:after="0" w:line="240" w:lineRule="auto"/>
      </w:pPr>
      <w:r>
        <w:separator/>
      </w:r>
    </w:p>
  </w:endnote>
  <w:endnote w:type="continuationSeparator" w:id="0">
    <w:p w14:paraId="5A815C02" w14:textId="77777777" w:rsidR="00110779" w:rsidRDefault="0011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A684" w14:textId="77777777" w:rsidR="00110779" w:rsidRDefault="00110779">
      <w:pPr>
        <w:spacing w:after="0" w:line="240" w:lineRule="auto"/>
      </w:pPr>
      <w:r>
        <w:separator/>
      </w:r>
    </w:p>
  </w:footnote>
  <w:footnote w:type="continuationSeparator" w:id="0">
    <w:p w14:paraId="0690C3D3" w14:textId="77777777" w:rsidR="00110779" w:rsidRDefault="0011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653379"/>
      <w:docPartObj>
        <w:docPartGallery w:val="Page Numbers (Top of Page)"/>
        <w:docPartUnique/>
      </w:docPartObj>
    </w:sdtPr>
    <w:sdtContent>
      <w:p w14:paraId="068D20E6" w14:textId="77777777" w:rsidR="00244C48" w:rsidRDefault="00000000">
        <w:pPr>
          <w:pStyle w:val="a6"/>
          <w:jc w:val="center"/>
          <w:rPr>
            <w:color w:val="000000"/>
            <w:sz w:val="24"/>
            <w:szCs w:val="24"/>
          </w:rPr>
        </w:pPr>
        <w:r>
          <w:rPr>
            <w:color w:val="000000"/>
            <w:sz w:val="24"/>
            <w:szCs w:val="24"/>
          </w:rPr>
          <w:fldChar w:fldCharType="begin"/>
        </w:r>
        <w:r>
          <w:rPr>
            <w:color w:val="000000"/>
            <w:sz w:val="24"/>
            <w:szCs w:val="24"/>
          </w:rPr>
          <w:instrText xml:space="preserve"> PAGE </w:instrText>
        </w:r>
        <w:r>
          <w:rPr>
            <w:color w:val="000000"/>
            <w:sz w:val="24"/>
            <w:szCs w:val="24"/>
          </w:rPr>
          <w:fldChar w:fldCharType="separate"/>
        </w:r>
        <w:r>
          <w:rPr>
            <w:color w:val="000000"/>
            <w:sz w:val="24"/>
            <w:szCs w:val="24"/>
          </w:rPr>
          <w:t>7</w:t>
        </w:r>
        <w:r>
          <w:rPr>
            <w:color w:val="000000"/>
            <w:sz w:val="24"/>
            <w:szCs w:val="24"/>
          </w:rPr>
          <w:fldChar w:fldCharType="end"/>
        </w:r>
      </w:p>
    </w:sdtContent>
  </w:sdt>
  <w:p w14:paraId="6F33C808" w14:textId="77777777" w:rsidR="00244C48" w:rsidRDefault="00244C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C6A"/>
    <w:multiLevelType w:val="multilevel"/>
    <w:tmpl w:val="2E2CD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F5D96"/>
    <w:multiLevelType w:val="multilevel"/>
    <w:tmpl w:val="032CF6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8177B0"/>
    <w:multiLevelType w:val="multilevel"/>
    <w:tmpl w:val="C046B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33582335">
    <w:abstractNumId w:val="1"/>
  </w:num>
  <w:num w:numId="2" w16cid:durableId="1489639426">
    <w:abstractNumId w:val="0"/>
  </w:num>
  <w:num w:numId="3" w16cid:durableId="35245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8"/>
    <w:rsid w:val="00110779"/>
    <w:rsid w:val="00244C48"/>
    <w:rsid w:val="00353D4D"/>
    <w:rsid w:val="00F7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7540"/>
  <w15:docId w15:val="{A75CCFE2-1D59-40B3-B9B1-884AC8B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E01944"/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82915"/>
  </w:style>
  <w:style w:type="character" w:customStyle="1" w:styleId="a7">
    <w:name w:val="Нижний колонтитул Знак"/>
    <w:basedOn w:val="a0"/>
    <w:link w:val="a8"/>
    <w:uiPriority w:val="99"/>
    <w:qFormat/>
    <w:rsid w:val="00E82915"/>
  </w:style>
  <w:style w:type="character" w:customStyle="1" w:styleId="1914">
    <w:name w:val="1914"/>
    <w:basedOn w:val="a0"/>
    <w:qFormat/>
    <w:rsid w:val="00D71CA3"/>
  </w:style>
  <w:style w:type="character" w:customStyle="1" w:styleId="4531">
    <w:name w:val="4531"/>
    <w:basedOn w:val="a0"/>
    <w:qFormat/>
    <w:rsid w:val="009268AB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4B230C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ocdata">
    <w:name w:val="docdata"/>
    <w:basedOn w:val="a"/>
    <w:qFormat/>
    <w:rsid w:val="00807A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qFormat/>
    <w:rsid w:val="00807A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E01944"/>
    <w:pPr>
      <w:spacing w:line="252" w:lineRule="auto"/>
      <w:ind w:left="720"/>
      <w:contextualSpacing/>
    </w:pPr>
    <w:rPr>
      <w:rFonts w:eastAsiaTheme="minorEastAsia"/>
      <w:lang w:eastAsia="ru-RU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8291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8291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таблицы"/>
    <w:basedOn w:val="a"/>
    <w:qFormat/>
    <w:rsid w:val="00AC22E7"/>
    <w:pPr>
      <w:widowControl w:val="0"/>
      <w:suppressLineNumbers/>
      <w:spacing w:line="252" w:lineRule="auto"/>
    </w:pPr>
    <w:rPr>
      <w:rFonts w:ascii="Calibri" w:eastAsiaTheme="minorEastAsia" w:hAnsi="Calibri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4B23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customStyle="1" w:styleId="7">
    <w:name w:val="Сетка таблицы7"/>
    <w:basedOn w:val="a1"/>
    <w:uiPriority w:val="59"/>
    <w:rsid w:val="00AC22E7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D2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2277</Words>
  <Characters>12984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Wisp</cp:lastModifiedBy>
  <cp:revision>2</cp:revision>
  <dcterms:created xsi:type="dcterms:W3CDTF">2025-03-17T08:46:00Z</dcterms:created>
  <dcterms:modified xsi:type="dcterms:W3CDTF">2025-03-17T08:46:00Z</dcterms:modified>
  <dc:language>ru-RU</dc:language>
</cp:coreProperties>
</file>