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charts/chart4.xml" ContentType="application/vnd.openxmlformats-officedocument.drawingml.chart+xml"/>
  <Override PartName="/word/theme/themeOverride4.xml" ContentType="application/vnd.openxmlformats-officedocument.themeOverride+xml"/>
  <Override PartName="/word/charts/chart5.xml" ContentType="application/vnd.openxmlformats-officedocument.drawingml.chart+xml"/>
  <Override PartName="/word/theme/themeOverride5.xml" ContentType="application/vnd.openxmlformats-officedocument.themeOverride+xml"/>
  <Override PartName="/word/charts/chart6.xml" ContentType="application/vnd.openxmlformats-officedocument.drawingml.chart+xml"/>
  <Override PartName="/word/theme/themeOverride6.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96D86" w14:textId="77777777" w:rsidR="00CC7BBE" w:rsidRDefault="00CC7BBE" w:rsidP="00CC7BBE">
      <w:pPr>
        <w:spacing w:line="360" w:lineRule="auto"/>
        <w:ind w:firstLine="709"/>
        <w:rPr>
          <w:rFonts w:ascii="Times New Roman" w:hAnsi="Times New Roman" w:cs="Times New Roman"/>
          <w:b/>
          <w:bCs/>
          <w:sz w:val="28"/>
          <w:szCs w:val="28"/>
          <w:lang w:val="ru-RU"/>
        </w:rPr>
      </w:pPr>
      <w:r w:rsidRPr="00CC7BBE">
        <w:rPr>
          <w:rFonts w:ascii="Times New Roman" w:hAnsi="Times New Roman" w:cs="Times New Roman"/>
          <w:b/>
          <w:bCs/>
          <w:sz w:val="28"/>
          <w:szCs w:val="28"/>
          <w:lang w:val="ru-RU"/>
        </w:rPr>
        <w:t>УДК</w:t>
      </w:r>
    </w:p>
    <w:p w14:paraId="45B8960D" w14:textId="4CC12DD0" w:rsidR="00CC7BBE" w:rsidRPr="00CC7BBE" w:rsidRDefault="00CC7BBE" w:rsidP="00CC7BBE">
      <w:pPr>
        <w:spacing w:line="360" w:lineRule="auto"/>
        <w:ind w:firstLine="709"/>
        <w:jc w:val="center"/>
        <w:rPr>
          <w:rFonts w:ascii="Times New Roman" w:hAnsi="Times New Roman" w:cs="Times New Roman"/>
          <w:b/>
          <w:sz w:val="28"/>
          <w:szCs w:val="28"/>
          <w:lang w:val="ru-RU"/>
        </w:rPr>
      </w:pPr>
      <w:r w:rsidRPr="00CC7BBE">
        <w:rPr>
          <w:rFonts w:ascii="Times New Roman" w:hAnsi="Times New Roman" w:cs="Times New Roman"/>
          <w:b/>
          <w:bCs/>
          <w:sz w:val="28"/>
          <w:szCs w:val="28"/>
          <w:lang w:val="ru-RU"/>
        </w:rPr>
        <w:t xml:space="preserve"> </w:t>
      </w:r>
      <w:r>
        <w:rPr>
          <w:rFonts w:ascii="Times New Roman" w:hAnsi="Times New Roman"/>
          <w:b/>
          <w:bCs/>
          <w:sz w:val="28"/>
          <w:szCs w:val="28"/>
          <w:lang w:val="ru-RU"/>
        </w:rPr>
        <w:t>Анализ показателей платных транспортн</w:t>
      </w:r>
      <w:r>
        <w:rPr>
          <w:rFonts w:ascii="Times New Roman" w:hAnsi="Times New Roman"/>
          <w:b/>
          <w:bCs/>
          <w:sz w:val="28"/>
          <w:szCs w:val="28"/>
          <w:lang w:val="ru-RU"/>
        </w:rPr>
        <w:t xml:space="preserve">ых, </w:t>
      </w:r>
      <w:r>
        <w:rPr>
          <w:rFonts w:ascii="Times New Roman" w:hAnsi="Times New Roman"/>
          <w:b/>
          <w:bCs/>
          <w:sz w:val="28"/>
          <w:szCs w:val="28"/>
          <w:lang w:val="ru-RU"/>
        </w:rPr>
        <w:t>юридических и медицинских услуг населению в Российской экономике в период 2005–2024 годов</w:t>
      </w:r>
    </w:p>
    <w:p w14:paraId="11DAB7F3" w14:textId="5195E9E3" w:rsidR="00CC7BBE" w:rsidRPr="00CC7BBE" w:rsidRDefault="00CC7BBE" w:rsidP="00CC7BBE">
      <w:pPr>
        <w:spacing w:line="100" w:lineRule="atLeast"/>
        <w:jc w:val="right"/>
        <w:rPr>
          <w:rFonts w:ascii="Times New Roman" w:hAnsi="Times New Roman" w:cs="Times New Roman"/>
          <w:i/>
          <w:sz w:val="28"/>
          <w:szCs w:val="28"/>
          <w:lang w:val="ru-RU"/>
        </w:rPr>
      </w:pPr>
      <w:r>
        <w:rPr>
          <w:rFonts w:ascii="Times New Roman" w:hAnsi="Times New Roman" w:cs="Times New Roman"/>
          <w:b/>
          <w:bCs/>
          <w:i/>
          <w:sz w:val="28"/>
          <w:szCs w:val="28"/>
          <w:lang w:val="ru-RU"/>
        </w:rPr>
        <w:t>Подрез Анастасия Витальевна</w:t>
      </w:r>
      <w:r w:rsidRPr="00CC7BBE">
        <w:rPr>
          <w:rFonts w:ascii="Times New Roman" w:hAnsi="Times New Roman" w:cs="Times New Roman"/>
          <w:b/>
          <w:bCs/>
          <w:i/>
          <w:sz w:val="28"/>
          <w:szCs w:val="28"/>
          <w:lang w:val="ru-RU"/>
        </w:rPr>
        <w:t>,</w:t>
      </w:r>
    </w:p>
    <w:p w14:paraId="0ECFB262" w14:textId="05613B44" w:rsidR="00CC7BBE" w:rsidRPr="00CC7BBE" w:rsidRDefault="00CC7BBE" w:rsidP="00CC7BBE">
      <w:pPr>
        <w:spacing w:line="100" w:lineRule="atLeast"/>
        <w:jc w:val="right"/>
        <w:rPr>
          <w:rFonts w:ascii="Times New Roman" w:hAnsi="Times New Roman" w:cs="Times New Roman"/>
          <w:i/>
          <w:sz w:val="28"/>
          <w:szCs w:val="28"/>
          <w:lang w:val="ru-RU"/>
        </w:rPr>
      </w:pPr>
      <w:r w:rsidRPr="00CC7BBE">
        <w:rPr>
          <w:rFonts w:ascii="Times New Roman" w:hAnsi="Times New Roman" w:cs="Times New Roman"/>
          <w:i/>
          <w:sz w:val="28"/>
          <w:szCs w:val="28"/>
          <w:lang w:val="ru-RU"/>
        </w:rPr>
        <w:t>студент</w:t>
      </w:r>
      <w:r>
        <w:rPr>
          <w:rFonts w:ascii="Times New Roman" w:hAnsi="Times New Roman" w:cs="Times New Roman"/>
          <w:i/>
          <w:sz w:val="28"/>
          <w:szCs w:val="28"/>
          <w:lang w:val="ru-RU"/>
        </w:rPr>
        <w:t>ка</w:t>
      </w:r>
      <w:r w:rsidRPr="00CC7BBE">
        <w:rPr>
          <w:rFonts w:ascii="Times New Roman" w:hAnsi="Times New Roman" w:cs="Times New Roman"/>
          <w:i/>
          <w:sz w:val="28"/>
          <w:szCs w:val="28"/>
          <w:lang w:val="ru-RU"/>
        </w:rPr>
        <w:t>, филиал ФГБОУ ВО «Кубанский</w:t>
      </w:r>
      <w:r w:rsidRPr="00CC7BBE">
        <w:rPr>
          <w:rFonts w:ascii="Times New Roman" w:hAnsi="Times New Roman" w:cs="Times New Roman"/>
          <w:i/>
          <w:sz w:val="28"/>
          <w:szCs w:val="28"/>
          <w:lang w:val="ru-RU"/>
        </w:rPr>
        <w:br/>
        <w:t>государственный университет»</w:t>
      </w:r>
      <w:r w:rsidRPr="00CC7BBE">
        <w:rPr>
          <w:rFonts w:ascii="Times New Roman" w:hAnsi="Times New Roman" w:cs="Times New Roman"/>
          <w:i/>
          <w:sz w:val="28"/>
          <w:szCs w:val="28"/>
          <w:lang w:val="ru-RU"/>
        </w:rPr>
        <w:br/>
        <w:t>в г. Славянск-на-Кубани,</w:t>
      </w:r>
    </w:p>
    <w:p w14:paraId="50FB098E" w14:textId="77777777" w:rsidR="00CC7BBE" w:rsidRPr="00CC7BBE" w:rsidRDefault="00CC7BBE" w:rsidP="00CC7BBE">
      <w:pPr>
        <w:spacing w:line="100" w:lineRule="atLeast"/>
        <w:jc w:val="right"/>
        <w:rPr>
          <w:rFonts w:ascii="Times New Roman" w:hAnsi="Times New Roman" w:cs="Times New Roman"/>
          <w:i/>
          <w:sz w:val="28"/>
          <w:szCs w:val="28"/>
          <w:lang w:val="ru-RU"/>
        </w:rPr>
      </w:pPr>
      <w:r w:rsidRPr="00CC7BBE">
        <w:rPr>
          <w:rFonts w:ascii="Times New Roman" w:hAnsi="Times New Roman" w:cs="Times New Roman"/>
          <w:i/>
          <w:sz w:val="28"/>
          <w:szCs w:val="28"/>
          <w:lang w:val="ru-RU"/>
        </w:rPr>
        <w:t>г. Славянск-на-Кубани, РФ</w:t>
      </w:r>
    </w:p>
    <w:p w14:paraId="49AA7004" w14:textId="52BC8FF0" w:rsidR="00CC7BBE" w:rsidRPr="00CC7BBE" w:rsidRDefault="00CC7BBE" w:rsidP="00CC7BBE">
      <w:pPr>
        <w:spacing w:line="100" w:lineRule="atLeast"/>
        <w:jc w:val="right"/>
        <w:rPr>
          <w:rFonts w:ascii="Times New Roman" w:eastAsia="Times New Roman" w:hAnsi="Times New Roman" w:cs="Times New Roman"/>
          <w:b/>
          <w:bCs/>
          <w:i/>
          <w:kern w:val="1"/>
          <w:sz w:val="28"/>
          <w:szCs w:val="28"/>
          <w:lang w:val="ru-RU"/>
        </w:rPr>
      </w:pPr>
      <w:r w:rsidRPr="00CC7BBE">
        <w:rPr>
          <w:rFonts w:ascii="Times New Roman" w:hAnsi="Times New Roman" w:cs="Times New Roman"/>
          <w:i/>
          <w:sz w:val="28"/>
          <w:szCs w:val="28"/>
          <w:lang w:val="ru-RU"/>
        </w:rPr>
        <w:t>(</w:t>
      </w:r>
      <w:proofErr w:type="spellStart"/>
      <w:r>
        <w:rPr>
          <w:rFonts w:ascii="Times New Roman" w:hAnsi="Times New Roman" w:cs="Times New Roman"/>
          <w:i/>
          <w:sz w:val="28"/>
          <w:szCs w:val="28"/>
        </w:rPr>
        <w:t>anastasiapodrez</w:t>
      </w:r>
      <w:proofErr w:type="spellEnd"/>
      <w:r w:rsidRPr="00CC7BBE">
        <w:rPr>
          <w:rFonts w:ascii="Times New Roman" w:hAnsi="Times New Roman" w:cs="Times New Roman"/>
          <w:i/>
          <w:sz w:val="28"/>
          <w:szCs w:val="28"/>
          <w:lang w:val="ru-RU"/>
        </w:rPr>
        <w:t>577@</w:t>
      </w:r>
      <w:proofErr w:type="spellStart"/>
      <w:r>
        <w:rPr>
          <w:rFonts w:ascii="Times New Roman" w:hAnsi="Times New Roman" w:cs="Times New Roman"/>
          <w:i/>
          <w:sz w:val="28"/>
          <w:szCs w:val="28"/>
        </w:rPr>
        <w:t>gmail</w:t>
      </w:r>
      <w:proofErr w:type="spellEnd"/>
      <w:r>
        <w:rPr>
          <w:rFonts w:ascii="Times New Roman" w:hAnsi="Times New Roman" w:cs="Times New Roman"/>
          <w:i/>
          <w:sz w:val="28"/>
          <w:szCs w:val="28"/>
          <w:lang w:val="ru-RU"/>
        </w:rPr>
        <w:t>.</w:t>
      </w:r>
      <w:r>
        <w:rPr>
          <w:rFonts w:ascii="Times New Roman" w:hAnsi="Times New Roman" w:cs="Times New Roman"/>
          <w:i/>
          <w:sz w:val="28"/>
          <w:szCs w:val="28"/>
        </w:rPr>
        <w:t>com</w:t>
      </w:r>
      <w:r w:rsidRPr="00CC7BBE">
        <w:rPr>
          <w:rFonts w:ascii="Times New Roman" w:hAnsi="Times New Roman" w:cs="Times New Roman"/>
          <w:i/>
          <w:sz w:val="28"/>
          <w:szCs w:val="28"/>
          <w:lang w:val="ru-RU"/>
        </w:rPr>
        <w:t>)</w:t>
      </w:r>
    </w:p>
    <w:p w14:paraId="2A9824B8" w14:textId="77777777" w:rsidR="00CC7BBE" w:rsidRPr="00CC7BBE" w:rsidRDefault="00CC7BBE" w:rsidP="00CC7BBE">
      <w:pPr>
        <w:spacing w:line="100" w:lineRule="atLeast"/>
        <w:jc w:val="right"/>
        <w:rPr>
          <w:rFonts w:ascii="Times New Roman" w:eastAsia="Times New Roman" w:hAnsi="Times New Roman" w:cs="Times New Roman"/>
          <w:i/>
          <w:kern w:val="1"/>
          <w:sz w:val="28"/>
          <w:szCs w:val="28"/>
          <w:lang w:val="ru-RU"/>
        </w:rPr>
      </w:pPr>
      <w:proofErr w:type="spellStart"/>
      <w:r w:rsidRPr="00CC7BBE">
        <w:rPr>
          <w:rFonts w:ascii="Times New Roman" w:eastAsia="Times New Roman" w:hAnsi="Times New Roman" w:cs="Times New Roman"/>
          <w:b/>
          <w:bCs/>
          <w:i/>
          <w:kern w:val="1"/>
          <w:sz w:val="28"/>
          <w:szCs w:val="28"/>
          <w:lang w:val="ru-RU"/>
        </w:rPr>
        <w:t>Махова</w:t>
      </w:r>
      <w:proofErr w:type="spellEnd"/>
      <w:r w:rsidRPr="00CC7BBE">
        <w:rPr>
          <w:rFonts w:ascii="Times New Roman" w:eastAsia="Times New Roman" w:hAnsi="Times New Roman" w:cs="Times New Roman"/>
          <w:b/>
          <w:bCs/>
          <w:i/>
          <w:kern w:val="1"/>
          <w:sz w:val="28"/>
          <w:szCs w:val="28"/>
          <w:lang w:val="ru-RU"/>
        </w:rPr>
        <w:t xml:space="preserve"> Анна Владимировна - научный руководитель,</w:t>
      </w:r>
    </w:p>
    <w:p w14:paraId="29C56376" w14:textId="77777777" w:rsidR="00CC7BBE" w:rsidRPr="00CC7BBE" w:rsidRDefault="00CC7BBE" w:rsidP="00CC7BBE">
      <w:pPr>
        <w:jc w:val="right"/>
        <w:rPr>
          <w:rFonts w:ascii="Times New Roman" w:eastAsia="Times New Roman" w:hAnsi="Times New Roman" w:cs="Times New Roman"/>
          <w:i/>
          <w:kern w:val="1"/>
          <w:sz w:val="28"/>
          <w:szCs w:val="28"/>
          <w:lang w:val="ru-RU"/>
        </w:rPr>
      </w:pPr>
      <w:r w:rsidRPr="00CC7BBE">
        <w:rPr>
          <w:rFonts w:ascii="Times New Roman" w:eastAsia="Times New Roman" w:hAnsi="Times New Roman" w:cs="Times New Roman"/>
          <w:i/>
          <w:kern w:val="1"/>
          <w:sz w:val="28"/>
          <w:szCs w:val="28"/>
          <w:lang w:val="ru-RU"/>
        </w:rPr>
        <w:t xml:space="preserve"> канд. экон. наук, доцент,</w:t>
      </w:r>
    </w:p>
    <w:p w14:paraId="14857DB0" w14:textId="77777777" w:rsidR="00CC7BBE" w:rsidRPr="00CC7BBE" w:rsidRDefault="00CC7BBE" w:rsidP="00CC7BBE">
      <w:pPr>
        <w:spacing w:line="100" w:lineRule="atLeast"/>
        <w:jc w:val="right"/>
        <w:rPr>
          <w:rFonts w:ascii="Times New Roman" w:eastAsia="Times New Roman" w:hAnsi="Times New Roman" w:cs="Times New Roman"/>
          <w:i/>
          <w:kern w:val="1"/>
          <w:sz w:val="28"/>
          <w:szCs w:val="28"/>
          <w:lang w:val="ru-RU"/>
        </w:rPr>
      </w:pPr>
      <w:r w:rsidRPr="00CC7BBE">
        <w:rPr>
          <w:rFonts w:ascii="Times New Roman" w:eastAsia="Times New Roman" w:hAnsi="Times New Roman" w:cs="Times New Roman"/>
          <w:i/>
          <w:kern w:val="1"/>
          <w:sz w:val="28"/>
          <w:szCs w:val="28"/>
          <w:lang w:val="ru-RU"/>
        </w:rPr>
        <w:t xml:space="preserve">доцент кафедры истории, обществознания </w:t>
      </w:r>
    </w:p>
    <w:p w14:paraId="603377EA" w14:textId="77777777" w:rsidR="00CC7BBE" w:rsidRPr="00CC7BBE" w:rsidRDefault="00CC7BBE" w:rsidP="00CC7BBE">
      <w:pPr>
        <w:spacing w:line="100" w:lineRule="atLeast"/>
        <w:jc w:val="right"/>
        <w:rPr>
          <w:rFonts w:ascii="Times New Roman" w:eastAsia="Times New Roman" w:hAnsi="Times New Roman" w:cs="Times New Roman"/>
          <w:i/>
          <w:kern w:val="1"/>
          <w:sz w:val="28"/>
          <w:szCs w:val="28"/>
          <w:lang w:val="ru-RU"/>
        </w:rPr>
      </w:pPr>
      <w:r w:rsidRPr="00CC7BBE">
        <w:rPr>
          <w:rFonts w:ascii="Times New Roman" w:eastAsia="Times New Roman" w:hAnsi="Times New Roman" w:cs="Times New Roman"/>
          <w:i/>
          <w:kern w:val="1"/>
          <w:sz w:val="28"/>
          <w:szCs w:val="28"/>
          <w:lang w:val="ru-RU"/>
        </w:rPr>
        <w:t>и педагогических технологий;</w:t>
      </w:r>
    </w:p>
    <w:p w14:paraId="318C47F1" w14:textId="77777777" w:rsidR="00CC7BBE" w:rsidRPr="00CC7BBE" w:rsidRDefault="00CC7BBE" w:rsidP="00CC7BBE">
      <w:pPr>
        <w:spacing w:line="100" w:lineRule="atLeast"/>
        <w:jc w:val="right"/>
        <w:rPr>
          <w:rFonts w:ascii="Times New Roman" w:hAnsi="Times New Roman" w:cs="Times New Roman"/>
          <w:i/>
          <w:sz w:val="28"/>
          <w:szCs w:val="28"/>
          <w:lang w:val="ru-RU"/>
        </w:rPr>
      </w:pPr>
      <w:r w:rsidRPr="00CC7BBE">
        <w:rPr>
          <w:rFonts w:ascii="Times New Roman" w:eastAsia="Times New Roman" w:hAnsi="Times New Roman" w:cs="Times New Roman"/>
          <w:i/>
          <w:kern w:val="1"/>
          <w:sz w:val="28"/>
          <w:szCs w:val="28"/>
          <w:lang w:val="ru-RU"/>
        </w:rPr>
        <w:t>ФГБОУ ВО «Кубанский государственный университет»</w:t>
      </w:r>
    </w:p>
    <w:p w14:paraId="6DB0ACA8" w14:textId="77777777" w:rsidR="00CC7BBE" w:rsidRPr="00CC7BBE" w:rsidRDefault="00CC7BBE" w:rsidP="00CC7BBE">
      <w:pPr>
        <w:spacing w:line="100" w:lineRule="atLeast"/>
        <w:jc w:val="right"/>
        <w:rPr>
          <w:rFonts w:ascii="Times New Roman" w:hAnsi="Times New Roman" w:cs="Times New Roman"/>
          <w:i/>
          <w:sz w:val="28"/>
          <w:szCs w:val="28"/>
          <w:lang w:val="ru-RU"/>
        </w:rPr>
      </w:pPr>
      <w:r w:rsidRPr="00CC7BBE">
        <w:rPr>
          <w:rFonts w:ascii="Times New Roman" w:hAnsi="Times New Roman" w:cs="Times New Roman"/>
          <w:i/>
          <w:sz w:val="28"/>
          <w:szCs w:val="28"/>
          <w:lang w:val="ru-RU"/>
        </w:rPr>
        <w:t>филиал в г. Славянск-на-Кубани,</w:t>
      </w:r>
    </w:p>
    <w:p w14:paraId="2DDCAD82" w14:textId="77777777" w:rsidR="00CC7BBE" w:rsidRPr="00CC7BBE" w:rsidRDefault="00CC7BBE" w:rsidP="00CC7BBE">
      <w:pPr>
        <w:spacing w:line="360" w:lineRule="auto"/>
        <w:jc w:val="right"/>
        <w:rPr>
          <w:rFonts w:ascii="Times New Roman" w:hAnsi="Times New Roman" w:cs="Times New Roman"/>
          <w:b/>
          <w:sz w:val="28"/>
          <w:szCs w:val="28"/>
          <w:lang w:val="ru-RU"/>
        </w:rPr>
      </w:pPr>
      <w:r w:rsidRPr="00CC7BBE">
        <w:rPr>
          <w:rFonts w:ascii="Times New Roman" w:hAnsi="Times New Roman" w:cs="Times New Roman"/>
          <w:i/>
          <w:sz w:val="28"/>
          <w:szCs w:val="28"/>
          <w:lang w:val="ru-RU"/>
        </w:rPr>
        <w:t>г. Славянск-на-Кубани, РФ</w:t>
      </w:r>
    </w:p>
    <w:p w14:paraId="1344F937" w14:textId="77777777" w:rsidR="00CC7BBE" w:rsidRDefault="00CC7BBE" w:rsidP="00CC7BBE">
      <w:pPr>
        <w:spacing w:line="360" w:lineRule="auto"/>
        <w:ind w:firstLine="709"/>
        <w:jc w:val="right"/>
        <w:rPr>
          <w:rFonts w:ascii="Times New Roman" w:hAnsi="Times New Roman"/>
          <w:b/>
          <w:bCs/>
          <w:sz w:val="28"/>
          <w:szCs w:val="28"/>
          <w:lang w:val="ru-RU"/>
        </w:rPr>
      </w:pPr>
    </w:p>
    <w:p w14:paraId="3FC13802" w14:textId="77777777" w:rsidR="00CC3ED4" w:rsidRDefault="00CC7BBE">
      <w:pPr>
        <w:spacing w:line="360" w:lineRule="auto"/>
        <w:ind w:firstLineChars="214" w:firstLine="602"/>
        <w:jc w:val="both"/>
        <w:rPr>
          <w:rFonts w:ascii="Times New Roman" w:hAnsi="Times New Roman" w:cs="Times New Roman"/>
          <w:sz w:val="28"/>
          <w:szCs w:val="28"/>
          <w:lang w:val="ru-RU"/>
        </w:rPr>
      </w:pPr>
      <w:r w:rsidRPr="00CC7BBE">
        <w:rPr>
          <w:rFonts w:ascii="Times New Roman" w:hAnsi="Times New Roman" w:cs="Times New Roman"/>
          <w:b/>
          <w:sz w:val="28"/>
          <w:szCs w:val="28"/>
          <w:lang w:val="ru-RU"/>
        </w:rPr>
        <w:t>А</w:t>
      </w:r>
      <w:r w:rsidRPr="00CC7BBE">
        <w:rPr>
          <w:rFonts w:ascii="Times New Roman" w:hAnsi="Times New Roman" w:cs="Times New Roman"/>
          <w:b/>
          <w:sz w:val="28"/>
          <w:szCs w:val="28"/>
          <w:lang w:val="ru-RU"/>
        </w:rPr>
        <w:t>ннотация:</w:t>
      </w:r>
      <w:r w:rsidRPr="00CC7BBE">
        <w:rPr>
          <w:rFonts w:ascii="Times New Roman" w:hAnsi="Times New Roman" w:cs="Times New Roman"/>
          <w:sz w:val="28"/>
          <w:szCs w:val="28"/>
          <w:lang w:val="ru-RU"/>
        </w:rPr>
        <w:t xml:space="preserve"> Материалы данной статьи включают в себя анализ </w:t>
      </w:r>
      <w:r w:rsidRPr="00CC7BBE">
        <w:rPr>
          <w:rFonts w:ascii="Times New Roman" w:hAnsi="Times New Roman"/>
          <w:sz w:val="28"/>
          <w:szCs w:val="28"/>
          <w:lang w:val="ru-RU"/>
        </w:rPr>
        <w:t>показателей платных услуг населению в Российской экономике в период 2005–2024 годов</w:t>
      </w:r>
      <w:r w:rsidRPr="00CC7BBE">
        <w:rPr>
          <w:rFonts w:ascii="Times New Roman" w:hAnsi="Times New Roman" w:cs="Times New Roman"/>
          <w:sz w:val="28"/>
          <w:szCs w:val="28"/>
          <w:lang w:val="ru-RU"/>
        </w:rPr>
        <w:t>, в том числе:</w:t>
      </w:r>
      <w:r>
        <w:rPr>
          <w:rFonts w:ascii="Times New Roman" w:hAnsi="Times New Roman" w:cs="Times New Roman"/>
          <w:sz w:val="28"/>
          <w:szCs w:val="28"/>
          <w:lang w:val="ru-RU"/>
        </w:rPr>
        <w:t xml:space="preserve"> с</w:t>
      </w:r>
      <w:r>
        <w:rPr>
          <w:rFonts w:ascii="Times New Roman" w:hAnsi="Times New Roman"/>
          <w:sz w:val="28"/>
          <w:szCs w:val="28"/>
          <w:lang w:val="ru-RU"/>
        </w:rPr>
        <w:t>труктура платных услуг населению Российской Федерац</w:t>
      </w:r>
      <w:r>
        <w:rPr>
          <w:rFonts w:ascii="Times New Roman" w:hAnsi="Times New Roman"/>
          <w:sz w:val="28"/>
          <w:szCs w:val="28"/>
          <w:lang w:val="ru-RU"/>
        </w:rPr>
        <w:t>ии за январь–декабрь 2024 (млн.)</w:t>
      </w:r>
      <w:r>
        <w:rPr>
          <w:rFonts w:ascii="Times New Roman" w:hAnsi="Times New Roman"/>
          <w:sz w:val="28"/>
          <w:szCs w:val="28"/>
          <w:lang w:val="ru-RU"/>
        </w:rPr>
        <w:t>, о</w:t>
      </w:r>
      <w:r>
        <w:rPr>
          <w:rFonts w:ascii="Times New Roman" w:hAnsi="Times New Roman"/>
          <w:sz w:val="28"/>
          <w:szCs w:val="28"/>
          <w:lang w:val="ru-RU"/>
        </w:rPr>
        <w:t>бъема платных услуг населению в расчете на душу населения Российской Федерации в период с 2005 по 2023 гг. (тыс. руб.)</w:t>
      </w:r>
      <w:r>
        <w:rPr>
          <w:rFonts w:ascii="Times New Roman" w:hAnsi="Times New Roman"/>
          <w:sz w:val="28"/>
          <w:szCs w:val="28"/>
          <w:lang w:val="ru-RU"/>
        </w:rPr>
        <w:t>, о</w:t>
      </w:r>
      <w:r>
        <w:rPr>
          <w:rFonts w:ascii="Times New Roman" w:hAnsi="Times New Roman"/>
          <w:sz w:val="28"/>
          <w:szCs w:val="28"/>
          <w:lang w:val="ru-RU"/>
        </w:rPr>
        <w:t xml:space="preserve">бъема платных транспортных услуг населению Российской Федерации в расчете на душу населения в </w:t>
      </w:r>
      <w:r>
        <w:rPr>
          <w:rFonts w:ascii="Times New Roman" w:hAnsi="Times New Roman"/>
          <w:sz w:val="28"/>
          <w:szCs w:val="28"/>
          <w:lang w:val="ru-RU"/>
        </w:rPr>
        <w:t>период с 2005 по 2023 гг. (тыс. руб.)</w:t>
      </w:r>
      <w:r>
        <w:rPr>
          <w:rFonts w:ascii="Times New Roman" w:hAnsi="Times New Roman"/>
          <w:sz w:val="28"/>
          <w:szCs w:val="28"/>
          <w:lang w:val="ru-RU"/>
        </w:rPr>
        <w:t>. о</w:t>
      </w:r>
      <w:r>
        <w:rPr>
          <w:rFonts w:ascii="Times New Roman" w:hAnsi="Times New Roman"/>
          <w:sz w:val="28"/>
          <w:szCs w:val="28"/>
          <w:lang w:val="ru-RU"/>
        </w:rPr>
        <w:t>бъема платных медицинских услуг населению Российской Федерации в расчете на душу населения в период с 2005 по 2023 гг. (тыс. руб.)</w:t>
      </w:r>
      <w:r>
        <w:rPr>
          <w:rFonts w:ascii="Times New Roman" w:hAnsi="Times New Roman"/>
          <w:sz w:val="28"/>
          <w:szCs w:val="28"/>
          <w:lang w:val="ru-RU"/>
        </w:rPr>
        <w:t>, о</w:t>
      </w:r>
      <w:r>
        <w:rPr>
          <w:rFonts w:ascii="Times New Roman" w:hAnsi="Times New Roman"/>
          <w:sz w:val="28"/>
          <w:szCs w:val="28"/>
          <w:lang w:val="ru-RU"/>
        </w:rPr>
        <w:t>бъема платных юридических услуг населению Российской Федерации в расчете на душу на</w:t>
      </w:r>
      <w:r>
        <w:rPr>
          <w:rFonts w:ascii="Times New Roman" w:hAnsi="Times New Roman"/>
          <w:sz w:val="28"/>
          <w:szCs w:val="28"/>
          <w:lang w:val="ru-RU"/>
        </w:rPr>
        <w:t>селения в период с 2005 по 2023 гг. (тыс. руб.)</w:t>
      </w:r>
      <w:r>
        <w:rPr>
          <w:rFonts w:ascii="Times New Roman" w:hAnsi="Times New Roman"/>
          <w:sz w:val="28"/>
          <w:szCs w:val="28"/>
          <w:lang w:val="ru-RU"/>
        </w:rPr>
        <w:t>, о</w:t>
      </w:r>
      <w:r>
        <w:rPr>
          <w:rFonts w:ascii="Times New Roman" w:hAnsi="Times New Roman"/>
          <w:sz w:val="28"/>
          <w:szCs w:val="28"/>
          <w:lang w:val="ru-RU"/>
        </w:rPr>
        <w:t>бъема платных образовательных услуг населению Российской Федерации в расчете на душу населения в период</w:t>
      </w:r>
      <w:r>
        <w:rPr>
          <w:rFonts w:ascii="Times New Roman" w:hAnsi="Times New Roman"/>
          <w:sz w:val="28"/>
          <w:szCs w:val="28"/>
          <w:lang w:val="ru-RU"/>
        </w:rPr>
        <w:t xml:space="preserve"> </w:t>
      </w:r>
      <w:r>
        <w:rPr>
          <w:rFonts w:ascii="Times New Roman" w:hAnsi="Times New Roman"/>
          <w:sz w:val="28"/>
          <w:szCs w:val="28"/>
          <w:lang w:val="ru-RU"/>
        </w:rPr>
        <w:t>с 2005 по 2023 гг. (тыс. руб.)</w:t>
      </w:r>
    </w:p>
    <w:p w14:paraId="728E787E" w14:textId="266A9441" w:rsidR="00CC3ED4" w:rsidRDefault="00CC7BBE">
      <w:pPr>
        <w:pStyle w:val="a4"/>
        <w:spacing w:line="360" w:lineRule="auto"/>
        <w:ind w:firstLine="567"/>
        <w:jc w:val="both"/>
        <w:rPr>
          <w:rFonts w:ascii="Times New Roman" w:hAnsi="Times New Roman" w:cs="Times New Roman"/>
          <w:sz w:val="28"/>
          <w:szCs w:val="28"/>
        </w:rPr>
      </w:pPr>
      <w:r>
        <w:rPr>
          <w:rFonts w:ascii="Times New Roman" w:hAnsi="Times New Roman" w:cs="Times New Roman"/>
          <w:b/>
          <w:sz w:val="28"/>
          <w:szCs w:val="28"/>
        </w:rPr>
        <w:t>Ключевые слова:</w:t>
      </w:r>
      <w:r>
        <w:rPr>
          <w:rFonts w:ascii="Times New Roman" w:hAnsi="Times New Roman" w:cs="Times New Roman"/>
          <w:sz w:val="28"/>
          <w:szCs w:val="28"/>
        </w:rPr>
        <w:t xml:space="preserve"> экономика России, платные услуги, сфера услуг, потребле</w:t>
      </w:r>
      <w:r>
        <w:rPr>
          <w:rFonts w:ascii="Times New Roman" w:hAnsi="Times New Roman" w:cs="Times New Roman"/>
          <w:sz w:val="28"/>
          <w:szCs w:val="28"/>
        </w:rPr>
        <w:t>ние, расходы.</w:t>
      </w:r>
    </w:p>
    <w:p w14:paraId="61C635E9" w14:textId="5B91FE60" w:rsidR="00CC7BBE" w:rsidRDefault="00CC7BBE">
      <w:pPr>
        <w:pStyle w:val="a4"/>
        <w:spacing w:line="360" w:lineRule="auto"/>
        <w:ind w:firstLine="567"/>
        <w:jc w:val="both"/>
        <w:rPr>
          <w:rFonts w:ascii="Times New Roman" w:hAnsi="Times New Roman"/>
          <w:b/>
          <w:bCs/>
          <w:sz w:val="28"/>
          <w:szCs w:val="28"/>
        </w:rPr>
      </w:pPr>
    </w:p>
    <w:p w14:paraId="45FBAFBC" w14:textId="77777777" w:rsidR="00CC7BBE" w:rsidRPr="00CC7BBE" w:rsidRDefault="00CC7BBE" w:rsidP="00CC7BBE">
      <w:pPr>
        <w:pStyle w:val="a4"/>
        <w:spacing w:line="360" w:lineRule="auto"/>
        <w:ind w:firstLine="567"/>
        <w:jc w:val="center"/>
        <w:rPr>
          <w:rFonts w:ascii="Times New Roman" w:hAnsi="Times New Roman"/>
          <w:b/>
          <w:bCs/>
          <w:sz w:val="28"/>
          <w:szCs w:val="28"/>
          <w:lang w:val="en-US"/>
        </w:rPr>
      </w:pPr>
      <w:r w:rsidRPr="00CC7BBE">
        <w:rPr>
          <w:rFonts w:ascii="Times New Roman" w:hAnsi="Times New Roman"/>
          <w:b/>
          <w:bCs/>
          <w:sz w:val="28"/>
          <w:szCs w:val="28"/>
          <w:lang w:val="en-US"/>
        </w:rPr>
        <w:lastRenderedPageBreak/>
        <w:t>Analysis of indicators of paid transport, legal and medical services to the population in the Russian economy in the period 2005-2024</w:t>
      </w:r>
    </w:p>
    <w:p w14:paraId="639199BC" w14:textId="77777777" w:rsidR="00CC7BBE" w:rsidRPr="00CC7BBE" w:rsidRDefault="00CC7BBE" w:rsidP="00CC7BBE">
      <w:pPr>
        <w:pStyle w:val="a4"/>
        <w:ind w:firstLine="567"/>
        <w:jc w:val="right"/>
        <w:rPr>
          <w:rFonts w:ascii="Times New Roman" w:hAnsi="Times New Roman"/>
          <w:b/>
          <w:bCs/>
          <w:i/>
          <w:iCs/>
          <w:sz w:val="28"/>
          <w:szCs w:val="28"/>
          <w:lang w:val="en-US"/>
        </w:rPr>
      </w:pPr>
      <w:r w:rsidRPr="00CC7BBE">
        <w:rPr>
          <w:rFonts w:ascii="Times New Roman" w:hAnsi="Times New Roman"/>
          <w:b/>
          <w:bCs/>
          <w:i/>
          <w:iCs/>
          <w:sz w:val="28"/>
          <w:szCs w:val="28"/>
          <w:lang w:val="en-US"/>
        </w:rPr>
        <w:t xml:space="preserve">Anastasia </w:t>
      </w:r>
      <w:proofErr w:type="spellStart"/>
      <w:r w:rsidRPr="00CC7BBE">
        <w:rPr>
          <w:rFonts w:ascii="Times New Roman" w:hAnsi="Times New Roman"/>
          <w:b/>
          <w:bCs/>
          <w:i/>
          <w:iCs/>
          <w:sz w:val="28"/>
          <w:szCs w:val="28"/>
          <w:lang w:val="en-US"/>
        </w:rPr>
        <w:t>Vitalievna</w:t>
      </w:r>
      <w:proofErr w:type="spellEnd"/>
      <w:r w:rsidRPr="00CC7BBE">
        <w:rPr>
          <w:rFonts w:ascii="Times New Roman" w:hAnsi="Times New Roman"/>
          <w:b/>
          <w:bCs/>
          <w:i/>
          <w:iCs/>
          <w:sz w:val="28"/>
          <w:szCs w:val="28"/>
          <w:lang w:val="en-US"/>
        </w:rPr>
        <w:t xml:space="preserve"> </w:t>
      </w:r>
      <w:proofErr w:type="spellStart"/>
      <w:r w:rsidRPr="00CC7BBE">
        <w:rPr>
          <w:rFonts w:ascii="Times New Roman" w:hAnsi="Times New Roman"/>
          <w:b/>
          <w:bCs/>
          <w:i/>
          <w:iCs/>
          <w:sz w:val="28"/>
          <w:szCs w:val="28"/>
          <w:lang w:val="en-US"/>
        </w:rPr>
        <w:t>Podrez</w:t>
      </w:r>
      <w:proofErr w:type="spellEnd"/>
      <w:r w:rsidRPr="00CC7BBE">
        <w:rPr>
          <w:rFonts w:ascii="Times New Roman" w:hAnsi="Times New Roman"/>
          <w:b/>
          <w:bCs/>
          <w:i/>
          <w:iCs/>
          <w:sz w:val="28"/>
          <w:szCs w:val="28"/>
          <w:lang w:val="en-US"/>
        </w:rPr>
        <w:t>,</w:t>
      </w:r>
    </w:p>
    <w:p w14:paraId="63C3A45A"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student, branch of the Federal State Budgetary Educational Institution of Higher Education "Kuban</w:t>
      </w:r>
    </w:p>
    <w:p w14:paraId="6384EF7A"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State University"</w:t>
      </w:r>
    </w:p>
    <w:p w14:paraId="7DE412E7"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in Slavyansk-</w:t>
      </w:r>
      <w:proofErr w:type="spellStart"/>
      <w:r w:rsidRPr="00CC7BBE">
        <w:rPr>
          <w:rFonts w:ascii="Times New Roman" w:hAnsi="Times New Roman"/>
          <w:i/>
          <w:iCs/>
          <w:sz w:val="28"/>
          <w:szCs w:val="28"/>
          <w:lang w:val="en-US"/>
        </w:rPr>
        <w:t>na</w:t>
      </w:r>
      <w:proofErr w:type="spellEnd"/>
      <w:r w:rsidRPr="00CC7BBE">
        <w:rPr>
          <w:rFonts w:ascii="Times New Roman" w:hAnsi="Times New Roman"/>
          <w:i/>
          <w:iCs/>
          <w:sz w:val="28"/>
          <w:szCs w:val="28"/>
          <w:lang w:val="en-US"/>
        </w:rPr>
        <w:t>-</w:t>
      </w:r>
      <w:proofErr w:type="spellStart"/>
      <w:r w:rsidRPr="00CC7BBE">
        <w:rPr>
          <w:rFonts w:ascii="Times New Roman" w:hAnsi="Times New Roman"/>
          <w:i/>
          <w:iCs/>
          <w:sz w:val="28"/>
          <w:szCs w:val="28"/>
          <w:lang w:val="en-US"/>
        </w:rPr>
        <w:t>Kubani</w:t>
      </w:r>
      <w:proofErr w:type="spellEnd"/>
      <w:r w:rsidRPr="00CC7BBE">
        <w:rPr>
          <w:rFonts w:ascii="Times New Roman" w:hAnsi="Times New Roman"/>
          <w:i/>
          <w:iCs/>
          <w:sz w:val="28"/>
          <w:szCs w:val="28"/>
          <w:lang w:val="en-US"/>
        </w:rPr>
        <w:t>,</w:t>
      </w:r>
    </w:p>
    <w:p w14:paraId="31B6243A"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Slavyansk-</w:t>
      </w:r>
      <w:proofErr w:type="spellStart"/>
      <w:r w:rsidRPr="00CC7BBE">
        <w:rPr>
          <w:rFonts w:ascii="Times New Roman" w:hAnsi="Times New Roman"/>
          <w:i/>
          <w:iCs/>
          <w:sz w:val="28"/>
          <w:szCs w:val="28"/>
          <w:lang w:val="en-US"/>
        </w:rPr>
        <w:t>na</w:t>
      </w:r>
      <w:proofErr w:type="spellEnd"/>
      <w:r w:rsidRPr="00CC7BBE">
        <w:rPr>
          <w:rFonts w:ascii="Times New Roman" w:hAnsi="Times New Roman"/>
          <w:i/>
          <w:iCs/>
          <w:sz w:val="28"/>
          <w:szCs w:val="28"/>
          <w:lang w:val="en-US"/>
        </w:rPr>
        <w:t>-</w:t>
      </w:r>
      <w:proofErr w:type="spellStart"/>
      <w:r w:rsidRPr="00CC7BBE">
        <w:rPr>
          <w:rFonts w:ascii="Times New Roman" w:hAnsi="Times New Roman"/>
          <w:i/>
          <w:iCs/>
          <w:sz w:val="28"/>
          <w:szCs w:val="28"/>
          <w:lang w:val="en-US"/>
        </w:rPr>
        <w:t>Kubani</w:t>
      </w:r>
      <w:proofErr w:type="spellEnd"/>
      <w:r w:rsidRPr="00CC7BBE">
        <w:rPr>
          <w:rFonts w:ascii="Times New Roman" w:hAnsi="Times New Roman"/>
          <w:i/>
          <w:iCs/>
          <w:sz w:val="28"/>
          <w:szCs w:val="28"/>
          <w:lang w:val="en-US"/>
        </w:rPr>
        <w:t>, Russian Federation</w:t>
      </w:r>
    </w:p>
    <w:p w14:paraId="339885BC"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(anastasiapodrez577@gmail.com)</w:t>
      </w:r>
    </w:p>
    <w:p w14:paraId="7D4F4DC4" w14:textId="77777777" w:rsidR="00CC7BBE" w:rsidRPr="00CC7BBE" w:rsidRDefault="00CC7BBE" w:rsidP="00CC7BBE">
      <w:pPr>
        <w:pStyle w:val="a4"/>
        <w:ind w:firstLine="567"/>
        <w:jc w:val="right"/>
        <w:rPr>
          <w:rFonts w:ascii="Times New Roman" w:hAnsi="Times New Roman"/>
          <w:b/>
          <w:bCs/>
          <w:i/>
          <w:iCs/>
          <w:sz w:val="28"/>
          <w:szCs w:val="28"/>
          <w:lang w:val="en-US"/>
        </w:rPr>
      </w:pPr>
      <w:r w:rsidRPr="00CC7BBE">
        <w:rPr>
          <w:rFonts w:ascii="Times New Roman" w:hAnsi="Times New Roman"/>
          <w:b/>
          <w:bCs/>
          <w:i/>
          <w:iCs/>
          <w:sz w:val="28"/>
          <w:szCs w:val="28"/>
          <w:lang w:val="en-US"/>
        </w:rPr>
        <w:t xml:space="preserve">Anna Vladimirovna </w:t>
      </w:r>
      <w:proofErr w:type="spellStart"/>
      <w:r w:rsidRPr="00CC7BBE">
        <w:rPr>
          <w:rFonts w:ascii="Times New Roman" w:hAnsi="Times New Roman"/>
          <w:b/>
          <w:bCs/>
          <w:i/>
          <w:iCs/>
          <w:sz w:val="28"/>
          <w:szCs w:val="28"/>
          <w:lang w:val="en-US"/>
        </w:rPr>
        <w:t>Makhova</w:t>
      </w:r>
      <w:proofErr w:type="spellEnd"/>
      <w:r w:rsidRPr="00CC7BBE">
        <w:rPr>
          <w:rFonts w:ascii="Times New Roman" w:hAnsi="Times New Roman"/>
          <w:b/>
          <w:bCs/>
          <w:i/>
          <w:iCs/>
          <w:sz w:val="28"/>
          <w:szCs w:val="28"/>
          <w:lang w:val="en-US"/>
        </w:rPr>
        <w:t xml:space="preserve"> - scientific supervisor,</w:t>
      </w:r>
    </w:p>
    <w:p w14:paraId="66675B8D"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Ph.D. in Economics, Associate Professor,</w:t>
      </w:r>
    </w:p>
    <w:p w14:paraId="26301A19"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Associate Professor of the Department of History, Social Science</w:t>
      </w:r>
    </w:p>
    <w:p w14:paraId="1E65FDD0"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and Pedagogical Technologies;</w:t>
      </w:r>
    </w:p>
    <w:p w14:paraId="49C6C80A"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Federal State Budgetary Educational Institution of Higher Education "Kuban State University"</w:t>
      </w:r>
    </w:p>
    <w:p w14:paraId="69F4F94D" w14:textId="77777777" w:rsidR="00CC7BBE" w:rsidRPr="00CC7BBE" w:rsidRDefault="00CC7BBE" w:rsidP="00CC7BBE">
      <w:pPr>
        <w:pStyle w:val="a4"/>
        <w:ind w:firstLine="567"/>
        <w:jc w:val="right"/>
        <w:rPr>
          <w:rFonts w:ascii="Times New Roman" w:hAnsi="Times New Roman"/>
          <w:i/>
          <w:iCs/>
          <w:sz w:val="28"/>
          <w:szCs w:val="28"/>
          <w:lang w:val="en-US"/>
        </w:rPr>
      </w:pPr>
      <w:r w:rsidRPr="00CC7BBE">
        <w:rPr>
          <w:rFonts w:ascii="Times New Roman" w:hAnsi="Times New Roman"/>
          <w:i/>
          <w:iCs/>
          <w:sz w:val="28"/>
          <w:szCs w:val="28"/>
          <w:lang w:val="en-US"/>
        </w:rPr>
        <w:t>branch in Slavyansk-</w:t>
      </w:r>
      <w:proofErr w:type="spellStart"/>
      <w:r w:rsidRPr="00CC7BBE">
        <w:rPr>
          <w:rFonts w:ascii="Times New Roman" w:hAnsi="Times New Roman"/>
          <w:i/>
          <w:iCs/>
          <w:sz w:val="28"/>
          <w:szCs w:val="28"/>
          <w:lang w:val="en-US"/>
        </w:rPr>
        <w:t>na</w:t>
      </w:r>
      <w:proofErr w:type="spellEnd"/>
      <w:r w:rsidRPr="00CC7BBE">
        <w:rPr>
          <w:rFonts w:ascii="Times New Roman" w:hAnsi="Times New Roman"/>
          <w:i/>
          <w:iCs/>
          <w:sz w:val="28"/>
          <w:szCs w:val="28"/>
          <w:lang w:val="en-US"/>
        </w:rPr>
        <w:t>-</w:t>
      </w:r>
      <w:proofErr w:type="spellStart"/>
      <w:r w:rsidRPr="00CC7BBE">
        <w:rPr>
          <w:rFonts w:ascii="Times New Roman" w:hAnsi="Times New Roman"/>
          <w:i/>
          <w:iCs/>
          <w:sz w:val="28"/>
          <w:szCs w:val="28"/>
          <w:lang w:val="en-US"/>
        </w:rPr>
        <w:t>Kubani</w:t>
      </w:r>
      <w:proofErr w:type="spellEnd"/>
      <w:r w:rsidRPr="00CC7BBE">
        <w:rPr>
          <w:rFonts w:ascii="Times New Roman" w:hAnsi="Times New Roman"/>
          <w:i/>
          <w:iCs/>
          <w:sz w:val="28"/>
          <w:szCs w:val="28"/>
          <w:lang w:val="en-US"/>
        </w:rPr>
        <w:t>,</w:t>
      </w:r>
    </w:p>
    <w:p w14:paraId="0AD88B2F" w14:textId="0B969AF4" w:rsidR="00CC7BBE" w:rsidRDefault="00CC7BBE" w:rsidP="00CC7BBE">
      <w:pPr>
        <w:pStyle w:val="a4"/>
        <w:ind w:firstLine="567"/>
        <w:jc w:val="right"/>
        <w:rPr>
          <w:rFonts w:ascii="Times New Roman" w:hAnsi="Times New Roman"/>
          <w:i/>
          <w:iCs/>
          <w:sz w:val="28"/>
          <w:szCs w:val="28"/>
        </w:rPr>
      </w:pPr>
      <w:proofErr w:type="spellStart"/>
      <w:r w:rsidRPr="00CC7BBE">
        <w:rPr>
          <w:rFonts w:ascii="Times New Roman" w:hAnsi="Times New Roman"/>
          <w:i/>
          <w:iCs/>
          <w:sz w:val="28"/>
          <w:szCs w:val="28"/>
        </w:rPr>
        <w:t>Slavyansk-na-Kubani</w:t>
      </w:r>
      <w:proofErr w:type="spellEnd"/>
      <w:r w:rsidRPr="00CC7BBE">
        <w:rPr>
          <w:rFonts w:ascii="Times New Roman" w:hAnsi="Times New Roman"/>
          <w:i/>
          <w:iCs/>
          <w:sz w:val="28"/>
          <w:szCs w:val="28"/>
        </w:rPr>
        <w:t>, Russian Federation</w:t>
      </w:r>
    </w:p>
    <w:p w14:paraId="47688830" w14:textId="77777777" w:rsidR="00CC7BBE" w:rsidRPr="00CC7BBE" w:rsidRDefault="00CC7BBE" w:rsidP="00CC7BBE">
      <w:pPr>
        <w:pStyle w:val="a4"/>
        <w:spacing w:line="360" w:lineRule="auto"/>
        <w:ind w:firstLine="567"/>
        <w:jc w:val="both"/>
        <w:rPr>
          <w:rFonts w:ascii="Times New Roman" w:hAnsi="Times New Roman"/>
          <w:sz w:val="28"/>
          <w:szCs w:val="28"/>
          <w:lang w:val="en-US"/>
        </w:rPr>
      </w:pPr>
      <w:r w:rsidRPr="00CC7BBE">
        <w:rPr>
          <w:rFonts w:ascii="Times New Roman" w:hAnsi="Times New Roman"/>
          <w:b/>
          <w:bCs/>
          <w:sz w:val="28"/>
          <w:szCs w:val="28"/>
          <w:lang w:val="en-US"/>
        </w:rPr>
        <w:t xml:space="preserve">Abstract: </w:t>
      </w:r>
      <w:r w:rsidRPr="00CC7BBE">
        <w:rPr>
          <w:rFonts w:ascii="Times New Roman" w:hAnsi="Times New Roman"/>
          <w:sz w:val="28"/>
          <w:szCs w:val="28"/>
          <w:lang w:val="en-US"/>
        </w:rPr>
        <w:t>The materials of this article include an analysis of indicators of paid services to the population in the Russian economy in the period 2005-2024, including: the structure of paid services to the population of the Russian Federation for January-December 2024 (million), the volume of paid services to the population per capita of the Russian Federation in the period from 2005 to 2023 (thousand rubles), the volume of paid transport services to the population of the Russian Federation per capita in the period from 2005 to 2023 (thousand rubles). The volume of paid medical services to the population of the Russian Federation per capita in the period from 2005 to 2023 (thousand rubles), the volume of paid legal services to the population of the Russian Federation per capita in the period from 2005 to 2023. (</w:t>
      </w:r>
      <w:proofErr w:type="gramStart"/>
      <w:r w:rsidRPr="00CC7BBE">
        <w:rPr>
          <w:rFonts w:ascii="Times New Roman" w:hAnsi="Times New Roman"/>
          <w:sz w:val="28"/>
          <w:szCs w:val="28"/>
          <w:lang w:val="en-US"/>
        </w:rPr>
        <w:t>thousand</w:t>
      </w:r>
      <w:proofErr w:type="gramEnd"/>
      <w:r w:rsidRPr="00CC7BBE">
        <w:rPr>
          <w:rFonts w:ascii="Times New Roman" w:hAnsi="Times New Roman"/>
          <w:sz w:val="28"/>
          <w:szCs w:val="28"/>
          <w:lang w:val="en-US"/>
        </w:rPr>
        <w:t xml:space="preserve"> rubles), volume of paid educational services to the population of the Russian Federation per capita in the period from 2005 to 2023 (thousand rubles)</w:t>
      </w:r>
    </w:p>
    <w:p w14:paraId="2BC3422E" w14:textId="6959D495" w:rsidR="00CC7BBE" w:rsidRPr="00CC7BBE" w:rsidRDefault="00CC7BBE" w:rsidP="00CC7BBE">
      <w:pPr>
        <w:pStyle w:val="a4"/>
        <w:spacing w:line="360" w:lineRule="auto"/>
        <w:ind w:firstLine="567"/>
        <w:jc w:val="both"/>
        <w:rPr>
          <w:rFonts w:ascii="Times New Roman" w:hAnsi="Times New Roman"/>
          <w:sz w:val="28"/>
          <w:szCs w:val="28"/>
          <w:lang w:val="en-US"/>
        </w:rPr>
      </w:pPr>
      <w:r w:rsidRPr="00CC7BBE">
        <w:rPr>
          <w:rFonts w:ascii="Times New Roman" w:hAnsi="Times New Roman"/>
          <w:b/>
          <w:bCs/>
          <w:sz w:val="28"/>
          <w:szCs w:val="28"/>
          <w:lang w:val="en-US"/>
        </w:rPr>
        <w:t xml:space="preserve"> </w:t>
      </w:r>
      <w:r w:rsidRPr="00CC7BBE">
        <w:rPr>
          <w:rFonts w:ascii="Times New Roman" w:hAnsi="Times New Roman"/>
          <w:b/>
          <w:bCs/>
          <w:sz w:val="28"/>
          <w:szCs w:val="28"/>
          <w:lang w:val="en-US"/>
        </w:rPr>
        <w:t xml:space="preserve">Keywords: </w:t>
      </w:r>
      <w:r w:rsidRPr="00CC7BBE">
        <w:rPr>
          <w:rFonts w:ascii="Times New Roman" w:hAnsi="Times New Roman"/>
          <w:sz w:val="28"/>
          <w:szCs w:val="28"/>
          <w:lang w:val="en-US"/>
        </w:rPr>
        <w:t>Russian economy, paid services, service sector, consumption, expenses.</w:t>
      </w:r>
    </w:p>
    <w:p w14:paraId="5EB17CD2" w14:textId="77777777" w:rsidR="00CC3ED4" w:rsidRDefault="00CC7BBE">
      <w:pPr>
        <w:spacing w:line="360" w:lineRule="auto"/>
        <w:ind w:firstLine="709"/>
        <w:jc w:val="both"/>
        <w:rPr>
          <w:rFonts w:ascii="Times New Roman" w:hAnsi="Times New Roman"/>
          <w:bCs/>
          <w:sz w:val="28"/>
          <w:szCs w:val="28"/>
          <w:lang w:val="ru-RU"/>
        </w:rPr>
      </w:pPr>
      <w:r>
        <w:rPr>
          <w:rFonts w:ascii="Times New Roman" w:hAnsi="Times New Roman"/>
          <w:bCs/>
          <w:sz w:val="28"/>
          <w:szCs w:val="28"/>
          <w:lang w:val="ru-RU"/>
        </w:rPr>
        <w:t>Платные услуги в современной экономике занимают основную массу в сфере услуг. В них входят: транспортные, услуги связи,</w:t>
      </w:r>
      <w:r>
        <w:rPr>
          <w:rFonts w:ascii="Times New Roman" w:hAnsi="Times New Roman"/>
          <w:bCs/>
          <w:sz w:val="28"/>
          <w:szCs w:val="28"/>
          <w:lang w:val="ru-RU"/>
        </w:rPr>
        <w:t xml:space="preserve"> </w:t>
      </w:r>
      <w:r>
        <w:rPr>
          <w:rFonts w:ascii="Times New Roman" w:hAnsi="Times New Roman"/>
          <w:bCs/>
          <w:sz w:val="28"/>
          <w:szCs w:val="28"/>
          <w:lang w:val="ru-RU"/>
        </w:rPr>
        <w:t>медицинские, юридические, ветеринарные, образовательные. Чем развитее является страна, тем большим спектром услуг пользует</w:t>
      </w:r>
      <w:r>
        <w:rPr>
          <w:rFonts w:ascii="Times New Roman" w:hAnsi="Times New Roman"/>
          <w:bCs/>
          <w:sz w:val="28"/>
          <w:szCs w:val="28"/>
          <w:lang w:val="ru-RU"/>
        </w:rPr>
        <w:t xml:space="preserve">ся население. Сравнивая услуги с </w:t>
      </w:r>
      <w:r>
        <w:rPr>
          <w:rFonts w:ascii="Times New Roman" w:hAnsi="Times New Roman"/>
          <w:bCs/>
          <w:sz w:val="28"/>
          <w:szCs w:val="28"/>
          <w:lang w:val="ru-RU"/>
        </w:rPr>
        <w:lastRenderedPageBreak/>
        <w:t>товарами материального производства, мы видим, что они, будучи предоставляемыми людьми, более дороги, также можно заметить, что, чем развитее экономика, тем дороже услуги, предоставляемые людьми. Поэтому анализ объема и стр</w:t>
      </w:r>
      <w:r>
        <w:rPr>
          <w:rFonts w:ascii="Times New Roman" w:hAnsi="Times New Roman"/>
          <w:bCs/>
          <w:sz w:val="28"/>
          <w:szCs w:val="28"/>
          <w:lang w:val="ru-RU"/>
        </w:rPr>
        <w:t>уктуры платных услуг имеет довольно большое значение для повышения эффективности и конкурентоспособности организаций в различных отраслях.</w:t>
      </w:r>
    </w:p>
    <w:p w14:paraId="5A0E78A7" w14:textId="77777777" w:rsidR="00CC3ED4" w:rsidRDefault="00CC7BBE">
      <w:pPr>
        <w:spacing w:line="360" w:lineRule="auto"/>
        <w:ind w:firstLine="709"/>
        <w:jc w:val="both"/>
        <w:rPr>
          <w:rFonts w:ascii="Times New Roman" w:hAnsi="Times New Roman"/>
          <w:sz w:val="32"/>
          <w:szCs w:val="32"/>
          <w:lang w:val="ru-RU"/>
        </w:rPr>
      </w:pPr>
      <w:r>
        <w:rPr>
          <w:rFonts w:ascii="Times New Roman" w:hAnsi="Times New Roman"/>
          <w:sz w:val="28"/>
          <w:szCs w:val="28"/>
          <w:lang w:val="ru-RU"/>
        </w:rPr>
        <w:t xml:space="preserve"> Рассмотрим структуру платных услуг населению Российской Федерации в период с январь по декабрь 2024 г. в млн. руб. (</w:t>
      </w:r>
      <w:r>
        <w:rPr>
          <w:rFonts w:ascii="Times New Roman" w:hAnsi="Times New Roman"/>
          <w:sz w:val="28"/>
          <w:szCs w:val="28"/>
          <w:lang w:val="ru-RU"/>
        </w:rPr>
        <w:t xml:space="preserve">рисунок </w:t>
      </w:r>
      <w:r>
        <w:rPr>
          <w:rFonts w:ascii="Times New Roman" w:hAnsi="Times New Roman"/>
          <w:sz w:val="28"/>
          <w:szCs w:val="28"/>
          <w:lang w:val="ru-RU"/>
        </w:rPr>
        <w:t>1</w:t>
      </w:r>
      <w:r>
        <w:rPr>
          <w:rFonts w:ascii="Times New Roman" w:hAnsi="Times New Roman"/>
          <w:sz w:val="28"/>
          <w:szCs w:val="28"/>
          <w:lang w:val="ru-RU"/>
        </w:rPr>
        <w:t>). Минимальные показатели приходятся на долю почтовых связей – 1717905,7 млн. руб., курьерских доставок – 114333,8 млн. руб., ветеринарных услуг – 49613 млн. руб., это показывает низкое пользование данным услугами. Также невысокие показатели у сфе</w:t>
      </w:r>
      <w:r>
        <w:rPr>
          <w:rFonts w:ascii="Times New Roman" w:hAnsi="Times New Roman"/>
          <w:sz w:val="28"/>
          <w:szCs w:val="28"/>
          <w:lang w:val="ru-RU"/>
        </w:rPr>
        <w:t>ры культуры – 297253,9 млн. руб., физической культуры и спорта – 901929,2 млн. руб., фитнес центров и спортивных клубов – 100588,5 млн. руб., санаторно-курортных организаций – 233127,7 млн. руб., юридических – 160639,0 млн. руб.</w:t>
      </w:r>
    </w:p>
    <w:p w14:paraId="78377BE0" w14:textId="77777777" w:rsidR="00CC3ED4" w:rsidRDefault="00CC7BBE">
      <w:pPr>
        <w:jc w:val="both"/>
        <w:rPr>
          <w:rFonts w:ascii="Times New Roman" w:hAnsi="Times New Roman"/>
          <w:color w:val="FF0000"/>
          <w:sz w:val="28"/>
          <w:szCs w:val="28"/>
          <w:lang w:val="ru-RU"/>
        </w:rPr>
      </w:pPr>
      <w:r>
        <w:rPr>
          <w:noProof/>
          <w:color w:val="FF0000"/>
          <w:lang w:val="ru-RU" w:eastAsia="ru-RU"/>
        </w:rPr>
        <w:drawing>
          <wp:inline distT="0" distB="0" distL="0" distR="0" wp14:anchorId="0F9F2ED4" wp14:editId="68D43010">
            <wp:extent cx="6144260" cy="2297430"/>
            <wp:effectExtent l="0" t="0" r="8890" b="7620"/>
            <wp:docPr id="14" name="Диаграмма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14:paraId="03983F15" w14:textId="77777777" w:rsidR="00CC3ED4" w:rsidRDefault="00CC7BBE">
      <w:pPr>
        <w:ind w:firstLineChars="125" w:firstLine="350"/>
        <w:jc w:val="center"/>
        <w:rPr>
          <w:rFonts w:ascii="Times New Roman" w:hAnsi="Times New Roman"/>
          <w:sz w:val="28"/>
          <w:szCs w:val="28"/>
          <w:lang w:val="ru-RU"/>
        </w:rPr>
      </w:pPr>
      <w:r>
        <w:rPr>
          <w:rFonts w:ascii="Times New Roman" w:hAnsi="Times New Roman"/>
          <w:sz w:val="28"/>
          <w:szCs w:val="28"/>
          <w:lang w:val="ru-RU"/>
        </w:rPr>
        <w:t xml:space="preserve">Рисунок </w:t>
      </w:r>
      <w:r>
        <w:rPr>
          <w:rFonts w:ascii="Times New Roman" w:hAnsi="Times New Roman"/>
          <w:sz w:val="28"/>
          <w:szCs w:val="28"/>
          <w:lang w:val="ru-RU"/>
        </w:rPr>
        <w:t>1</w:t>
      </w:r>
      <w:r>
        <w:rPr>
          <w:rFonts w:ascii="Times New Roman" w:hAnsi="Times New Roman"/>
          <w:sz w:val="28"/>
          <w:szCs w:val="28"/>
          <w:lang w:val="ru-RU"/>
        </w:rPr>
        <w:t xml:space="preserve"> – Структура платных услуг населению Российской Федерации за январь–декабрь 2024 (</w:t>
      </w:r>
      <w:proofErr w:type="gramStart"/>
      <w:r>
        <w:rPr>
          <w:rFonts w:ascii="Times New Roman" w:hAnsi="Times New Roman"/>
          <w:sz w:val="28"/>
          <w:szCs w:val="28"/>
          <w:lang w:val="ru-RU"/>
        </w:rPr>
        <w:t>млн.)*</w:t>
      </w:r>
      <w:proofErr w:type="gramEnd"/>
    </w:p>
    <w:p w14:paraId="02B8C21A" w14:textId="77777777" w:rsidR="00CC3ED4" w:rsidRDefault="00CC7BBE">
      <w:pPr>
        <w:ind w:firstLineChars="125" w:firstLine="250"/>
        <w:jc w:val="center"/>
        <w:rPr>
          <w:rFonts w:ascii="Times New Roman" w:hAnsi="Times New Roman"/>
          <w:lang w:val="ru-RU"/>
        </w:rPr>
      </w:pPr>
      <w:r>
        <w:rPr>
          <w:rFonts w:ascii="Times New Roman" w:hAnsi="Times New Roman"/>
          <w:lang w:val="ru-RU"/>
        </w:rPr>
        <w:t xml:space="preserve">*(1 – бытовые, 2 – транспортные, 3 – телекоммуникационные, 4 – почтовой связи и курьерские, 5 – из них курьерской доставки, 6 – жилищные, 7 – </w:t>
      </w:r>
      <w:r>
        <w:rPr>
          <w:rFonts w:ascii="Times New Roman" w:hAnsi="Times New Roman"/>
          <w:lang w:val="ru-RU"/>
        </w:rPr>
        <w:t xml:space="preserve">коммунальные, 8 – учреждений культуры, 9 – туристических </w:t>
      </w:r>
      <w:proofErr w:type="spellStart"/>
      <w:r>
        <w:rPr>
          <w:rFonts w:ascii="Times New Roman" w:hAnsi="Times New Roman"/>
          <w:lang w:val="ru-RU"/>
        </w:rPr>
        <w:t>агенств</w:t>
      </w:r>
      <w:proofErr w:type="spellEnd"/>
      <w:r>
        <w:rPr>
          <w:rFonts w:ascii="Times New Roman" w:hAnsi="Times New Roman"/>
          <w:lang w:val="ru-RU"/>
        </w:rPr>
        <w:t>, туроператоров и прочие услуги по бронированию и сопутствующие им услуги, 10 – гостиниц и аналогичные услуги по предоставлению временного жилья, 11 – физической культуры и спорта, 12 – из них</w:t>
      </w:r>
      <w:r>
        <w:rPr>
          <w:rFonts w:ascii="Times New Roman" w:hAnsi="Times New Roman"/>
          <w:lang w:val="ru-RU"/>
        </w:rPr>
        <w:t xml:space="preserve"> фитнес-центров и спортивных клубов, 13 – медицинские, 14 – специализированных коллективных средств размещения, 15 – из них санаторно-курортных организаций, 16 – ветеринарные, 17 – юридические, 18 – системы образования, 19 – услуги, предоставляемые граждан</w:t>
      </w:r>
      <w:r>
        <w:rPr>
          <w:rFonts w:ascii="Times New Roman" w:hAnsi="Times New Roman"/>
          <w:lang w:val="ru-RU"/>
        </w:rPr>
        <w:t>ам пожилого возраста и инвалидам, 20 – прочие платные услуги, 21 – из них электронные услуги и сервисы в области информационно-коммуникационных технологий).</w:t>
      </w:r>
    </w:p>
    <w:p w14:paraId="04FB1F23" w14:textId="77777777" w:rsidR="00CC3ED4" w:rsidRDefault="00CC3ED4">
      <w:pPr>
        <w:spacing w:line="360" w:lineRule="auto"/>
        <w:ind w:firstLineChars="125" w:firstLine="350"/>
        <w:jc w:val="center"/>
        <w:rPr>
          <w:rFonts w:ascii="Times New Roman" w:hAnsi="Times New Roman"/>
          <w:sz w:val="28"/>
          <w:szCs w:val="28"/>
          <w:lang w:val="ru-RU"/>
        </w:rPr>
      </w:pPr>
    </w:p>
    <w:p w14:paraId="30E64454"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Более распространёнными являются жилищные услуги – 1077700,3 млн. руб., услуги туристических агент</w:t>
      </w:r>
      <w:r>
        <w:rPr>
          <w:rFonts w:ascii="Times New Roman" w:hAnsi="Times New Roman"/>
          <w:sz w:val="28"/>
          <w:szCs w:val="28"/>
          <w:lang w:val="ru-RU"/>
        </w:rPr>
        <w:t>ств, туроператоров – 350680,0 млн. руб., сервис специализированных коллективных средств размещения – 340001,3 млн. руб., медицинские – 1570383,8 млн. руб., системы образования – 1126534,5 млн. руб.,  прочие платные услуги – 1036508,6 млн. руб.,  электронны</w:t>
      </w:r>
      <w:r>
        <w:rPr>
          <w:rFonts w:ascii="Times New Roman" w:hAnsi="Times New Roman"/>
          <w:sz w:val="28"/>
          <w:szCs w:val="28"/>
          <w:lang w:val="ru-RU"/>
        </w:rPr>
        <w:t>е услуги – 3857336 млн. руб. Самыми важными и распространёнными являются бытовые –2053036,0 млн. руб., транспортные 3476506,9 млн. руб., телекоммуникационные – 1717905,7 млн. руб., коммунальные – 3069516,0 млн. руб. эти услуги значительно влияют на уровень</w:t>
      </w:r>
      <w:r>
        <w:rPr>
          <w:rFonts w:ascii="Times New Roman" w:hAnsi="Times New Roman"/>
          <w:sz w:val="28"/>
          <w:szCs w:val="28"/>
          <w:lang w:val="ru-RU"/>
        </w:rPr>
        <w:t xml:space="preserve"> жизни и общее благополучие человека. Без них повседневные задачи и потребности могли бы стать слишком сложными и трудоёмкими.</w:t>
      </w:r>
    </w:p>
    <w:p w14:paraId="0CD82759"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Следующая диаграмма отражает структуру объёма платных услуг населению РФ в расчете на душу населения (рисунок </w:t>
      </w:r>
      <w:r>
        <w:rPr>
          <w:rFonts w:ascii="Times New Roman" w:hAnsi="Times New Roman"/>
          <w:sz w:val="28"/>
          <w:szCs w:val="28"/>
          <w:lang w:val="ru-RU"/>
        </w:rPr>
        <w:t>2</w:t>
      </w:r>
      <w:r>
        <w:rPr>
          <w:rFonts w:ascii="Times New Roman" w:hAnsi="Times New Roman"/>
          <w:sz w:val="28"/>
          <w:szCs w:val="28"/>
          <w:lang w:val="ru-RU"/>
        </w:rPr>
        <w:t>).</w:t>
      </w:r>
    </w:p>
    <w:p w14:paraId="5B6A2795" w14:textId="77777777" w:rsidR="00CC3ED4" w:rsidRDefault="00CC7BBE">
      <w:pPr>
        <w:jc w:val="both"/>
        <w:rPr>
          <w:rFonts w:ascii="Times New Roman" w:hAnsi="Times New Roman"/>
          <w:sz w:val="28"/>
          <w:szCs w:val="28"/>
          <w:lang w:val="ru-RU"/>
        </w:rPr>
      </w:pPr>
      <w:r>
        <w:rPr>
          <w:noProof/>
          <w:lang w:val="ru-RU" w:eastAsia="ru-RU"/>
        </w:rPr>
        <w:drawing>
          <wp:inline distT="0" distB="0" distL="0" distR="0" wp14:anchorId="2F44C6BB" wp14:editId="7C88C381">
            <wp:extent cx="6107430" cy="2268855"/>
            <wp:effectExtent l="4445" t="5080" r="22225" b="12065"/>
            <wp:docPr id="5" name="Диаграмма 5"/>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14:paraId="127D61B3" w14:textId="77777777" w:rsidR="00CC3ED4" w:rsidRDefault="00CC7BBE">
      <w:pPr>
        <w:ind w:firstLineChars="125" w:firstLine="350"/>
        <w:jc w:val="center"/>
        <w:rPr>
          <w:rFonts w:ascii="Times New Roman" w:hAnsi="Times New Roman"/>
          <w:sz w:val="28"/>
          <w:szCs w:val="28"/>
          <w:lang w:val="ru-RU"/>
        </w:rPr>
      </w:pPr>
      <w:bookmarkStart w:id="0" w:name="_Hlk195887083"/>
      <w:r>
        <w:rPr>
          <w:rFonts w:ascii="Times New Roman" w:hAnsi="Times New Roman"/>
          <w:sz w:val="28"/>
          <w:szCs w:val="28"/>
          <w:lang w:val="ru-RU"/>
        </w:rPr>
        <w:t xml:space="preserve">Рисунок </w:t>
      </w:r>
      <w:r>
        <w:rPr>
          <w:rFonts w:ascii="Times New Roman" w:hAnsi="Times New Roman"/>
          <w:sz w:val="28"/>
          <w:szCs w:val="28"/>
          <w:lang w:val="ru-RU"/>
        </w:rPr>
        <w:t>2</w:t>
      </w:r>
      <w:r>
        <w:rPr>
          <w:rFonts w:ascii="Times New Roman" w:hAnsi="Times New Roman"/>
          <w:sz w:val="28"/>
          <w:szCs w:val="28"/>
          <w:lang w:val="ru-RU"/>
        </w:rPr>
        <w:t xml:space="preserve"> – О</w:t>
      </w:r>
      <w:r>
        <w:rPr>
          <w:rFonts w:ascii="Times New Roman" w:hAnsi="Times New Roman"/>
          <w:sz w:val="28"/>
          <w:szCs w:val="28"/>
          <w:lang w:val="ru-RU"/>
        </w:rPr>
        <w:t>бъем платных услуг населению в расчете на душу населения Российской Федерации в период с 2005 по 2023 гг. (тыс. руб.)</w:t>
      </w:r>
    </w:p>
    <w:bookmarkEnd w:id="0"/>
    <w:p w14:paraId="6F19D4A9" w14:textId="77777777" w:rsidR="00CC3ED4" w:rsidRDefault="00CC3ED4">
      <w:pPr>
        <w:spacing w:line="360" w:lineRule="auto"/>
        <w:ind w:firstLineChars="125" w:firstLine="350"/>
        <w:jc w:val="both"/>
        <w:rPr>
          <w:rFonts w:ascii="Times New Roman" w:hAnsi="Times New Roman"/>
          <w:sz w:val="28"/>
          <w:szCs w:val="28"/>
          <w:lang w:val="ru-RU"/>
        </w:rPr>
      </w:pPr>
    </w:p>
    <w:p w14:paraId="4D003FEB"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Начиная с 2005 г. до 2019 г. можно заметить рост платных услуг с 15828,8 тыс. руб. до 71234,9 тыс. руб. на 55406,1 тыс. руб., в период с </w:t>
      </w:r>
      <w:r>
        <w:rPr>
          <w:rFonts w:ascii="Times New Roman" w:hAnsi="Times New Roman"/>
          <w:sz w:val="28"/>
          <w:szCs w:val="28"/>
          <w:lang w:val="ru-RU"/>
        </w:rPr>
        <w:t>2019 г. по 2020 г. произошёл спад платных услуг на 8311,9 тыс. руб. с 71234,9 тыс. руб. до 62923,0 тыс. руб., в промежуток с 2020 г. по 2022 г. наблюдается подъем с 62923,0 тыс. руб. до 88053,8 тыс. руб. на 25130,8 тыс. руб. Наибольшее значение можно замет</w:t>
      </w:r>
      <w:r>
        <w:rPr>
          <w:rFonts w:ascii="Times New Roman" w:hAnsi="Times New Roman"/>
          <w:sz w:val="28"/>
          <w:szCs w:val="28"/>
          <w:lang w:val="ru-RU"/>
        </w:rPr>
        <w:t>ить в 2023 г. оно равняется 103338,8 тыс. руб.</w:t>
      </w:r>
    </w:p>
    <w:p w14:paraId="1DA10333"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lastRenderedPageBreak/>
        <w:t xml:space="preserve">Следующим рассматриваемым показателем будет структура объема платных транспортных услуг населению РФ в расчете на душу населения (рисунок </w:t>
      </w:r>
      <w:r>
        <w:rPr>
          <w:rFonts w:ascii="Times New Roman" w:hAnsi="Times New Roman"/>
          <w:sz w:val="28"/>
          <w:szCs w:val="28"/>
          <w:lang w:val="ru-RU"/>
        </w:rPr>
        <w:t>3</w:t>
      </w:r>
      <w:r>
        <w:rPr>
          <w:rFonts w:ascii="Times New Roman" w:hAnsi="Times New Roman"/>
          <w:sz w:val="28"/>
          <w:szCs w:val="28"/>
          <w:lang w:val="ru-RU"/>
        </w:rPr>
        <w:t>).</w:t>
      </w:r>
    </w:p>
    <w:p w14:paraId="4504736D" w14:textId="77777777" w:rsidR="00CC3ED4" w:rsidRDefault="00CC7BBE">
      <w:pPr>
        <w:ind w:firstLine="709"/>
        <w:jc w:val="both"/>
        <w:rPr>
          <w:rFonts w:ascii="Times New Roman" w:hAnsi="Times New Roman"/>
          <w:sz w:val="28"/>
          <w:szCs w:val="28"/>
          <w:lang w:val="ru-RU"/>
        </w:rPr>
      </w:pPr>
      <w:r>
        <w:rPr>
          <w:rFonts w:ascii="Times New Roman" w:hAnsi="Times New Roman"/>
          <w:sz w:val="28"/>
          <w:szCs w:val="28"/>
          <w:lang w:val="ru-RU"/>
        </w:rPr>
        <w:t xml:space="preserve"> </w:t>
      </w:r>
      <w:r>
        <w:rPr>
          <w:noProof/>
          <w:lang w:val="ru-RU" w:eastAsia="ru-RU"/>
        </w:rPr>
        <w:drawing>
          <wp:inline distT="0" distB="0" distL="0" distR="0" wp14:anchorId="25C12852" wp14:editId="7E34A063">
            <wp:extent cx="6094095" cy="2225675"/>
            <wp:effectExtent l="4445" t="4445" r="16510" b="17780"/>
            <wp:docPr id="7" name="Диаграмма 7"/>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56CCE367" w14:textId="77777777" w:rsidR="00CC3ED4" w:rsidRDefault="00CC7BBE">
      <w:pPr>
        <w:ind w:firstLineChars="125" w:firstLine="350"/>
        <w:jc w:val="center"/>
        <w:rPr>
          <w:rFonts w:ascii="Times New Roman" w:hAnsi="Times New Roman"/>
          <w:sz w:val="28"/>
          <w:szCs w:val="28"/>
          <w:lang w:val="ru-RU"/>
        </w:rPr>
      </w:pPr>
      <w:r>
        <w:rPr>
          <w:rFonts w:ascii="Times New Roman" w:hAnsi="Times New Roman"/>
          <w:sz w:val="28"/>
          <w:szCs w:val="28"/>
          <w:lang w:val="ru-RU"/>
        </w:rPr>
        <w:t xml:space="preserve">Рисунок </w:t>
      </w:r>
      <w:r>
        <w:rPr>
          <w:rFonts w:ascii="Times New Roman" w:hAnsi="Times New Roman"/>
          <w:sz w:val="28"/>
          <w:szCs w:val="28"/>
          <w:lang w:val="ru-RU"/>
        </w:rPr>
        <w:t>3</w:t>
      </w:r>
      <w:r>
        <w:rPr>
          <w:rFonts w:ascii="Times New Roman" w:hAnsi="Times New Roman"/>
          <w:sz w:val="28"/>
          <w:szCs w:val="28"/>
          <w:lang w:val="ru-RU"/>
        </w:rPr>
        <w:t xml:space="preserve"> – Объем платных транспортных услуг населению Российско</w:t>
      </w:r>
      <w:r>
        <w:rPr>
          <w:rFonts w:ascii="Times New Roman" w:hAnsi="Times New Roman"/>
          <w:sz w:val="28"/>
          <w:szCs w:val="28"/>
          <w:lang w:val="ru-RU"/>
        </w:rPr>
        <w:t>й Федерации в расчете на душу населения в период с 2005 по 2023 гг. (тыс. руб.)</w:t>
      </w:r>
    </w:p>
    <w:p w14:paraId="0D3CD936" w14:textId="77777777" w:rsidR="00CC3ED4" w:rsidRDefault="00CC3ED4">
      <w:pPr>
        <w:ind w:firstLineChars="125" w:firstLine="350"/>
        <w:jc w:val="center"/>
        <w:rPr>
          <w:rFonts w:ascii="Times New Roman" w:hAnsi="Times New Roman"/>
          <w:sz w:val="28"/>
          <w:szCs w:val="28"/>
          <w:lang w:val="ru-RU"/>
        </w:rPr>
      </w:pPr>
    </w:p>
    <w:p w14:paraId="7265AA95"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В 2005 г. транспортные услуги были весьма небольшими всего 3396,9 тыс. руб., затем с 2010 г. по 2019 г. отмечался значительный прирост на 7490,1 тыс. руб., далее с 2019 г. по </w:t>
      </w:r>
      <w:r>
        <w:rPr>
          <w:rFonts w:ascii="Times New Roman" w:hAnsi="Times New Roman"/>
          <w:sz w:val="28"/>
          <w:szCs w:val="28"/>
          <w:lang w:val="ru-RU"/>
        </w:rPr>
        <w:t>2020 г. происходит резкое падение платных транспортных услуг на 4666,9 тыс. руб., в 2021 г. заметен значительный скачок с 9407,4 тыс. руб. до 13926,8 тыс. руб., в 2022 г. также можно увидеть небольшой подъем на 1895,3 тыс. руб., а в 2023 г. значительный ро</w:t>
      </w:r>
      <w:r>
        <w:rPr>
          <w:rFonts w:ascii="Times New Roman" w:hAnsi="Times New Roman"/>
          <w:sz w:val="28"/>
          <w:szCs w:val="28"/>
          <w:lang w:val="ru-RU"/>
        </w:rPr>
        <w:t>ст на 4257,7 тыс. руб.</w:t>
      </w:r>
    </w:p>
    <w:p w14:paraId="414DF849"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Перейдем к структуре объёма платных медицинских услуг населению РФ в расчете на душу населения (рисунок </w:t>
      </w:r>
      <w:r>
        <w:rPr>
          <w:rFonts w:ascii="Times New Roman" w:hAnsi="Times New Roman"/>
          <w:sz w:val="28"/>
          <w:szCs w:val="28"/>
          <w:lang w:val="ru-RU"/>
        </w:rPr>
        <w:t>4</w:t>
      </w:r>
      <w:r>
        <w:rPr>
          <w:rFonts w:ascii="Times New Roman" w:hAnsi="Times New Roman"/>
          <w:sz w:val="28"/>
          <w:szCs w:val="28"/>
          <w:lang w:val="ru-RU"/>
        </w:rPr>
        <w:t>).</w:t>
      </w:r>
    </w:p>
    <w:p w14:paraId="673AE08F" w14:textId="77777777" w:rsidR="00CC3ED4" w:rsidRDefault="00CC7BBE">
      <w:pPr>
        <w:jc w:val="both"/>
        <w:rPr>
          <w:rFonts w:ascii="Times New Roman" w:hAnsi="Times New Roman"/>
          <w:sz w:val="28"/>
          <w:szCs w:val="28"/>
          <w:lang w:val="ru-RU"/>
        </w:rPr>
      </w:pPr>
      <w:r>
        <w:rPr>
          <w:rFonts w:ascii="Times New Roman" w:hAnsi="Times New Roman"/>
          <w:sz w:val="28"/>
          <w:szCs w:val="28"/>
          <w:lang w:val="ru-RU"/>
        </w:rPr>
        <w:lastRenderedPageBreak/>
        <w:t xml:space="preserve"> </w:t>
      </w:r>
      <w:r>
        <w:rPr>
          <w:noProof/>
          <w:lang w:val="ru-RU" w:eastAsia="ru-RU"/>
        </w:rPr>
        <w:drawing>
          <wp:inline distT="0" distB="0" distL="0" distR="0" wp14:anchorId="43F9E48F" wp14:editId="64C21FAF">
            <wp:extent cx="6076315" cy="2334895"/>
            <wp:effectExtent l="4445" t="5080" r="15240" b="22225"/>
            <wp:docPr id="10" name="Диаграмма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8C5B832" w14:textId="77777777" w:rsidR="00CC3ED4" w:rsidRDefault="00CC7BBE">
      <w:pPr>
        <w:ind w:firstLineChars="125" w:firstLine="350"/>
        <w:jc w:val="center"/>
        <w:rPr>
          <w:rFonts w:ascii="Times New Roman" w:hAnsi="Times New Roman"/>
          <w:sz w:val="28"/>
          <w:szCs w:val="28"/>
          <w:lang w:val="ru-RU"/>
        </w:rPr>
      </w:pPr>
      <w:r>
        <w:rPr>
          <w:rFonts w:ascii="Times New Roman" w:hAnsi="Times New Roman"/>
          <w:sz w:val="28"/>
          <w:szCs w:val="28"/>
          <w:lang w:val="ru-RU"/>
        </w:rPr>
        <w:t xml:space="preserve">Рисунок </w:t>
      </w:r>
      <w:r>
        <w:rPr>
          <w:rFonts w:ascii="Times New Roman" w:hAnsi="Times New Roman"/>
          <w:sz w:val="28"/>
          <w:szCs w:val="28"/>
          <w:lang w:val="ru-RU"/>
        </w:rPr>
        <w:t>4</w:t>
      </w:r>
      <w:r>
        <w:rPr>
          <w:rFonts w:ascii="Times New Roman" w:hAnsi="Times New Roman"/>
          <w:sz w:val="28"/>
          <w:szCs w:val="28"/>
          <w:lang w:val="ru-RU"/>
        </w:rPr>
        <w:t xml:space="preserve"> – Объем платных медицинских услуг населению Российской Федерации в расчете на душу населения в период с 2005 по </w:t>
      </w:r>
      <w:r>
        <w:rPr>
          <w:rFonts w:ascii="Times New Roman" w:hAnsi="Times New Roman"/>
          <w:sz w:val="28"/>
          <w:szCs w:val="28"/>
          <w:lang w:val="ru-RU"/>
        </w:rPr>
        <w:t>2023 гг. (тыс. руб.)</w:t>
      </w:r>
    </w:p>
    <w:p w14:paraId="343845BC" w14:textId="77777777" w:rsidR="00CC3ED4" w:rsidRDefault="00CC3ED4">
      <w:pPr>
        <w:ind w:firstLineChars="125" w:firstLine="350"/>
        <w:jc w:val="center"/>
        <w:rPr>
          <w:rFonts w:ascii="Times New Roman" w:hAnsi="Times New Roman"/>
          <w:sz w:val="28"/>
          <w:szCs w:val="28"/>
          <w:lang w:val="ru-RU"/>
        </w:rPr>
      </w:pPr>
    </w:p>
    <w:p w14:paraId="6DD80287"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Сопоставим данные структуры объема платных медицинских услуг населению РФ на душу населения. В 2005 г. данный показатель был минимальным 764,7 тыс. руб., в период с 2010 г. по 2019 г. происходит заметный рост структуры объема платных </w:t>
      </w:r>
      <w:r>
        <w:rPr>
          <w:rFonts w:ascii="Times New Roman" w:hAnsi="Times New Roman"/>
          <w:sz w:val="28"/>
          <w:szCs w:val="28"/>
          <w:lang w:val="ru-RU"/>
        </w:rPr>
        <w:t>медицинских услуг с 1753,4 тыс. руб. до 6148,3 тыс. руб. на 4394,9 тыс. руб., в промежуток с 2019 г. по 2020 г. можно увидеть спад показателей на 281,9 тыс. руб., затем с 2021 г. по 2023 г. происходит возрастание с 7417,1 тыс. руб. до 9600,5 тыс. руб. на 2</w:t>
      </w:r>
      <w:r>
        <w:rPr>
          <w:rFonts w:ascii="Times New Roman" w:hAnsi="Times New Roman"/>
          <w:sz w:val="28"/>
          <w:szCs w:val="28"/>
          <w:lang w:val="ru-RU"/>
        </w:rPr>
        <w:t>183,4 тыс. руб.</w:t>
      </w:r>
    </w:p>
    <w:p w14:paraId="12E5EEF4"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 xml:space="preserve">Следующим рассматриваемым показателем будет структура объема платных юридических услуг населению РФ в расчете на душу населения (рисунок </w:t>
      </w:r>
      <w:r>
        <w:rPr>
          <w:rFonts w:ascii="Times New Roman" w:hAnsi="Times New Roman"/>
          <w:sz w:val="28"/>
          <w:szCs w:val="28"/>
          <w:lang w:val="ru-RU"/>
        </w:rPr>
        <w:t>5</w:t>
      </w:r>
      <w:r>
        <w:rPr>
          <w:rFonts w:ascii="Times New Roman" w:hAnsi="Times New Roman"/>
          <w:sz w:val="28"/>
          <w:szCs w:val="28"/>
          <w:lang w:val="ru-RU"/>
        </w:rPr>
        <w:t>).</w:t>
      </w:r>
    </w:p>
    <w:p w14:paraId="1A0CCE80" w14:textId="77777777" w:rsidR="00CC3ED4" w:rsidRDefault="00CC7BBE">
      <w:pPr>
        <w:jc w:val="both"/>
        <w:rPr>
          <w:rFonts w:ascii="Times New Roman" w:hAnsi="Times New Roman"/>
          <w:sz w:val="28"/>
          <w:szCs w:val="28"/>
          <w:lang w:val="ru-RU"/>
        </w:rPr>
      </w:pPr>
      <w:r>
        <w:rPr>
          <w:noProof/>
          <w:lang w:val="ru-RU" w:eastAsia="ru-RU"/>
        </w:rPr>
        <w:drawing>
          <wp:inline distT="0" distB="0" distL="0" distR="0" wp14:anchorId="06465F55" wp14:editId="54C402CA">
            <wp:extent cx="6107430" cy="2224405"/>
            <wp:effectExtent l="4445" t="5080" r="22225" b="18415"/>
            <wp:docPr id="11" name="Диаграмма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785ABF64" w14:textId="77777777" w:rsidR="00CC3ED4" w:rsidRDefault="00CC7BBE">
      <w:pPr>
        <w:ind w:firstLineChars="125" w:firstLine="350"/>
        <w:jc w:val="center"/>
        <w:rPr>
          <w:rFonts w:ascii="Times New Roman" w:hAnsi="Times New Roman"/>
          <w:sz w:val="28"/>
          <w:szCs w:val="28"/>
          <w:lang w:val="ru-RU"/>
        </w:rPr>
      </w:pPr>
      <w:r>
        <w:rPr>
          <w:rFonts w:ascii="Times New Roman" w:hAnsi="Times New Roman"/>
          <w:sz w:val="28"/>
          <w:szCs w:val="28"/>
          <w:lang w:val="ru-RU"/>
        </w:rPr>
        <w:t xml:space="preserve">Рисунок </w:t>
      </w:r>
      <w:r>
        <w:rPr>
          <w:rFonts w:ascii="Times New Roman" w:hAnsi="Times New Roman"/>
          <w:sz w:val="28"/>
          <w:szCs w:val="28"/>
          <w:lang w:val="ru-RU"/>
        </w:rPr>
        <w:t>5</w:t>
      </w:r>
      <w:r>
        <w:rPr>
          <w:rFonts w:ascii="Times New Roman" w:hAnsi="Times New Roman"/>
          <w:sz w:val="28"/>
          <w:szCs w:val="28"/>
          <w:lang w:val="ru-RU"/>
        </w:rPr>
        <w:t xml:space="preserve"> – Объем платных юридических услуг населению Российской Федерации в расчете на душу населения в период с 2005 по 2023 гг. (тыс. руб.)</w:t>
      </w:r>
    </w:p>
    <w:p w14:paraId="4C6D56B0" w14:textId="77777777" w:rsidR="00CC3ED4" w:rsidRDefault="00CC3ED4">
      <w:pPr>
        <w:spacing w:line="360" w:lineRule="auto"/>
        <w:ind w:firstLineChars="125" w:firstLine="350"/>
        <w:jc w:val="both"/>
        <w:rPr>
          <w:rFonts w:ascii="Times New Roman" w:hAnsi="Times New Roman"/>
          <w:sz w:val="28"/>
          <w:szCs w:val="28"/>
          <w:lang w:val="ru-RU"/>
        </w:rPr>
      </w:pPr>
    </w:p>
    <w:p w14:paraId="19A3856B"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В период с 2005 г. по 2011 г. происходит рост с 364,2 тыс. руб. до 613,9 тыс. руб. на 249,7 тыс. руб., в 2012 г. уменьшен</w:t>
      </w:r>
      <w:r>
        <w:rPr>
          <w:rFonts w:ascii="Times New Roman" w:hAnsi="Times New Roman"/>
          <w:sz w:val="28"/>
          <w:szCs w:val="28"/>
          <w:lang w:val="ru-RU"/>
        </w:rPr>
        <w:t>ие показателей до 582,7 тыс. руб., далее с 2013 г. по 2015 г. заметно возрастание объема платных юридических услуг с 596,6 тыс. руб. до 656,6 тыс. руб. на 60 тыс. руб., в 2016 г. небольшой спад до 651,7 тыс. руб., в промежуток с 2017 г. по 2019 г. можно за</w:t>
      </w:r>
      <w:r>
        <w:rPr>
          <w:rFonts w:ascii="Times New Roman" w:hAnsi="Times New Roman"/>
          <w:sz w:val="28"/>
          <w:szCs w:val="28"/>
          <w:lang w:val="ru-RU"/>
        </w:rPr>
        <w:t>метить возрастание показателей с 663,4 тыс. руб. до 806,6 тыс. руб. на 143,2 тыс. руб., в 2020 г. происходит спад на 73,1 тыс. руб., с 2021 г. по 2023 г. виден рост на 300,6 тыс. руб. с 760,0 тыс. руб. до 1060,6 тыс. руб.</w:t>
      </w:r>
    </w:p>
    <w:p w14:paraId="3142076E"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Рассмотрим структуру объема платны</w:t>
      </w:r>
      <w:r>
        <w:rPr>
          <w:rFonts w:ascii="Times New Roman" w:hAnsi="Times New Roman"/>
          <w:sz w:val="28"/>
          <w:szCs w:val="28"/>
          <w:lang w:val="ru-RU"/>
        </w:rPr>
        <w:t xml:space="preserve">х образовательных услуг населению РФ в расчете на душу населения (рисунок </w:t>
      </w:r>
      <w:r>
        <w:rPr>
          <w:rFonts w:ascii="Times New Roman" w:hAnsi="Times New Roman"/>
          <w:sz w:val="28"/>
          <w:szCs w:val="28"/>
          <w:lang w:val="ru-RU"/>
        </w:rPr>
        <w:t>6</w:t>
      </w:r>
      <w:r>
        <w:rPr>
          <w:rFonts w:ascii="Times New Roman" w:hAnsi="Times New Roman"/>
          <w:sz w:val="28"/>
          <w:szCs w:val="28"/>
          <w:lang w:val="ru-RU"/>
        </w:rPr>
        <w:t>).</w:t>
      </w:r>
    </w:p>
    <w:p w14:paraId="4D23CB38" w14:textId="77777777" w:rsidR="00CC3ED4" w:rsidRDefault="00CC7BBE">
      <w:pPr>
        <w:tabs>
          <w:tab w:val="left" w:pos="8200"/>
        </w:tabs>
        <w:ind w:rightChars="52" w:right="104"/>
        <w:jc w:val="both"/>
        <w:rPr>
          <w:rFonts w:ascii="Times New Roman" w:hAnsi="Times New Roman"/>
          <w:sz w:val="28"/>
          <w:szCs w:val="28"/>
          <w:lang w:val="ru-RU"/>
        </w:rPr>
      </w:pPr>
      <w:r>
        <w:rPr>
          <w:rFonts w:ascii="Times New Roman" w:hAnsi="Times New Roman"/>
          <w:sz w:val="28"/>
          <w:szCs w:val="28"/>
          <w:lang w:val="ru-RU"/>
        </w:rPr>
        <w:t xml:space="preserve"> </w:t>
      </w:r>
      <w:r>
        <w:rPr>
          <w:noProof/>
          <w:lang w:val="ru-RU" w:eastAsia="ru-RU"/>
        </w:rPr>
        <w:drawing>
          <wp:inline distT="0" distB="0" distL="0" distR="0" wp14:anchorId="7EABE116" wp14:editId="22E703CD">
            <wp:extent cx="6117590" cy="2200910"/>
            <wp:effectExtent l="4445" t="4445" r="12065" b="23495"/>
            <wp:docPr id="12" name="Диаграмма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71380F63" w14:textId="77777777" w:rsidR="00CC3ED4" w:rsidRDefault="00CC7BBE">
      <w:pPr>
        <w:ind w:firstLineChars="125" w:firstLine="350"/>
        <w:jc w:val="center"/>
        <w:rPr>
          <w:rFonts w:ascii="Times New Roman" w:hAnsi="Times New Roman"/>
          <w:sz w:val="28"/>
          <w:szCs w:val="28"/>
          <w:lang w:val="ru-RU"/>
        </w:rPr>
      </w:pPr>
      <w:r>
        <w:rPr>
          <w:rFonts w:ascii="Times New Roman" w:hAnsi="Times New Roman"/>
          <w:sz w:val="28"/>
          <w:szCs w:val="28"/>
          <w:lang w:val="ru-RU"/>
        </w:rPr>
        <w:t xml:space="preserve">Рисунок </w:t>
      </w:r>
      <w:r>
        <w:rPr>
          <w:rFonts w:ascii="Times New Roman" w:hAnsi="Times New Roman"/>
          <w:sz w:val="28"/>
          <w:szCs w:val="28"/>
          <w:lang w:val="ru-RU"/>
        </w:rPr>
        <w:t>6</w:t>
      </w:r>
      <w:r>
        <w:rPr>
          <w:rFonts w:ascii="Times New Roman" w:hAnsi="Times New Roman"/>
          <w:sz w:val="28"/>
          <w:szCs w:val="28"/>
          <w:lang w:val="ru-RU"/>
        </w:rPr>
        <w:t xml:space="preserve"> – Объем платных образовательных услуг населению Российской Федерации в расчете на душу населения в период</w:t>
      </w:r>
      <w:r>
        <w:rPr>
          <w:rFonts w:ascii="Times New Roman" w:hAnsi="Times New Roman"/>
          <w:sz w:val="28"/>
          <w:szCs w:val="28"/>
          <w:lang w:val="ru-RU"/>
        </w:rPr>
        <w:t xml:space="preserve"> </w:t>
      </w:r>
      <w:r>
        <w:rPr>
          <w:rFonts w:ascii="Times New Roman" w:hAnsi="Times New Roman"/>
          <w:sz w:val="28"/>
          <w:szCs w:val="28"/>
          <w:lang w:val="ru-RU"/>
        </w:rPr>
        <w:t>с 2005 по 2023 гг. (тыс. руб.)</w:t>
      </w:r>
    </w:p>
    <w:p w14:paraId="0EB34653" w14:textId="77777777" w:rsidR="00CC3ED4" w:rsidRDefault="00CC3ED4">
      <w:pPr>
        <w:ind w:firstLineChars="125" w:firstLine="350"/>
        <w:jc w:val="center"/>
        <w:rPr>
          <w:rFonts w:ascii="Times New Roman" w:hAnsi="Times New Roman"/>
          <w:sz w:val="28"/>
          <w:szCs w:val="28"/>
          <w:lang w:val="ru-RU"/>
        </w:rPr>
      </w:pPr>
    </w:p>
    <w:p w14:paraId="0E9D8D49" w14:textId="77777777" w:rsidR="00CC3ED4" w:rsidRDefault="00CC7BBE">
      <w:pPr>
        <w:spacing w:line="360" w:lineRule="auto"/>
        <w:ind w:firstLine="709"/>
        <w:jc w:val="both"/>
        <w:rPr>
          <w:rFonts w:ascii="Times New Roman" w:hAnsi="Times New Roman"/>
          <w:sz w:val="28"/>
          <w:szCs w:val="28"/>
          <w:lang w:val="ru-RU"/>
        </w:rPr>
      </w:pPr>
      <w:r>
        <w:rPr>
          <w:rFonts w:ascii="Times New Roman" w:hAnsi="Times New Roman"/>
          <w:sz w:val="28"/>
          <w:szCs w:val="28"/>
          <w:lang w:val="ru-RU"/>
        </w:rPr>
        <w:t>В 2005 г. показатели были н</w:t>
      </w:r>
      <w:r>
        <w:rPr>
          <w:rFonts w:ascii="Times New Roman" w:hAnsi="Times New Roman"/>
          <w:sz w:val="28"/>
          <w:szCs w:val="28"/>
          <w:lang w:val="ru-RU"/>
        </w:rPr>
        <w:t xml:space="preserve">евысокими всего 1063,8 тыс. руб., далее заметен рост с 2010 г. по 2019 г. на 2657,5 тыс. руб. с 2282,8 тыс. руб. до 4940,3 тыс. руб., в 2020 г. наблюдается спад объема платных образовательных услуг до 4441,0 тыс. руб., далее можно заметить рост до 2023 г. </w:t>
      </w:r>
      <w:r>
        <w:rPr>
          <w:rFonts w:ascii="Times New Roman" w:hAnsi="Times New Roman"/>
          <w:sz w:val="28"/>
          <w:szCs w:val="28"/>
          <w:lang w:val="ru-RU"/>
        </w:rPr>
        <w:t>года на 2469,9 тыс. руб.</w:t>
      </w:r>
    </w:p>
    <w:p w14:paraId="4D41E6A9" w14:textId="77777777" w:rsidR="00CC3ED4" w:rsidRDefault="00CC7BBE">
      <w:pPr>
        <w:spacing w:line="360" w:lineRule="auto"/>
        <w:ind w:firstLine="709"/>
        <w:jc w:val="both"/>
        <w:rPr>
          <w:rFonts w:ascii="Times New Roman" w:hAnsi="Times New Roman"/>
          <w:sz w:val="28"/>
          <w:szCs w:val="28"/>
          <w:lang w:val="ru-RU"/>
        </w:rPr>
      </w:pPr>
      <w:bookmarkStart w:id="1" w:name="_Hlk195890965"/>
      <w:r>
        <w:rPr>
          <w:rFonts w:ascii="Times New Roman" w:hAnsi="Times New Roman"/>
          <w:sz w:val="28"/>
          <w:szCs w:val="28"/>
          <w:lang w:val="ru-RU"/>
        </w:rPr>
        <w:t>Подводя итог, хотелось бы отметить, что объем предоставляемых платных услуг населению Российской Федерации с 2005 по 2023 гг.</w:t>
      </w:r>
      <w:r>
        <w:rPr>
          <w:rFonts w:ascii="Times New Roman" w:hAnsi="Times New Roman"/>
          <w:color w:val="FF0000"/>
          <w:sz w:val="28"/>
          <w:szCs w:val="28"/>
          <w:lang w:val="ru-RU"/>
        </w:rPr>
        <w:t xml:space="preserve"> </w:t>
      </w:r>
      <w:r>
        <w:rPr>
          <w:rFonts w:ascii="Times New Roman" w:hAnsi="Times New Roman"/>
          <w:sz w:val="28"/>
          <w:szCs w:val="28"/>
          <w:lang w:val="ru-RU"/>
        </w:rPr>
        <w:t>вырос с</w:t>
      </w:r>
      <w:r>
        <w:rPr>
          <w:lang w:val="ru-RU"/>
        </w:rPr>
        <w:t xml:space="preserve"> </w:t>
      </w:r>
      <w:r>
        <w:rPr>
          <w:rFonts w:ascii="Times New Roman" w:hAnsi="Times New Roman"/>
          <w:sz w:val="28"/>
          <w:szCs w:val="28"/>
          <w:lang w:val="ru-RU"/>
        </w:rPr>
        <w:t>15828,8 тыс. руб. до 103338,8 тыс. руб. на 87510 тыс. руб., говоря о конкретных услугах, можно ск</w:t>
      </w:r>
      <w:r>
        <w:rPr>
          <w:rFonts w:ascii="Times New Roman" w:hAnsi="Times New Roman"/>
          <w:sz w:val="28"/>
          <w:szCs w:val="28"/>
          <w:lang w:val="ru-RU"/>
        </w:rPr>
        <w:t>азать следующее:</w:t>
      </w:r>
      <w:bookmarkStart w:id="2" w:name="_Hlk192182039"/>
      <w:r>
        <w:rPr>
          <w:rFonts w:ascii="Times New Roman" w:hAnsi="Times New Roman"/>
          <w:sz w:val="28"/>
          <w:szCs w:val="28"/>
          <w:lang w:val="ru-RU"/>
        </w:rPr>
        <w:t xml:space="preserve"> </w:t>
      </w:r>
      <w:r>
        <w:rPr>
          <w:rFonts w:ascii="Times New Roman" w:hAnsi="Times New Roman"/>
          <w:sz w:val="28"/>
          <w:szCs w:val="28"/>
          <w:lang w:val="ru-RU"/>
        </w:rPr>
        <w:t xml:space="preserve">объем платных транспортных услуг в </w:t>
      </w:r>
      <w:r>
        <w:rPr>
          <w:rFonts w:ascii="Times New Roman" w:hAnsi="Times New Roman"/>
          <w:sz w:val="28"/>
          <w:szCs w:val="28"/>
          <w:lang w:val="ru-RU"/>
        </w:rPr>
        <w:lastRenderedPageBreak/>
        <w:t>период с 2005 г. по 2023 г. вырос с 3396,9 тыс. руб. до 20079,3 тыс. руб.,</w:t>
      </w:r>
      <w:bookmarkStart w:id="3" w:name="_Hlk192182581"/>
      <w:bookmarkEnd w:id="2"/>
      <w:r>
        <w:rPr>
          <w:rFonts w:ascii="Times New Roman" w:hAnsi="Times New Roman"/>
          <w:sz w:val="28"/>
          <w:szCs w:val="28"/>
          <w:lang w:val="ru-RU"/>
        </w:rPr>
        <w:t xml:space="preserve"> </w:t>
      </w:r>
      <w:bookmarkEnd w:id="3"/>
      <w:r>
        <w:rPr>
          <w:rFonts w:ascii="Times New Roman" w:hAnsi="Times New Roman"/>
          <w:sz w:val="28"/>
          <w:szCs w:val="28"/>
          <w:lang w:val="ru-RU"/>
        </w:rPr>
        <w:t>объем платных медицинских услуг в период с 2005 г. по 2023 г. вырос с 764,7 тыс. руб. до</w:t>
      </w:r>
      <w:r>
        <w:rPr>
          <w:lang w:val="ru-RU"/>
        </w:rPr>
        <w:t xml:space="preserve"> </w:t>
      </w:r>
      <w:r>
        <w:rPr>
          <w:rFonts w:ascii="Times New Roman" w:hAnsi="Times New Roman"/>
          <w:sz w:val="28"/>
          <w:szCs w:val="28"/>
          <w:lang w:val="ru-RU"/>
        </w:rPr>
        <w:t>9600,5 тыс. руб., объем платных юридичес</w:t>
      </w:r>
      <w:r>
        <w:rPr>
          <w:rFonts w:ascii="Times New Roman" w:hAnsi="Times New Roman"/>
          <w:sz w:val="28"/>
          <w:szCs w:val="28"/>
          <w:lang w:val="ru-RU"/>
        </w:rPr>
        <w:t xml:space="preserve">ких услуг в период с 2005 г. по 2023 г. вырос с 364,2 тыс. руб. до 1060,6 тыс. руб., объем платных образовательных услуг в период с 2005 г. по 2023 г. вырос с 1063,8 тыс. руб. до  6910,9 тыс. руб. Потребление платных услуг населением растет, что говорит о </w:t>
      </w:r>
      <w:r>
        <w:rPr>
          <w:rFonts w:ascii="Times New Roman" w:hAnsi="Times New Roman"/>
          <w:sz w:val="28"/>
          <w:szCs w:val="28"/>
          <w:lang w:val="ru-RU"/>
        </w:rPr>
        <w:t>изменении потребительского поведения, увеличения доли платных услуг в общем объеме потребительских расходов, а также об увеличении стоимости самих услуг.</w:t>
      </w:r>
    </w:p>
    <w:p w14:paraId="743AC39F" w14:textId="77777777" w:rsidR="00CC3ED4" w:rsidRDefault="00CC7BBE">
      <w:pPr>
        <w:spacing w:line="360" w:lineRule="auto"/>
        <w:ind w:firstLine="709"/>
        <w:jc w:val="center"/>
        <w:rPr>
          <w:rFonts w:ascii="Times New Roman" w:hAnsi="Times New Roman"/>
          <w:sz w:val="28"/>
          <w:szCs w:val="28"/>
          <w:lang w:val="ru-RU"/>
        </w:rPr>
      </w:pPr>
      <w:r>
        <w:rPr>
          <w:rFonts w:ascii="Times New Roman" w:hAnsi="Times New Roman"/>
          <w:sz w:val="28"/>
          <w:szCs w:val="28"/>
          <w:lang w:val="ru-RU"/>
        </w:rPr>
        <w:t>Список источников</w:t>
      </w:r>
    </w:p>
    <w:p w14:paraId="0D6FAFFD" w14:textId="77777777" w:rsidR="00CC3ED4" w:rsidRDefault="00CC7BBE">
      <w:pPr>
        <w:numPr>
          <w:ilvl w:val="0"/>
          <w:numId w:val="1"/>
        </w:numPr>
        <w:spacing w:after="160" w:line="360" w:lineRule="auto"/>
        <w:ind w:left="0" w:firstLineChars="285" w:firstLine="798"/>
        <w:contextualSpacing/>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 xml:space="preserve">Воронин, В. Ф. </w:t>
      </w:r>
      <w:proofErr w:type="gramStart"/>
      <w:r>
        <w:rPr>
          <w:rFonts w:ascii="Times New Roman" w:eastAsia="Calibri" w:hAnsi="Times New Roman" w:cs="Times New Roman"/>
          <w:sz w:val="28"/>
          <w:szCs w:val="28"/>
          <w:lang w:val="ru-RU" w:eastAsia="en-US"/>
        </w:rPr>
        <w:t>Статистика :</w:t>
      </w:r>
      <w:proofErr w:type="gramEnd"/>
      <w:r>
        <w:rPr>
          <w:rFonts w:ascii="Times New Roman" w:eastAsia="Calibri" w:hAnsi="Times New Roman" w:cs="Times New Roman"/>
          <w:sz w:val="28"/>
          <w:szCs w:val="28"/>
          <w:lang w:val="ru-RU" w:eastAsia="en-US"/>
        </w:rPr>
        <w:t xml:space="preserve"> учебное пособие / В. Ф. Воронин, Ю. В. </w:t>
      </w:r>
      <w:proofErr w:type="spellStart"/>
      <w:r>
        <w:rPr>
          <w:rFonts w:ascii="Times New Roman" w:eastAsia="Calibri" w:hAnsi="Times New Roman" w:cs="Times New Roman"/>
          <w:sz w:val="28"/>
          <w:szCs w:val="28"/>
          <w:lang w:val="ru-RU" w:eastAsia="en-US"/>
        </w:rPr>
        <w:t>Жильцова</w:t>
      </w:r>
      <w:proofErr w:type="spellEnd"/>
      <w:r>
        <w:rPr>
          <w:rFonts w:ascii="Times New Roman" w:eastAsia="Calibri" w:hAnsi="Times New Roman" w:cs="Times New Roman"/>
          <w:sz w:val="28"/>
          <w:szCs w:val="28"/>
          <w:lang w:val="ru-RU" w:eastAsia="en-US"/>
        </w:rPr>
        <w:t xml:space="preserve"> ; под ре</w:t>
      </w:r>
      <w:r>
        <w:rPr>
          <w:rFonts w:ascii="Times New Roman" w:eastAsia="Calibri" w:hAnsi="Times New Roman" w:cs="Times New Roman"/>
          <w:sz w:val="28"/>
          <w:szCs w:val="28"/>
          <w:lang w:val="ru-RU" w:eastAsia="en-US"/>
        </w:rPr>
        <w:t xml:space="preserve">дакцией В. Ф. Воронина. – </w:t>
      </w:r>
      <w:proofErr w:type="gramStart"/>
      <w:r>
        <w:rPr>
          <w:rFonts w:ascii="Times New Roman" w:eastAsia="Calibri" w:hAnsi="Times New Roman" w:cs="Times New Roman"/>
          <w:sz w:val="28"/>
          <w:szCs w:val="28"/>
          <w:lang w:val="ru-RU" w:eastAsia="en-US"/>
        </w:rPr>
        <w:t>Москва :</w:t>
      </w:r>
      <w:proofErr w:type="gramEnd"/>
      <w:r>
        <w:rPr>
          <w:rFonts w:ascii="Times New Roman" w:eastAsia="Calibri" w:hAnsi="Times New Roman" w:cs="Times New Roman"/>
          <w:sz w:val="28"/>
          <w:szCs w:val="28"/>
          <w:lang w:val="ru-RU" w:eastAsia="en-US"/>
        </w:rPr>
        <w:t xml:space="preserve"> </w:t>
      </w:r>
      <w:proofErr w:type="spellStart"/>
      <w:r>
        <w:rPr>
          <w:rFonts w:ascii="Times New Roman" w:eastAsia="Calibri" w:hAnsi="Times New Roman" w:cs="Times New Roman"/>
          <w:sz w:val="28"/>
          <w:szCs w:val="28"/>
          <w:lang w:val="ru-RU" w:eastAsia="en-US"/>
        </w:rPr>
        <w:t>Юнити</w:t>
      </w:r>
      <w:proofErr w:type="spellEnd"/>
      <w:r>
        <w:rPr>
          <w:rFonts w:ascii="Times New Roman" w:eastAsia="Calibri" w:hAnsi="Times New Roman" w:cs="Times New Roman"/>
          <w:sz w:val="28"/>
          <w:szCs w:val="28"/>
          <w:lang w:val="ru-RU" w:eastAsia="en-US"/>
        </w:rPr>
        <w:t xml:space="preserve">-Дана, 2017. – 535 с. – URL: </w:t>
      </w:r>
      <w:hyperlink r:id="rId11" w:history="1">
        <w:r>
          <w:rPr>
            <w:rStyle w:val="a3"/>
            <w:rFonts w:ascii="Times New Roman" w:eastAsia="Calibri" w:hAnsi="Times New Roman" w:cs="Times New Roman"/>
            <w:sz w:val="28"/>
            <w:szCs w:val="28"/>
            <w:lang w:val="ru-RU" w:eastAsia="en-US"/>
          </w:rPr>
          <w:t>https://biblioclub.ru/index.php?page=book&amp;id=691974</w:t>
        </w:r>
      </w:hyperlink>
      <w:r>
        <w:rPr>
          <w:rFonts w:ascii="Times New Roman" w:eastAsia="Calibri" w:hAnsi="Times New Roman" w:cs="Times New Roman"/>
          <w:sz w:val="28"/>
          <w:szCs w:val="28"/>
          <w:lang w:val="ru-RU" w:eastAsia="en-US"/>
        </w:rPr>
        <w:t xml:space="preserve"> (дата обращения: 18.03.2025). – ISBN 978-5-238-02244-4. </w:t>
      </w:r>
    </w:p>
    <w:p w14:paraId="10BF2EE4" w14:textId="77777777" w:rsidR="00CC3ED4" w:rsidRDefault="00CC7BBE">
      <w:pPr>
        <w:numPr>
          <w:ilvl w:val="0"/>
          <w:numId w:val="1"/>
        </w:numPr>
        <w:spacing w:after="160" w:line="360" w:lineRule="auto"/>
        <w:ind w:left="0" w:firstLineChars="285" w:firstLine="798"/>
        <w:contextualSpacing/>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 xml:space="preserve">Дубровин, И. А. Поведение </w:t>
      </w:r>
      <w:proofErr w:type="gramStart"/>
      <w:r>
        <w:rPr>
          <w:rFonts w:ascii="Times New Roman" w:eastAsia="Calibri" w:hAnsi="Times New Roman" w:cs="Times New Roman"/>
          <w:sz w:val="28"/>
          <w:szCs w:val="28"/>
          <w:lang w:val="ru-RU" w:eastAsia="en-US"/>
        </w:rPr>
        <w:t>потребителей :</w:t>
      </w:r>
      <w:proofErr w:type="gramEnd"/>
      <w:r>
        <w:rPr>
          <w:rFonts w:ascii="Times New Roman" w:eastAsia="Calibri" w:hAnsi="Times New Roman" w:cs="Times New Roman"/>
          <w:sz w:val="28"/>
          <w:szCs w:val="28"/>
          <w:lang w:val="ru-RU" w:eastAsia="en-US"/>
        </w:rPr>
        <w:t xml:space="preserve"> учебное пособие / И. А. Дубровин. – 6-е изд., стер. – </w:t>
      </w:r>
      <w:proofErr w:type="gramStart"/>
      <w:r>
        <w:rPr>
          <w:rFonts w:ascii="Times New Roman" w:eastAsia="Calibri" w:hAnsi="Times New Roman" w:cs="Times New Roman"/>
          <w:sz w:val="28"/>
          <w:szCs w:val="28"/>
          <w:lang w:val="ru-RU" w:eastAsia="en-US"/>
        </w:rPr>
        <w:t>Москва :</w:t>
      </w:r>
      <w:proofErr w:type="gramEnd"/>
      <w:r>
        <w:rPr>
          <w:rFonts w:ascii="Times New Roman" w:eastAsia="Calibri" w:hAnsi="Times New Roman" w:cs="Times New Roman"/>
          <w:sz w:val="28"/>
          <w:szCs w:val="28"/>
          <w:lang w:val="ru-RU" w:eastAsia="en-US"/>
        </w:rPr>
        <w:t xml:space="preserve"> Дашков и К°, 2023. – 310 с. – URL: </w:t>
      </w:r>
      <w:hyperlink r:id="rId12" w:history="1">
        <w:r>
          <w:rPr>
            <w:rStyle w:val="a3"/>
            <w:rFonts w:ascii="Times New Roman" w:eastAsia="Calibri" w:hAnsi="Times New Roman" w:cs="Times New Roman"/>
            <w:sz w:val="28"/>
            <w:szCs w:val="28"/>
            <w:lang w:val="ru-RU" w:eastAsia="en-US"/>
          </w:rPr>
          <w:t>https://biblioclub.ru/index.php?page=book&amp;id=720198</w:t>
        </w:r>
      </w:hyperlink>
      <w:r>
        <w:rPr>
          <w:rFonts w:ascii="Times New Roman" w:eastAsia="Calibri" w:hAnsi="Times New Roman" w:cs="Times New Roman"/>
          <w:sz w:val="28"/>
          <w:szCs w:val="28"/>
          <w:lang w:val="ru-RU" w:eastAsia="en-US"/>
        </w:rPr>
        <w:t xml:space="preserve"> (дата обращения: 18.03.2025). – ISBN 978-5-394-05147-0. </w:t>
      </w:r>
    </w:p>
    <w:p w14:paraId="11769A3A" w14:textId="77777777" w:rsidR="00CC3ED4" w:rsidRDefault="00CC7BBE">
      <w:pPr>
        <w:numPr>
          <w:ilvl w:val="0"/>
          <w:numId w:val="1"/>
        </w:numPr>
        <w:spacing w:after="160" w:line="360" w:lineRule="auto"/>
        <w:ind w:left="0" w:firstLineChars="285" w:firstLine="798"/>
        <w:contextualSpacing/>
        <w:jc w:val="both"/>
        <w:rPr>
          <w:rFonts w:ascii="Times New Roman" w:eastAsia="Calibri" w:hAnsi="Times New Roman" w:cs="Times New Roman"/>
          <w:sz w:val="28"/>
          <w:szCs w:val="28"/>
          <w:lang w:val="ru-RU" w:eastAsia="en-US"/>
        </w:rPr>
      </w:pPr>
      <w:r>
        <w:rPr>
          <w:rFonts w:ascii="Times New Roman" w:eastAsia="Calibri" w:hAnsi="Times New Roman" w:cs="Times New Roman"/>
          <w:sz w:val="28"/>
          <w:szCs w:val="28"/>
          <w:lang w:val="ru-RU" w:eastAsia="en-US"/>
        </w:rPr>
        <w:t xml:space="preserve">Федеральная служба государственной </w:t>
      </w:r>
      <w:proofErr w:type="gramStart"/>
      <w:r>
        <w:rPr>
          <w:rFonts w:ascii="Times New Roman" w:eastAsia="Calibri" w:hAnsi="Times New Roman" w:cs="Times New Roman"/>
          <w:sz w:val="28"/>
          <w:szCs w:val="28"/>
          <w:lang w:val="ru-RU" w:eastAsia="en-US"/>
        </w:rPr>
        <w:t>статистики :</w:t>
      </w:r>
      <w:proofErr w:type="gramEnd"/>
      <w:r>
        <w:rPr>
          <w:rFonts w:ascii="Times New Roman" w:eastAsia="Calibri" w:hAnsi="Times New Roman" w:cs="Times New Roman"/>
          <w:sz w:val="28"/>
          <w:szCs w:val="28"/>
          <w:lang w:val="ru-RU" w:eastAsia="en-US"/>
        </w:rPr>
        <w:t xml:space="preserve"> официальный сайт. – URL: </w:t>
      </w:r>
      <w:hyperlink r:id="rId13" w:history="1">
        <w:r>
          <w:rPr>
            <w:rStyle w:val="a3"/>
            <w:rFonts w:ascii="Times New Roman" w:eastAsia="Calibri" w:hAnsi="Times New Roman" w:cs="Times New Roman"/>
            <w:sz w:val="28"/>
            <w:szCs w:val="28"/>
            <w:lang w:val="ru-RU" w:eastAsia="en-US"/>
          </w:rPr>
          <w:t>https://rosstat.gov.ru/</w:t>
        </w:r>
      </w:hyperlink>
      <w:r>
        <w:rPr>
          <w:rFonts w:ascii="Times New Roman" w:eastAsia="Calibri" w:hAnsi="Times New Roman" w:cs="Times New Roman"/>
          <w:sz w:val="28"/>
          <w:szCs w:val="28"/>
          <w:lang w:val="ru-RU" w:eastAsia="en-US"/>
        </w:rPr>
        <w:t xml:space="preserve"> (дата обращения: 12.03.2025).</w:t>
      </w:r>
    </w:p>
    <w:p w14:paraId="0E075BCB" w14:textId="77777777" w:rsidR="00CC3ED4" w:rsidRDefault="00CC3ED4">
      <w:pPr>
        <w:spacing w:after="160" w:line="360" w:lineRule="auto"/>
        <w:ind w:leftChars="285" w:left="570"/>
        <w:contextualSpacing/>
        <w:jc w:val="both"/>
        <w:rPr>
          <w:rFonts w:ascii="Times New Roman" w:eastAsia="Calibri" w:hAnsi="Times New Roman" w:cs="Times New Roman"/>
          <w:sz w:val="28"/>
          <w:szCs w:val="28"/>
          <w:lang w:val="ru-RU" w:eastAsia="en-US"/>
        </w:rPr>
      </w:pPr>
    </w:p>
    <w:p w14:paraId="4B59417A" w14:textId="77777777" w:rsidR="00CC3ED4" w:rsidRDefault="00CC3ED4">
      <w:pPr>
        <w:spacing w:line="360" w:lineRule="auto"/>
        <w:jc w:val="both"/>
        <w:rPr>
          <w:rFonts w:ascii="Times New Roman" w:hAnsi="Times New Roman"/>
          <w:sz w:val="28"/>
          <w:szCs w:val="28"/>
          <w:lang w:val="ru-RU"/>
        </w:rPr>
      </w:pPr>
    </w:p>
    <w:bookmarkEnd w:id="1"/>
    <w:p w14:paraId="3A31D125" w14:textId="77777777" w:rsidR="00CC3ED4" w:rsidRDefault="00CC3ED4">
      <w:pPr>
        <w:rPr>
          <w:lang w:val="ru-RU"/>
        </w:rPr>
      </w:pPr>
    </w:p>
    <w:p w14:paraId="24313A88" w14:textId="77777777" w:rsidR="00CC3ED4" w:rsidRPr="00CC7BBE" w:rsidRDefault="00CC3ED4">
      <w:pPr>
        <w:rPr>
          <w:lang w:val="ru-RU"/>
        </w:rPr>
      </w:pPr>
    </w:p>
    <w:sectPr w:rsidR="00CC3ED4" w:rsidRPr="00CC7BBE">
      <w:pgSz w:w="11906" w:h="16838"/>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9260D2"/>
    <w:multiLevelType w:val="multilevel"/>
    <w:tmpl w:val="619260D2"/>
    <w:lvl w:ilvl="0">
      <w:start w:val="1"/>
      <w:numFmt w:val="decimal"/>
      <w:lvlText w:val="%1."/>
      <w:lvlJc w:val="left"/>
      <w:pPr>
        <w:ind w:left="720" w:hanging="360"/>
      </w:pPr>
      <w:rPr>
        <w:rFonts w:hint="default"/>
        <w:b w:val="0"/>
        <w:b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08"/>
  <w:drawingGridVerticalSpacing w:val="156"/>
  <w:displayHorizontalDrawingGridEvery w:val="0"/>
  <w:displayVerticalDrawingGridEvery w:val="2"/>
  <w:characterSpacingControl w:val="doNotCompress"/>
  <w:compat>
    <w:spaceForUL/>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E5E6AA0"/>
    <w:rsid w:val="00CC3ED4"/>
    <w:rsid w:val="00CC7BBE"/>
    <w:rsid w:val="6E5E6A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7C6E0"/>
  <w15:docId w15:val="{792790FD-DFCD-4CE5-A789-9744DC9FF0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lsdException w:name="List Paragraph" w:uiPriority="99"/>
    <w:lsdException w:name="Quote" w:uiPriority="99"/>
    <w:lsdException w:name="Intense Quote" w:uiPriority="99"/>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lang w:val="en-US"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Pr>
      <w:color w:val="0563C1" w:themeColor="hyperlink"/>
      <w:u w:val="single"/>
    </w:rPr>
  </w:style>
  <w:style w:type="paragraph" w:styleId="a4">
    <w:name w:val="No Spacing"/>
    <w:uiPriority w:val="1"/>
    <w:qFormat/>
    <w:rPr>
      <w:rFonts w:eastAsiaTheme="minorHAns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hart" Target="charts/chart4.xml"/><Relationship Id="rId13" Type="http://schemas.openxmlformats.org/officeDocument/2006/relationships/hyperlink" Target="https://rosstat.gov.ru/" TargetMode="External"/><Relationship Id="rId3" Type="http://schemas.openxmlformats.org/officeDocument/2006/relationships/settings" Target="settings.xml"/><Relationship Id="rId7" Type="http://schemas.openxmlformats.org/officeDocument/2006/relationships/chart" Target="charts/chart3.xml"/><Relationship Id="rId12" Type="http://schemas.openxmlformats.org/officeDocument/2006/relationships/hyperlink" Target="https://biblioclub.ru/index.php?page=book&amp;id=72019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chart" Target="charts/chart2.xml"/><Relationship Id="rId11" Type="http://schemas.openxmlformats.org/officeDocument/2006/relationships/hyperlink" Target="https://biblioclub.ru/index.php?page=book&amp;id=691974" TargetMode="External"/><Relationship Id="rId5" Type="http://schemas.openxmlformats.org/officeDocument/2006/relationships/chart" Target="charts/chart1.xml"/><Relationship Id="rId15" Type="http://schemas.openxmlformats.org/officeDocument/2006/relationships/theme" Target="theme/theme1.xml"/><Relationship Id="rId10"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chart" Target="charts/chart5.xm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2" Type="http://schemas.openxmlformats.org/officeDocument/2006/relationships/oleObject" Target="file:///C:\Users\User\Desktop\plat_usl_2024%20(1).xlsx" TargetMode="External"/><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oleObject" Target="file:///C:\Users\User\Desktop\plat_usl_2024%20(1).xlsx" TargetMode="External"/><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oleObject" Target="file:///C:\Users\User\Desktop\plat_usl_2024%20(1).xlsx" TargetMode="External"/><Relationship Id="rId1" Type="http://schemas.openxmlformats.org/officeDocument/2006/relationships/themeOverride" Target="../theme/themeOverride3.xml"/></Relationships>
</file>

<file path=word/charts/_rels/chart4.xml.rels><?xml version="1.0" encoding="UTF-8" standalone="yes"?>
<Relationships xmlns="http://schemas.openxmlformats.org/package/2006/relationships"><Relationship Id="rId2" Type="http://schemas.openxmlformats.org/officeDocument/2006/relationships/oleObject" Target="file:///C:\Users\User\Desktop\plat_usl_2024%20(1).xlsx" TargetMode="External"/><Relationship Id="rId1" Type="http://schemas.openxmlformats.org/officeDocument/2006/relationships/themeOverride" Target="../theme/themeOverride4.xml"/></Relationships>
</file>

<file path=word/charts/_rels/chart5.xml.rels><?xml version="1.0" encoding="UTF-8" standalone="yes"?>
<Relationships xmlns="http://schemas.openxmlformats.org/package/2006/relationships"><Relationship Id="rId2" Type="http://schemas.openxmlformats.org/officeDocument/2006/relationships/oleObject" Target="file:///C:\Users\User\Desktop\plat_usl_2024%20(1).xlsx" TargetMode="External"/><Relationship Id="rId1" Type="http://schemas.openxmlformats.org/officeDocument/2006/relationships/themeOverride" Target="../theme/themeOverride5.xml"/></Relationships>
</file>

<file path=word/charts/_rels/chart6.xml.rels><?xml version="1.0" encoding="UTF-8" standalone="yes"?>
<Relationships xmlns="http://schemas.openxmlformats.org/package/2006/relationships"><Relationship Id="rId2" Type="http://schemas.openxmlformats.org/officeDocument/2006/relationships/oleObject" Target="file:///C:\Users\User\Desktop\plat_usl_2024%20(1).xlsx" TargetMode="External"/><Relationship Id="rId1" Type="http://schemas.openxmlformats.org/officeDocument/2006/relationships/themeOverride" Target="../theme/themeOverride6.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Лист4!$A$1:$A$21</c:f>
              <c:numCache>
                <c:formatCode>General</c:formatCode>
                <c:ptCount val="21"/>
                <c:pt idx="0">
                  <c:v>1</c:v>
                </c:pt>
                <c:pt idx="1">
                  <c:v>2</c:v>
                </c:pt>
                <c:pt idx="2">
                  <c:v>3</c:v>
                </c:pt>
                <c:pt idx="3">
                  <c:v>4</c:v>
                </c:pt>
                <c:pt idx="4">
                  <c:v>5</c:v>
                </c:pt>
                <c:pt idx="5">
                  <c:v>6</c:v>
                </c:pt>
                <c:pt idx="6">
                  <c:v>7</c:v>
                </c:pt>
                <c:pt idx="7">
                  <c:v>8</c:v>
                </c:pt>
                <c:pt idx="8">
                  <c:v>9</c:v>
                </c:pt>
                <c:pt idx="9">
                  <c:v>10</c:v>
                </c:pt>
                <c:pt idx="10">
                  <c:v>11</c:v>
                </c:pt>
                <c:pt idx="11">
                  <c:v>12</c:v>
                </c:pt>
                <c:pt idx="12">
                  <c:v>13</c:v>
                </c:pt>
                <c:pt idx="13">
                  <c:v>14</c:v>
                </c:pt>
                <c:pt idx="14">
                  <c:v>15</c:v>
                </c:pt>
                <c:pt idx="15">
                  <c:v>16</c:v>
                </c:pt>
                <c:pt idx="16">
                  <c:v>17</c:v>
                </c:pt>
                <c:pt idx="17">
                  <c:v>18</c:v>
                </c:pt>
                <c:pt idx="18">
                  <c:v>19</c:v>
                </c:pt>
                <c:pt idx="19">
                  <c:v>20</c:v>
                </c:pt>
                <c:pt idx="20">
                  <c:v>21</c:v>
                </c:pt>
              </c:numCache>
            </c:numRef>
          </c:cat>
          <c:val>
            <c:numRef>
              <c:f>Лист4!$B$1:$B$21</c:f>
              <c:numCache>
                <c:formatCode>[&lt;0]"x";##0.0</c:formatCode>
                <c:ptCount val="21"/>
                <c:pt idx="0">
                  <c:v>2053036</c:v>
                </c:pt>
                <c:pt idx="1">
                  <c:v>3476506.9</c:v>
                </c:pt>
                <c:pt idx="2">
                  <c:v>1717905.7</c:v>
                </c:pt>
                <c:pt idx="3">
                  <c:v>114333.8</c:v>
                </c:pt>
                <c:pt idx="4">
                  <c:v>54449.4</c:v>
                </c:pt>
                <c:pt idx="5">
                  <c:v>1077700.3</c:v>
                </c:pt>
                <c:pt idx="6">
                  <c:v>3069516</c:v>
                </c:pt>
                <c:pt idx="7">
                  <c:v>297253.90000000002</c:v>
                </c:pt>
                <c:pt idx="8">
                  <c:v>350680</c:v>
                </c:pt>
                <c:pt idx="9">
                  <c:v>514755.3</c:v>
                </c:pt>
                <c:pt idx="10">
                  <c:v>201929.2</c:v>
                </c:pt>
                <c:pt idx="11">
                  <c:v>100588.5</c:v>
                </c:pt>
                <c:pt idx="12">
                  <c:v>1570383.8</c:v>
                </c:pt>
                <c:pt idx="13">
                  <c:v>340001.3</c:v>
                </c:pt>
                <c:pt idx="14">
                  <c:v>233127.7</c:v>
                </c:pt>
                <c:pt idx="15">
                  <c:v>49613</c:v>
                </c:pt>
                <c:pt idx="16">
                  <c:v>160639</c:v>
                </c:pt>
                <c:pt idx="17">
                  <c:v>1126534.5</c:v>
                </c:pt>
                <c:pt idx="18">
                  <c:v>53515.1</c:v>
                </c:pt>
                <c:pt idx="19">
                  <c:v>1036508.6</c:v>
                </c:pt>
                <c:pt idx="20">
                  <c:v>385733.6</c:v>
                </c:pt>
              </c:numCache>
            </c:numRef>
          </c:val>
          <c:extLst>
            <c:ext xmlns:c16="http://schemas.microsoft.com/office/drawing/2014/chart" uri="{C3380CC4-5D6E-409C-BE32-E72D297353CC}">
              <c16:uniqueId val="{00000000-A9C3-47D6-AAEE-CAA0B76D5AF2}"/>
            </c:ext>
          </c:extLst>
        </c:ser>
        <c:dLbls>
          <c:showLegendKey val="0"/>
          <c:showVal val="0"/>
          <c:showCatName val="0"/>
          <c:showSerName val="0"/>
          <c:showPercent val="0"/>
          <c:showBubbleSize val="0"/>
        </c:dLbls>
        <c:gapWidth val="50"/>
        <c:overlap val="-27"/>
        <c:axId val="119915648"/>
        <c:axId val="119917184"/>
      </c:barChart>
      <c:catAx>
        <c:axId val="11991564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119917184"/>
        <c:crosses val="autoZero"/>
        <c:auto val="1"/>
        <c:lblAlgn val="ctr"/>
        <c:lblOffset val="100"/>
        <c:noMultiLvlLbl val="0"/>
      </c:catAx>
      <c:valAx>
        <c:axId val="119917184"/>
        <c:scaling>
          <c:orientation val="minMax"/>
        </c:scaling>
        <c:delete val="0"/>
        <c:axPos val="l"/>
        <c:numFmt formatCode="[&lt;0]&quot;x&quot;;##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119915648"/>
        <c:crosses val="autoZero"/>
        <c:crossBetween val="between"/>
      </c:valAx>
      <c:spPr>
        <a:noFill/>
        <a:ln>
          <a:noFill/>
        </a:ln>
        <a:effectLst/>
      </c:spPr>
    </c:plotArea>
    <c:plotVisOnly val="1"/>
    <c:dispBlanksAs val="gap"/>
    <c:showDLblsOverMax val="0"/>
    <c:extLst>
      <c:ext uri="{0b15fc19-7d7d-44ad-8c2d-2c3a37ce22c3}">
        <chartProps xmlns="https://web.wps.cn/et/2018/main" chartId="{6e320cf4-b457-492a-844b-6606ba8d2d16}"/>
      </c:ext>
    </c:extLst>
  </c:chart>
  <c:spPr>
    <a:solidFill>
      <a:schemeClr val="bg1"/>
    </a:solidFill>
    <a:ln w="9525" cap="flat" cmpd="sng" algn="ctr">
      <a:noFill/>
      <a:prstDash val="solid"/>
      <a:round/>
    </a:ln>
    <a:effectLst/>
  </c:spPr>
  <c:txPr>
    <a:bodyPr/>
    <a:lstStyle/>
    <a:p>
      <a:pPr>
        <a:defRPr lang="ru-RU"/>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Лист5!$A$2:$A$16</c:f>
              <c:numCache>
                <c:formatCode>General</c:formatCode>
                <c:ptCount val="15"/>
                <c:pt idx="0">
                  <c:v>2005</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Лист5!$B$2:$B$16</c:f>
              <c:numCache>
                <c:formatCode>0.0</c:formatCode>
                <c:ptCount val="15"/>
                <c:pt idx="0">
                  <c:v>15828.8</c:v>
                </c:pt>
                <c:pt idx="1">
                  <c:v>34606.199999999997</c:v>
                </c:pt>
                <c:pt idx="2">
                  <c:v>38740.903427008001</c:v>
                </c:pt>
                <c:pt idx="3">
                  <c:v>42104.2</c:v>
                </c:pt>
                <c:pt idx="4">
                  <c:v>48172.5</c:v>
                </c:pt>
                <c:pt idx="5">
                  <c:v>50970</c:v>
                </c:pt>
                <c:pt idx="6">
                  <c:v>54781.1</c:v>
                </c:pt>
                <c:pt idx="7">
                  <c:v>58598.2</c:v>
                </c:pt>
                <c:pt idx="8">
                  <c:v>62370.7</c:v>
                </c:pt>
                <c:pt idx="9">
                  <c:v>66774.899999999994</c:v>
                </c:pt>
                <c:pt idx="10">
                  <c:v>71234.899999999994</c:v>
                </c:pt>
                <c:pt idx="11">
                  <c:v>62923</c:v>
                </c:pt>
                <c:pt idx="12">
                  <c:v>77238.799927750602</c:v>
                </c:pt>
                <c:pt idx="13">
                  <c:v>88053.8</c:v>
                </c:pt>
                <c:pt idx="14" formatCode="[&lt;0]&quot;x&quot;;##0.0">
                  <c:v>103338.8</c:v>
                </c:pt>
              </c:numCache>
            </c:numRef>
          </c:val>
          <c:extLst>
            <c:ext xmlns:c16="http://schemas.microsoft.com/office/drawing/2014/chart" uri="{C3380CC4-5D6E-409C-BE32-E72D297353CC}">
              <c16:uniqueId val="{00000000-53AE-4616-AC32-B3DDA2ED390F}"/>
            </c:ext>
          </c:extLst>
        </c:ser>
        <c:dLbls>
          <c:showLegendKey val="0"/>
          <c:showVal val="0"/>
          <c:showCatName val="0"/>
          <c:showSerName val="0"/>
          <c:showPercent val="0"/>
          <c:showBubbleSize val="0"/>
        </c:dLbls>
        <c:gapWidth val="50"/>
        <c:overlap val="-27"/>
        <c:axId val="120014336"/>
        <c:axId val="120015872"/>
      </c:barChart>
      <c:catAx>
        <c:axId val="12001433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120015872"/>
        <c:crosses val="autoZero"/>
        <c:auto val="1"/>
        <c:lblAlgn val="ctr"/>
        <c:lblOffset val="100"/>
        <c:noMultiLvlLbl val="0"/>
      </c:catAx>
      <c:valAx>
        <c:axId val="120015872"/>
        <c:scaling>
          <c:orientation val="minMax"/>
        </c:scaling>
        <c:delete val="0"/>
        <c:axPos val="l"/>
        <c:numFmt formatCode="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120014336"/>
        <c:crosses val="autoZero"/>
        <c:crossBetween val="between"/>
      </c:valAx>
      <c:spPr>
        <a:noFill/>
        <a:ln>
          <a:noFill/>
        </a:ln>
        <a:effectLst/>
      </c:spPr>
    </c:plotArea>
    <c:plotVisOnly val="1"/>
    <c:dispBlanksAs val="gap"/>
    <c:showDLblsOverMax val="0"/>
    <c:extLst>
      <c:ext uri="{0b15fc19-7d7d-44ad-8c2d-2c3a37ce22c3}">
        <chartProps xmlns="https://web.wps.cn/et/2018/main" chartId="{7005a384-f247-449b-a179-6854a37322ce}"/>
      </c:ext>
    </c:extLst>
  </c:chart>
  <c:spPr>
    <a:solidFill>
      <a:schemeClr val="bg1"/>
    </a:solidFill>
    <a:ln w="9525" cap="flat" cmpd="sng" algn="ctr">
      <a:solidFill>
        <a:sysClr val="window" lastClr="FFFFFF"/>
      </a:solidFill>
      <a:prstDash val="solid"/>
      <a:round/>
    </a:ln>
    <a:effectLst/>
  </c:spPr>
  <c:txPr>
    <a:bodyPr/>
    <a:lstStyle/>
    <a:p>
      <a:pPr>
        <a:defRPr lang="ru-RU"/>
      </a:pPr>
      <a:endParaRPr lang="ru-RU"/>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Лист7!$A$1:$A$15</c:f>
              <c:numCache>
                <c:formatCode>General</c:formatCode>
                <c:ptCount val="15"/>
                <c:pt idx="0">
                  <c:v>2005</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Лист7!$B$1:$B$15</c:f>
              <c:numCache>
                <c:formatCode>0.0</c:formatCode>
                <c:ptCount val="15"/>
                <c:pt idx="0">
                  <c:v>3396.9</c:v>
                </c:pt>
                <c:pt idx="1">
                  <c:v>6584.2</c:v>
                </c:pt>
                <c:pt idx="2">
                  <c:v>7467.8224557371896</c:v>
                </c:pt>
                <c:pt idx="3">
                  <c:v>8244.9</c:v>
                </c:pt>
                <c:pt idx="4">
                  <c:v>9029.4</c:v>
                </c:pt>
                <c:pt idx="5">
                  <c:v>9457.1</c:v>
                </c:pt>
                <c:pt idx="6">
                  <c:v>10080.9</c:v>
                </c:pt>
                <c:pt idx="7">
                  <c:v>11530.9</c:v>
                </c:pt>
                <c:pt idx="8">
                  <c:v>12529.4</c:v>
                </c:pt>
                <c:pt idx="9">
                  <c:v>13166.1</c:v>
                </c:pt>
                <c:pt idx="10">
                  <c:v>14074.3</c:v>
                </c:pt>
                <c:pt idx="11">
                  <c:v>9407.4</c:v>
                </c:pt>
                <c:pt idx="12">
                  <c:v>13926.7669068754</c:v>
                </c:pt>
                <c:pt idx="13">
                  <c:v>15822.1</c:v>
                </c:pt>
                <c:pt idx="14" formatCode="[&lt;0]&quot;x&quot;;##0.0">
                  <c:v>20079.3</c:v>
                </c:pt>
              </c:numCache>
            </c:numRef>
          </c:val>
          <c:extLst>
            <c:ext xmlns:c16="http://schemas.microsoft.com/office/drawing/2014/chart" uri="{C3380CC4-5D6E-409C-BE32-E72D297353CC}">
              <c16:uniqueId val="{00000000-C344-4E4D-B53F-00876B807473}"/>
            </c:ext>
          </c:extLst>
        </c:ser>
        <c:dLbls>
          <c:showLegendKey val="0"/>
          <c:showVal val="0"/>
          <c:showCatName val="0"/>
          <c:showSerName val="0"/>
          <c:showPercent val="0"/>
          <c:showBubbleSize val="0"/>
        </c:dLbls>
        <c:gapWidth val="50"/>
        <c:overlap val="-27"/>
        <c:axId val="75763712"/>
        <c:axId val="75765248"/>
      </c:barChart>
      <c:catAx>
        <c:axId val="757637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75765248"/>
        <c:crosses val="autoZero"/>
        <c:auto val="1"/>
        <c:lblAlgn val="ctr"/>
        <c:lblOffset val="100"/>
        <c:noMultiLvlLbl val="0"/>
      </c:catAx>
      <c:valAx>
        <c:axId val="75765248"/>
        <c:scaling>
          <c:orientation val="minMax"/>
        </c:scaling>
        <c:delete val="0"/>
        <c:axPos val="l"/>
        <c:numFmt formatCode="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75763712"/>
        <c:crosses val="autoZero"/>
        <c:crossBetween val="between"/>
      </c:valAx>
      <c:spPr>
        <a:noFill/>
        <a:ln>
          <a:noFill/>
        </a:ln>
        <a:effectLst/>
      </c:spPr>
    </c:plotArea>
    <c:plotVisOnly val="1"/>
    <c:dispBlanksAs val="gap"/>
    <c:showDLblsOverMax val="0"/>
    <c:extLst>
      <c:ext uri="{0b15fc19-7d7d-44ad-8c2d-2c3a37ce22c3}">
        <chartProps xmlns="https://web.wps.cn/et/2018/main" chartId="{83c8a8fe-be55-422a-8b33-f876f222591f}"/>
      </c:ext>
    </c:extLst>
  </c:chart>
  <c:spPr>
    <a:solidFill>
      <a:schemeClr val="bg1"/>
    </a:solidFill>
    <a:ln w="9525" cap="flat" cmpd="sng" algn="ctr">
      <a:solidFill>
        <a:sysClr val="window" lastClr="FFFFFF"/>
      </a:solidFill>
      <a:prstDash val="solid"/>
      <a:round/>
    </a:ln>
    <a:effectLst/>
  </c:spPr>
  <c:txPr>
    <a:bodyPr/>
    <a:lstStyle/>
    <a:p>
      <a:pPr>
        <a:defRPr lang="ru-RU"/>
      </a:pPr>
      <a:endParaRPr lang="ru-RU"/>
    </a:p>
  </c:txPr>
  <c:externalData r:id="rId2">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Лист10!$A$1:$A$15</c:f>
              <c:numCache>
                <c:formatCode>General</c:formatCode>
                <c:ptCount val="15"/>
                <c:pt idx="0">
                  <c:v>2005</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Лист10!$B$1:$B$15</c:f>
              <c:numCache>
                <c:formatCode>0.0</c:formatCode>
                <c:ptCount val="15"/>
                <c:pt idx="0">
                  <c:v>764.7</c:v>
                </c:pt>
                <c:pt idx="1">
                  <c:v>1753.4</c:v>
                </c:pt>
                <c:pt idx="2">
                  <c:v>2000.1</c:v>
                </c:pt>
                <c:pt idx="3">
                  <c:v>2328.8000000000002</c:v>
                </c:pt>
                <c:pt idx="4">
                  <c:v>2894.4</c:v>
                </c:pt>
                <c:pt idx="5">
                  <c:v>3238.3</c:v>
                </c:pt>
                <c:pt idx="6">
                  <c:v>3595.2</c:v>
                </c:pt>
                <c:pt idx="7">
                  <c:v>3884.1</c:v>
                </c:pt>
                <c:pt idx="8">
                  <c:v>4242.8999999999996</c:v>
                </c:pt>
                <c:pt idx="9">
                  <c:v>5237.8</c:v>
                </c:pt>
                <c:pt idx="10">
                  <c:v>6148.3</c:v>
                </c:pt>
                <c:pt idx="11">
                  <c:v>5866.4</c:v>
                </c:pt>
                <c:pt idx="12">
                  <c:v>7417.1277599301202</c:v>
                </c:pt>
                <c:pt idx="13">
                  <c:v>8307.7000000000007</c:v>
                </c:pt>
                <c:pt idx="14" formatCode="[&lt;0]&quot;x&quot;;##0.0">
                  <c:v>9600.5</c:v>
                </c:pt>
              </c:numCache>
            </c:numRef>
          </c:val>
          <c:extLst>
            <c:ext xmlns:c16="http://schemas.microsoft.com/office/drawing/2014/chart" uri="{C3380CC4-5D6E-409C-BE32-E72D297353CC}">
              <c16:uniqueId val="{00000000-D5B8-42B3-9B9F-AB0A72AB797E}"/>
            </c:ext>
          </c:extLst>
        </c:ser>
        <c:dLbls>
          <c:showLegendKey val="0"/>
          <c:showVal val="0"/>
          <c:showCatName val="0"/>
          <c:showSerName val="0"/>
          <c:showPercent val="0"/>
          <c:showBubbleSize val="0"/>
        </c:dLbls>
        <c:gapWidth val="50"/>
        <c:overlap val="-27"/>
        <c:axId val="75824512"/>
        <c:axId val="75994240"/>
      </c:barChart>
      <c:catAx>
        <c:axId val="75824512"/>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75994240"/>
        <c:crosses val="autoZero"/>
        <c:auto val="1"/>
        <c:lblAlgn val="ctr"/>
        <c:lblOffset val="100"/>
        <c:noMultiLvlLbl val="0"/>
      </c:catAx>
      <c:valAx>
        <c:axId val="75994240"/>
        <c:scaling>
          <c:orientation val="minMax"/>
        </c:scaling>
        <c:delete val="0"/>
        <c:axPos val="l"/>
        <c:numFmt formatCode="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75824512"/>
        <c:crosses val="autoZero"/>
        <c:crossBetween val="between"/>
      </c:valAx>
      <c:spPr>
        <a:noFill/>
        <a:ln>
          <a:noFill/>
        </a:ln>
        <a:effectLst/>
      </c:spPr>
    </c:plotArea>
    <c:plotVisOnly val="1"/>
    <c:dispBlanksAs val="gap"/>
    <c:showDLblsOverMax val="0"/>
    <c:extLst>
      <c:ext uri="{0b15fc19-7d7d-44ad-8c2d-2c3a37ce22c3}">
        <chartProps xmlns="https://web.wps.cn/et/2018/main" chartId="{c1371212-732a-4bb3-aa5a-5fa58e0e3875}"/>
      </c:ext>
    </c:extLst>
  </c:chart>
  <c:spPr>
    <a:solidFill>
      <a:schemeClr val="bg1"/>
    </a:solidFill>
    <a:ln w="9525" cap="flat" cmpd="sng" algn="ctr">
      <a:solidFill>
        <a:sysClr val="window" lastClr="FFFFFF"/>
      </a:solidFill>
      <a:prstDash val="solid"/>
      <a:round/>
    </a:ln>
    <a:effectLst/>
  </c:spPr>
  <c:txPr>
    <a:bodyPr/>
    <a:lstStyle/>
    <a:p>
      <a:pPr>
        <a:defRPr lang="ru-RU"/>
      </a:pPr>
      <a:endParaRPr lang="ru-RU"/>
    </a:p>
  </c:txPr>
  <c:externalData r:id="rId2">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Лист11!$A$1:$A$15</c:f>
              <c:numCache>
                <c:formatCode>General</c:formatCode>
                <c:ptCount val="15"/>
                <c:pt idx="0">
                  <c:v>2005</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Лист11!$B$1:$B$15</c:f>
              <c:numCache>
                <c:formatCode>0.0</c:formatCode>
                <c:ptCount val="15"/>
                <c:pt idx="0">
                  <c:v>364.2</c:v>
                </c:pt>
                <c:pt idx="1">
                  <c:v>592.4</c:v>
                </c:pt>
                <c:pt idx="2">
                  <c:v>613.9</c:v>
                </c:pt>
                <c:pt idx="3">
                  <c:v>582.70000000000005</c:v>
                </c:pt>
                <c:pt idx="4">
                  <c:v>596.6</c:v>
                </c:pt>
                <c:pt idx="5">
                  <c:v>605</c:v>
                </c:pt>
                <c:pt idx="6">
                  <c:v>656.6</c:v>
                </c:pt>
                <c:pt idx="7">
                  <c:v>651.70000000000005</c:v>
                </c:pt>
                <c:pt idx="8">
                  <c:v>663.4</c:v>
                </c:pt>
                <c:pt idx="9">
                  <c:v>729.1</c:v>
                </c:pt>
                <c:pt idx="10">
                  <c:v>806.6</c:v>
                </c:pt>
                <c:pt idx="11">
                  <c:v>733.5</c:v>
                </c:pt>
                <c:pt idx="12">
                  <c:v>760.02716055533006</c:v>
                </c:pt>
                <c:pt idx="13">
                  <c:v>922.1</c:v>
                </c:pt>
                <c:pt idx="14" formatCode="[&lt;0]&quot;x&quot;;##0.0">
                  <c:v>1060.5999999999999</c:v>
                </c:pt>
              </c:numCache>
            </c:numRef>
          </c:val>
          <c:extLst>
            <c:ext xmlns:c16="http://schemas.microsoft.com/office/drawing/2014/chart" uri="{C3380CC4-5D6E-409C-BE32-E72D297353CC}">
              <c16:uniqueId val="{00000000-1CAB-492B-BCB9-8575A500C496}"/>
            </c:ext>
          </c:extLst>
        </c:ser>
        <c:dLbls>
          <c:showLegendKey val="0"/>
          <c:showVal val="0"/>
          <c:showCatName val="0"/>
          <c:showSerName val="0"/>
          <c:showPercent val="0"/>
          <c:showBubbleSize val="0"/>
        </c:dLbls>
        <c:gapWidth val="50"/>
        <c:overlap val="-27"/>
        <c:axId val="76047104"/>
        <c:axId val="76048640"/>
      </c:barChart>
      <c:catAx>
        <c:axId val="7604710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76048640"/>
        <c:crosses val="autoZero"/>
        <c:auto val="1"/>
        <c:lblAlgn val="ctr"/>
        <c:lblOffset val="100"/>
        <c:noMultiLvlLbl val="0"/>
      </c:catAx>
      <c:valAx>
        <c:axId val="76048640"/>
        <c:scaling>
          <c:orientation val="minMax"/>
        </c:scaling>
        <c:delete val="0"/>
        <c:axPos val="l"/>
        <c:numFmt formatCode="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76047104"/>
        <c:crosses val="autoZero"/>
        <c:crossBetween val="between"/>
      </c:valAx>
      <c:spPr>
        <a:noFill/>
        <a:ln>
          <a:solidFill>
            <a:sysClr val="window" lastClr="FFFFFF"/>
          </a:solidFill>
        </a:ln>
        <a:effectLst/>
      </c:spPr>
    </c:plotArea>
    <c:plotVisOnly val="1"/>
    <c:dispBlanksAs val="gap"/>
    <c:showDLblsOverMax val="0"/>
    <c:extLst>
      <c:ext uri="{0b15fc19-7d7d-44ad-8c2d-2c3a37ce22c3}">
        <chartProps xmlns="https://web.wps.cn/et/2018/main" chartId="{22958b04-29eb-4ea0-acfb-685a6ab4cad0}"/>
      </c:ext>
    </c:extLst>
  </c:chart>
  <c:spPr>
    <a:solidFill>
      <a:schemeClr val="bg1"/>
    </a:solidFill>
    <a:ln w="9525" cap="flat" cmpd="sng" algn="ctr">
      <a:solidFill>
        <a:sysClr val="window" lastClr="FFFFFF"/>
      </a:solidFill>
      <a:prstDash val="solid"/>
      <a:round/>
    </a:ln>
    <a:effectLst/>
  </c:spPr>
  <c:txPr>
    <a:bodyPr/>
    <a:lstStyle/>
    <a:p>
      <a:pPr>
        <a:defRPr lang="ru-RU"/>
      </a:pPr>
      <a:endParaRPr lang="ru-RU"/>
    </a:p>
  </c:txPr>
  <c:externalData r:id="rId2">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ru-RU"/>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col"/>
        <c:grouping val="clustered"/>
        <c:varyColors val="0"/>
        <c:ser>
          <c:idx val="0"/>
          <c:order val="0"/>
          <c:spPr>
            <a:solidFill>
              <a:schemeClr val="accent1"/>
            </a:solidFill>
            <a:ln>
              <a:noFill/>
            </a:ln>
            <a:effectLst/>
          </c:spPr>
          <c:invertIfNegative val="0"/>
          <c:cat>
            <c:numRef>
              <c:f>Лист12!$A$1:$A$15</c:f>
              <c:numCache>
                <c:formatCode>General</c:formatCode>
                <c:ptCount val="15"/>
                <c:pt idx="0">
                  <c:v>2005</c:v>
                </c:pt>
                <c:pt idx="1">
                  <c:v>2010</c:v>
                </c:pt>
                <c:pt idx="2">
                  <c:v>2011</c:v>
                </c:pt>
                <c:pt idx="3">
                  <c:v>2012</c:v>
                </c:pt>
                <c:pt idx="4">
                  <c:v>2013</c:v>
                </c:pt>
                <c:pt idx="5">
                  <c:v>2014</c:v>
                </c:pt>
                <c:pt idx="6">
                  <c:v>2015</c:v>
                </c:pt>
                <c:pt idx="7">
                  <c:v>2016</c:v>
                </c:pt>
                <c:pt idx="8">
                  <c:v>2017</c:v>
                </c:pt>
                <c:pt idx="9">
                  <c:v>2018</c:v>
                </c:pt>
                <c:pt idx="10">
                  <c:v>2019</c:v>
                </c:pt>
                <c:pt idx="11">
                  <c:v>2020</c:v>
                </c:pt>
                <c:pt idx="12">
                  <c:v>2021</c:v>
                </c:pt>
                <c:pt idx="13">
                  <c:v>2022</c:v>
                </c:pt>
                <c:pt idx="14">
                  <c:v>2023</c:v>
                </c:pt>
              </c:numCache>
            </c:numRef>
          </c:cat>
          <c:val>
            <c:numRef>
              <c:f>Лист12!$B$1:$B$15</c:f>
              <c:numCache>
                <c:formatCode>0.0</c:formatCode>
                <c:ptCount val="15"/>
                <c:pt idx="0">
                  <c:v>1063.8</c:v>
                </c:pt>
                <c:pt idx="1">
                  <c:v>2282.8000000000002</c:v>
                </c:pt>
                <c:pt idx="2">
                  <c:v>2428.6999999999998</c:v>
                </c:pt>
                <c:pt idx="3">
                  <c:v>2642.9</c:v>
                </c:pt>
                <c:pt idx="4">
                  <c:v>3123.9</c:v>
                </c:pt>
                <c:pt idx="5">
                  <c:v>3320.9</c:v>
                </c:pt>
                <c:pt idx="6">
                  <c:v>3672.2</c:v>
                </c:pt>
                <c:pt idx="7">
                  <c:v>3849.3</c:v>
                </c:pt>
                <c:pt idx="8">
                  <c:v>4152.6000000000004</c:v>
                </c:pt>
                <c:pt idx="9">
                  <c:v>4581</c:v>
                </c:pt>
                <c:pt idx="10">
                  <c:v>4940.3</c:v>
                </c:pt>
                <c:pt idx="11">
                  <c:v>4441</c:v>
                </c:pt>
                <c:pt idx="12">
                  <c:v>5384.87348444299</c:v>
                </c:pt>
                <c:pt idx="13">
                  <c:v>6025</c:v>
                </c:pt>
                <c:pt idx="14" formatCode="[&lt;0]&quot;x&quot;;##0.0">
                  <c:v>6910.9</c:v>
                </c:pt>
              </c:numCache>
            </c:numRef>
          </c:val>
          <c:extLst>
            <c:ext xmlns:c16="http://schemas.microsoft.com/office/drawing/2014/chart" uri="{C3380CC4-5D6E-409C-BE32-E72D297353CC}">
              <c16:uniqueId val="{00000000-CA3C-48C5-9AF7-3011653635E7}"/>
            </c:ext>
          </c:extLst>
        </c:ser>
        <c:dLbls>
          <c:showLegendKey val="0"/>
          <c:showVal val="0"/>
          <c:showCatName val="0"/>
          <c:showSerName val="0"/>
          <c:showPercent val="0"/>
          <c:showBubbleSize val="0"/>
        </c:dLbls>
        <c:gapWidth val="50"/>
        <c:overlap val="-27"/>
        <c:axId val="76019968"/>
        <c:axId val="76066816"/>
      </c:barChart>
      <c:catAx>
        <c:axId val="7601996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76066816"/>
        <c:crosses val="autoZero"/>
        <c:auto val="1"/>
        <c:lblAlgn val="ctr"/>
        <c:lblOffset val="100"/>
        <c:noMultiLvlLbl val="0"/>
      </c:catAx>
      <c:valAx>
        <c:axId val="76066816"/>
        <c:scaling>
          <c:orientation val="minMax"/>
        </c:scaling>
        <c:delete val="0"/>
        <c:axPos val="l"/>
        <c:numFmt formatCode="0.0" sourceLinked="1"/>
        <c:majorTickMark val="none"/>
        <c:minorTickMark val="none"/>
        <c:tickLblPos val="nextTo"/>
        <c:spPr>
          <a:noFill/>
          <a:ln w="9525" cap="flat" cmpd="sng" algn="ctr">
            <a:noFill/>
            <a:prstDash val="solid"/>
            <a:round/>
          </a:ln>
          <a:effectLst/>
        </c:spPr>
        <c:txPr>
          <a:bodyPr rot="-60000000" spcFirstLastPara="1" vertOverflow="ellipsis" vert="horz" wrap="square" anchor="ctr" anchorCtr="1"/>
          <a:lstStyle/>
          <a:p>
            <a:pPr>
              <a:defRPr lang="ru-RU" sz="1200" b="1" i="0" u="none" strike="noStrike" kern="1200" baseline="0">
                <a:solidFill>
                  <a:sysClr val="windowText" lastClr="000000"/>
                </a:solidFill>
                <a:latin typeface="Times New Roman" panose="02020603050405020304" charset="0"/>
                <a:ea typeface="+mn-ea"/>
                <a:cs typeface="Times New Roman" panose="02020603050405020304" charset="0"/>
              </a:defRPr>
            </a:pPr>
            <a:endParaRPr lang="ru-RU"/>
          </a:p>
        </c:txPr>
        <c:crossAx val="76019968"/>
        <c:crosses val="autoZero"/>
        <c:crossBetween val="between"/>
      </c:valAx>
      <c:spPr>
        <a:noFill/>
        <a:ln>
          <a:noFill/>
        </a:ln>
        <a:effectLst/>
      </c:spPr>
    </c:plotArea>
    <c:plotVisOnly val="1"/>
    <c:dispBlanksAs val="gap"/>
    <c:showDLblsOverMax val="0"/>
    <c:extLst>
      <c:ext uri="{0b15fc19-7d7d-44ad-8c2d-2c3a37ce22c3}">
        <chartProps xmlns="https://web.wps.cn/et/2018/main" chartId="{b7353b29-3695-4dce-8551-77f72bc267fb}"/>
      </c:ext>
    </c:extLst>
  </c:chart>
  <c:spPr>
    <a:solidFill>
      <a:schemeClr val="bg1"/>
    </a:solidFill>
    <a:ln w="9525" cap="flat" cmpd="sng" algn="ctr">
      <a:solidFill>
        <a:sysClr val="window" lastClr="FFFFFF"/>
      </a:solidFill>
      <a:prstDash val="solid"/>
      <a:round/>
    </a:ln>
    <a:effectLst/>
  </c:spPr>
  <c:txPr>
    <a:bodyPr/>
    <a:lstStyle/>
    <a:p>
      <a:pPr>
        <a:defRPr lang="ru-RU"/>
      </a:pPr>
      <a:endParaRPr lang="ru-RU"/>
    </a:p>
  </c:txPr>
  <c:externalData r:id="rId2">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word/theme/themeOverride1.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4.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5.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6.xml><?xml version="1.0" encoding="utf-8"?>
<a:themeOverride xmlns:a="http://schemas.openxmlformats.org/drawingml/2006/main">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13</TotalTime>
  <Pages>8</Pages>
  <Words>1732</Words>
  <Characters>9879</Characters>
  <Application>Microsoft Office Word</Application>
  <DocSecurity>0</DocSecurity>
  <Lines>82</Lines>
  <Paragraphs>23</Paragraphs>
  <ScaleCrop>false</ScaleCrop>
  <Company/>
  <LinksUpToDate>false</LinksUpToDate>
  <CharactersWithSpaces>11588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Анастасия Подрез</dc:creator>
  <cp:lastModifiedBy>User</cp:lastModifiedBy>
  <cp:revision>2</cp:revision>
  <dcterms:created xsi:type="dcterms:W3CDTF">2025-04-27T19:34:00Z</dcterms:created>
  <dcterms:modified xsi:type="dcterms:W3CDTF">2025-05-16T17:41:00Z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1049-12.2.0.20796</vt:lpwstr>
  </property>
  <property fmtid="{D5CDD505-2E9C-101B-9397-08002B2CF9AE}" pid="3" name="ICV">
    <vt:lpwstr>8C024439D2B342E2BF0D80B9B3518EE9_11</vt:lpwstr>
  </property>
</Properties>
</file>