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120"/>
        <w:jc w:val="center"/>
        <w:rPr>
          <w:lang w:val="ru-RU"/>
        </w:rPr>
      </w:pPr>
      <w:r>
        <w:rPr>
          <w:b/>
          <w:lang w:val="ru-RU"/>
        </w:rPr>
        <w:t>Сетевая форма разработки и реализации образовательных и воспитательных программ как условие повышения доступности качественного вариативного образования</w:t>
      </w:r>
    </w:p>
    <w:p>
      <w:pPr>
        <w:pStyle w:val="Normal"/>
        <w:spacing w:lineRule="auto" w:line="240" w:before="0" w:after="240"/>
        <w:jc w:val="center"/>
        <w:rPr/>
      </w:pPr>
      <w:r>
        <w:rPr>
          <w:b/>
          <w:lang w:val="ru-RU"/>
        </w:rPr>
        <w:t xml:space="preserve">(из опыта работы МАОУ «Гимназия № 3 в Академгородке», </w:t>
      </w:r>
    </w:p>
    <w:p>
      <w:pPr>
        <w:pStyle w:val="Normal"/>
        <w:spacing w:lineRule="auto" w:line="240" w:before="0" w:after="240"/>
        <w:jc w:val="center"/>
        <w:rPr/>
      </w:pPr>
      <w:r>
        <w:rPr>
          <w:b/>
          <w:lang w:val="ru-RU"/>
        </w:rPr>
        <w:t xml:space="preserve">региональной инновационной площадки </w:t>
      </w:r>
      <w:r>
        <w:rPr>
          <w:b/>
          <w:lang w:val="ru-RU"/>
        </w:rPr>
        <w:t>Новосибирской области</w:t>
      </w:r>
      <w:r>
        <w:rPr>
          <w:b/>
          <w:lang w:val="ru-RU"/>
        </w:rPr>
        <w:t>)</w:t>
      </w:r>
    </w:p>
    <w:p>
      <w:pPr>
        <w:pStyle w:val="Normal"/>
        <w:spacing w:before="0" w:after="240"/>
        <w:jc w:val="left"/>
        <w:rPr>
          <w:sz w:val="24"/>
          <w:szCs w:val="24"/>
        </w:rPr>
      </w:pPr>
      <w:r>
        <w:rPr>
          <w:i/>
          <w:sz w:val="24"/>
          <w:szCs w:val="24"/>
          <w:lang w:val="ru-RU"/>
        </w:rPr>
        <w:t xml:space="preserve">Алексеева Татьяна Алексеевна, директор МАОУ «Гимназия № 3 в Академгородке» </w:t>
      </w:r>
      <w:r>
        <w:rPr>
          <w:i/>
          <w:sz w:val="24"/>
          <w:szCs w:val="24"/>
          <w:lang w:val="ru-RU"/>
        </w:rPr>
        <w:t>г. Новосибирска</w:t>
      </w:r>
    </w:p>
    <w:p>
      <w:pPr>
        <w:pStyle w:val="Normal"/>
        <w:jc w:val="left"/>
        <w:rPr>
          <w:sz w:val="24"/>
          <w:szCs w:val="24"/>
        </w:rPr>
      </w:pPr>
      <w:r>
        <w:rPr>
          <w:i/>
          <w:sz w:val="24"/>
          <w:szCs w:val="24"/>
          <w:lang w:val="ru-RU"/>
        </w:rPr>
        <w:t xml:space="preserve">Рекичинская Елена Анатольевна, заместитель директора по </w:t>
      </w:r>
      <w:r>
        <w:rPr>
          <w:i/>
          <w:sz w:val="24"/>
          <w:szCs w:val="24"/>
          <w:lang w:val="ru-RU"/>
        </w:rPr>
        <w:t>учебно-воспитательной работе</w:t>
      </w:r>
      <w:r>
        <w:rPr>
          <w:i/>
          <w:sz w:val="24"/>
          <w:szCs w:val="24"/>
          <w:lang w:val="ru-RU"/>
        </w:rPr>
        <w:t>, к.пед.н. МАОУ «Гимназия № 3 в Академгородке» г. Новосибирска</w:t>
      </w:r>
    </w:p>
    <w:p>
      <w:pPr>
        <w:pStyle w:val="Normal"/>
        <w:jc w:val="left"/>
        <w:rPr>
          <w:i/>
          <w:i/>
          <w:lang w:val="ru-RU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 xml:space="preserve">Одной из приоритетных задач современного образования является обеспечение доступности качественного, вариативного образования независимо от места жительства обучающегося. 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Федеральный закон от 29.12.2012 № 273-ФЗ «Об образовании в Российской Федерации» закрепляет возможность реализации образовательных программ в сетевой форме, позволяющей эффективно использовать инфраструктуру, кадровый и методический потенциал нескольких организаций. Для Новосибирской области, обладающей значительным научно-образовательным потенциалом и одновременно большой территориальной протяжённостью, сетевое взаимодействие общеобразовательных организаций, учреждений науки, высшего и дополнительного образования становится действенным механизмом выравнивания образовательных возможностей школьников.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В 2024 году МАОУ «Гимназия № 3 в Академгородке» получила статус региональной инновационной площадки (далее – РИП) и приступила к реализации инновационного проекта «Разработка, апробация и внедрение образовательных и воспитательных программ в сетевой форме в целях повышения доступности качественного, вариативного образования, эффективности использования инфраструктуры и кадрового потенциала системы образования» (2024–2026 гг.). Основная идея проекта – выстраивание результативной экосистемы сетевого взаимодействия, обновляющей образовательную среду как внутри организации, так и на уровне региональной системы образования.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За три года реализации проекта выстроена устойчивая модель горизонтальных связей гимназии с Новосибирским государственным университетом, Новосибирским государственным педагогическим университетом, институтами Сибирского отделения Российской академии наук, НИПКиПРО, Московским педагогическим государственным университетом, АНПО «Школьная Лига» (г. Санкт-Петербург), а также более чем с 36 школами города Новосибирска и Новосибирской области. Подписано 16 договоров и соглашений о сетевом сотрудничестве и социальном партнёрстве, что обеспечило совместное использование инфраструктурных объектов (технопарка, профильных лабораторий) и других ресурсов организаций-партнёров, консолидацию кадрового потенциала: к образовательному процессу привлечены преподаватели вузов, учёные, педагоги дополнительного образования.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 xml:space="preserve">Реализация проекта осуществлялась поэтапно. В 2024 году (подготовительный этап) изучены существующие образовательные практики и нормативные документы, выявлены пробелы в методическом обеспечении, на основе анализа разработан подход к созданию гибкой образовательной среды. Проведены региональные методические семинары «Создание образовательной среды для качественного и доступного образования» и «Проектно-исследовательская деятельность в школе как одно из условий формирования функциональной грамотности обучающихся», </w:t>
      </w:r>
      <w:r>
        <w:rPr/>
        <w:t>VI</w:t>
      </w:r>
      <w:r>
        <w:rPr>
          <w:lang w:val="ru-RU"/>
        </w:rPr>
        <w:t xml:space="preserve"> Межрегиональный этнокультурный форум «Сибирь многоликая: диалоги культур и поколений», региональный форум «Ученые Сибири: наука и творчество». Подписаны соглашения о сетевом взаимодействии со школами-партнёрами, разработана дорожная карта, организовано информационно-методическое сопровождение школ-партнёров.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В 2025 году (этап практической апробации) реализована апробация учебно-методических материалов и образовательных программ, собран и проанализирован первичный массив данных об эффективности материалов, разработаны анкета, мониторинговая таблица и план масштабирования результатов. Проведены</w:t>
      </w:r>
      <w:r>
        <w:rPr>
          <w:lang w:val="ru-RU"/>
        </w:rPr>
        <w:t>:</w:t>
      </w:r>
      <w:r>
        <w:rPr>
          <w:lang w:val="ru-RU"/>
        </w:rPr>
        <w:t xml:space="preserve"> региональный семинар «Управленческие аспекты повышения качества образования в школе: проблемы и решения», семинар</w:t>
      </w:r>
      <w:r>
        <w:rPr>
          <w:lang w:val="ru-RU"/>
        </w:rPr>
        <w:t>ы</w:t>
      </w:r>
      <w:r>
        <w:rPr>
          <w:lang w:val="ru-RU"/>
        </w:rPr>
        <w:t>-практикумы «Работа над методическим обеспечением и содержанием учебных предметов (курсов) в рамках ФГОС» и «Специализированные классы с углублённым изучением химии», вебинар «Вопросы инклюзивного образования» совместно с кафедрой управления и специального и инклюзивного образования НИПКиПРО, проектные и методические сессии руководителей муниципальных методических объединений заместителей директоров по УВР Новосибирской области. Продолжена реализация проекта «Я и моё отечественное кино».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 xml:space="preserve">В 2026 году (завершающий этап) подготовлены методический сборник образовательных программ учителей школы РИП и школ-партнёров (21 программа), методическая разработка по организации и проведению образовательных (научно-творческих) форумов, Положение о сетевом взаимодействии РИП. Мероприятия проекта «Я и моё отечественное кино» были представлены на всероссийский конкурс «Национальная премия "Элита российского образования"» в номинации «Гражданское и патриотическое воспитание в образовании-2026» и стали его победителями (диплом </w:t>
      </w:r>
      <w:r>
        <w:rPr/>
        <w:t>I</w:t>
      </w:r>
      <w:r>
        <w:rPr>
          <w:lang w:val="ru-RU"/>
        </w:rPr>
        <w:t xml:space="preserve"> степени).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П</w:t>
      </w:r>
      <w:r>
        <w:rPr>
          <w:lang w:val="ru-RU"/>
        </w:rPr>
        <w:t>родуктом инновационной деятельности стали учебно-методические материалы по физике, химии и биологии для 5–9 классов (базовый уровень), разработанные специалистами Московского педагогического г</w:t>
      </w:r>
      <w:r>
        <w:rPr>
          <w:lang w:val="ru-RU"/>
        </w:rPr>
        <w:t>ородско</w:t>
      </w:r>
      <w:r>
        <w:rPr>
          <w:lang w:val="ru-RU"/>
        </w:rPr>
        <w:t xml:space="preserve">го университета совместно с педагогами школ. Комплекты включают технологические карты уроков, презентации, видеоматериалы, дополнительные материалы и проекты. Апробация материалов проведена в 17 муниципалитетах Новосибирской области в 45 образовательных организациях (таблица 1). По итогам анкетирования 98 % педагогов отметили актуальность и востребованность материалов для проведения уроков. Особую значимость готовые учебно-методические </w:t>
      </w:r>
      <w:r>
        <w:rPr>
          <w:lang w:val="ru-RU"/>
        </w:rPr>
        <w:t>материалы</w:t>
      </w:r>
      <w:r>
        <w:rPr>
          <w:lang w:val="ru-RU"/>
        </w:rPr>
        <w:t xml:space="preserve"> имеют для малокомплектных и небольших школ, где 30–40 % педагогов совмещают преподавание нескольких предметов.</w:t>
      </w:r>
    </w:p>
    <w:p>
      <w:pPr>
        <w:pStyle w:val="Normal"/>
        <w:spacing w:lineRule="auto" w:line="240" w:before="120" w:after="120"/>
        <w:jc w:val="center"/>
        <w:rPr>
          <w:b w:val="false"/>
          <w:b w:val="false"/>
          <w:bCs w:val="false"/>
        </w:rPr>
      </w:pPr>
      <w:r>
        <w:rPr>
          <w:b w:val="false"/>
          <w:bCs w:val="false"/>
          <w:lang w:val="ru-RU"/>
        </w:rPr>
        <w:t>Таблица 1. Результаты апробации учебно-методических материалов по химии, биологии, физике в 5–9 классах (2025, 2026 гг.)</w:t>
      </w:r>
    </w:p>
    <w:tbl>
      <w:tblPr>
        <w:tblStyle w:val="aff0"/>
        <w:tblW w:w="963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68"/>
        <w:gridCol w:w="2268"/>
        <w:gridCol w:w="2268"/>
        <w:gridCol w:w="2834"/>
      </w:tblGrid>
      <w:tr>
        <w:trPr/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b w:val="false"/>
                <w:b w:val="false"/>
                <w:bCs w:val="false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 w:val="false"/>
                <w:bCs w:val="false"/>
                <w:kern w:val="0"/>
                <w:sz w:val="24"/>
                <w:szCs w:val="22"/>
                <w:lang w:val="en-US" w:eastAsia="en-US" w:bidi="ar-SA"/>
              </w:rPr>
              <w:t>Предмет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b w:val="false"/>
                <w:b w:val="false"/>
                <w:bCs w:val="false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 w:val="false"/>
                <w:bCs w:val="false"/>
                <w:kern w:val="0"/>
                <w:sz w:val="24"/>
                <w:szCs w:val="22"/>
                <w:lang w:val="en-US" w:eastAsia="en-US" w:bidi="ar-SA"/>
              </w:rPr>
              <w:t>Количество уроков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b w:val="false"/>
                <w:b w:val="false"/>
                <w:bCs w:val="false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 w:val="false"/>
                <w:bCs w:val="false"/>
                <w:kern w:val="0"/>
                <w:sz w:val="24"/>
                <w:szCs w:val="22"/>
                <w:lang w:val="en-US" w:eastAsia="en-US" w:bidi="ar-SA"/>
              </w:rPr>
              <w:t>Количество педагогов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b w:val="false"/>
                <w:b w:val="false"/>
                <w:bCs w:val="false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 w:val="false"/>
                <w:bCs w:val="false"/>
                <w:kern w:val="0"/>
                <w:sz w:val="24"/>
                <w:szCs w:val="22"/>
                <w:lang w:val="en-US" w:eastAsia="en-US" w:bidi="ar-SA"/>
              </w:rPr>
              <w:t>Количество обучающихся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4"/>
                <w:szCs w:val="22"/>
                <w:lang w:val="en-US" w:eastAsia="en-US" w:bidi="ar-SA"/>
              </w:rPr>
              <w:t>Химия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4"/>
                <w:szCs w:val="22"/>
                <w:lang w:val="en-US" w:eastAsia="en-US" w:bidi="ar-SA"/>
              </w:rPr>
              <w:t>200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4"/>
                <w:szCs w:val="22"/>
                <w:lang w:val="en-US" w:eastAsia="en-US" w:bidi="ar-SA"/>
              </w:rPr>
              <w:t>51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4"/>
                <w:szCs w:val="22"/>
                <w:lang w:val="en-US" w:eastAsia="en-US" w:bidi="ar-SA"/>
              </w:rPr>
              <w:t>1182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4"/>
                <w:szCs w:val="22"/>
                <w:lang w:val="en-US" w:eastAsia="en-US" w:bidi="ar-SA"/>
              </w:rPr>
              <w:t>Физика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4"/>
                <w:szCs w:val="22"/>
                <w:lang w:val="en-US" w:eastAsia="en-US" w:bidi="ar-SA"/>
              </w:rPr>
              <w:t>286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4"/>
                <w:szCs w:val="22"/>
                <w:lang w:val="en-US" w:eastAsia="en-US" w:bidi="ar-SA"/>
              </w:rPr>
              <w:t>62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4"/>
                <w:szCs w:val="22"/>
                <w:lang w:val="en-US" w:eastAsia="en-US" w:bidi="ar-SA"/>
              </w:rPr>
              <w:t>1188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4"/>
                <w:szCs w:val="22"/>
                <w:lang w:val="en-US" w:eastAsia="en-US" w:bidi="ar-SA"/>
              </w:rPr>
              <w:t>Биология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4"/>
                <w:szCs w:val="22"/>
                <w:lang w:val="en-US" w:eastAsia="en-US" w:bidi="ar-SA"/>
              </w:rPr>
              <w:t>378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4"/>
                <w:szCs w:val="22"/>
                <w:lang w:val="en-US" w:eastAsia="en-US" w:bidi="ar-SA"/>
              </w:rPr>
              <w:t>63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4"/>
                <w:szCs w:val="22"/>
                <w:lang w:val="en-US" w:eastAsia="en-US" w:bidi="ar-SA"/>
              </w:rPr>
              <w:t>2103</w:t>
            </w:r>
          </w:p>
        </w:tc>
      </w:tr>
      <w:tr>
        <w:trPr/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b w:val="false"/>
                <w:b w:val="false"/>
                <w:bCs w:val="false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 w:val="false"/>
                <w:bCs w:val="false"/>
                <w:kern w:val="0"/>
                <w:sz w:val="24"/>
                <w:szCs w:val="22"/>
                <w:lang w:val="en-US" w:eastAsia="en-US" w:bidi="ar-SA"/>
              </w:rPr>
              <w:t>Всего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b w:val="false"/>
                <w:b w:val="false"/>
                <w:bCs w:val="false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 w:val="false"/>
                <w:bCs w:val="false"/>
                <w:kern w:val="0"/>
                <w:sz w:val="24"/>
                <w:szCs w:val="22"/>
                <w:lang w:val="en-US" w:eastAsia="en-US" w:bidi="ar-SA"/>
              </w:rPr>
              <w:t>864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b w:val="false"/>
                <w:b w:val="false"/>
                <w:bCs w:val="false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 w:val="false"/>
                <w:bCs w:val="false"/>
                <w:kern w:val="0"/>
                <w:sz w:val="24"/>
                <w:szCs w:val="22"/>
                <w:lang w:val="en-US" w:eastAsia="en-US" w:bidi="ar-SA"/>
              </w:rPr>
              <w:t>176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b w:val="false"/>
                <w:b w:val="false"/>
                <w:bCs w:val="false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 w:val="false"/>
                <w:bCs w:val="false"/>
                <w:kern w:val="0"/>
                <w:sz w:val="24"/>
                <w:szCs w:val="22"/>
                <w:lang w:val="en-US" w:eastAsia="en-US" w:bidi="ar-SA"/>
              </w:rPr>
              <w:t>4473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 xml:space="preserve">Учителями школы РИП и школ-партнёров разработаны и апробированы 21 образовательная и воспитательная программа – курсы по выбору, элективные курсы, курсы внеурочной деятельности и дополнительного образования; в апробации приняли участие 1467 обучающихся и 18 педагогов. Созданы банк образовательных программ и программа этнического просвещения и воспитания; модули учебно-методических материалов и методическая разработка по форумам, </w:t>
      </w:r>
      <w:r>
        <w:rPr>
          <w:lang w:val="ru-RU"/>
        </w:rPr>
        <w:t xml:space="preserve">которые </w:t>
      </w:r>
      <w:r>
        <w:rPr>
          <w:lang w:val="ru-RU"/>
        </w:rPr>
        <w:t>размещены на официальном сайте школы.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Существенным направлением проекта стало вовлечение школ муниципалитетов Новосибирской области во Всероссийскую неделю высоких технологий и технопредпринимательства (таблица 2). За три года в мероприятиях недели приняли участие 22 245 обучающихся и педагогов, проведено 1109 мероприятий, к сотрудничеству привлечены 83 организации-партнёра.</w:t>
      </w:r>
    </w:p>
    <w:p>
      <w:pPr>
        <w:pStyle w:val="Normal"/>
        <w:spacing w:lineRule="auto" w:line="240" w:before="120" w:after="120"/>
        <w:jc w:val="center"/>
        <w:rPr>
          <w:lang w:val="ru-RU"/>
        </w:rPr>
      </w:pPr>
      <w:r>
        <w:rPr>
          <w:lang w:val="ru-RU"/>
        </w:rPr>
        <w:t xml:space="preserve">Таблица 2. </w:t>
      </w:r>
      <w:r>
        <w:rPr>
          <w:b w:val="false"/>
          <w:bCs w:val="false"/>
          <w:lang w:val="ru-RU"/>
        </w:rPr>
        <w:t>Участие школ г. Новосибирска и Новосибирской области во Всероссийской неделе высоких технологий и предпринимательства (2024–2026)</w:t>
      </w:r>
    </w:p>
    <w:tbl>
      <w:tblPr>
        <w:tblStyle w:val="aff0"/>
        <w:tblW w:w="967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982"/>
        <w:gridCol w:w="1852"/>
        <w:gridCol w:w="1949"/>
        <w:gridCol w:w="1947"/>
        <w:gridCol w:w="1949"/>
      </w:tblGrid>
      <w:tr>
        <w:trPr/>
        <w:tc>
          <w:tcPr>
            <w:tcW w:w="19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b w:val="false"/>
                <w:b w:val="false"/>
                <w:bCs w:val="false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 w:val="false"/>
                <w:bCs w:val="false"/>
                <w:kern w:val="0"/>
                <w:sz w:val="24"/>
                <w:szCs w:val="22"/>
                <w:lang w:val="en-US" w:eastAsia="en-US" w:bidi="ar-SA"/>
              </w:rPr>
              <w:t>Показатель</w:t>
            </w:r>
          </w:p>
        </w:tc>
        <w:tc>
          <w:tcPr>
            <w:tcW w:w="18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b w:val="false"/>
                <w:b w:val="false"/>
                <w:bCs w:val="false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 w:val="false"/>
                <w:bCs w:val="false"/>
                <w:kern w:val="0"/>
                <w:sz w:val="24"/>
                <w:szCs w:val="22"/>
                <w:lang w:val="en-US" w:eastAsia="en-US" w:bidi="ar-SA"/>
              </w:rPr>
              <w:t>2024</w:t>
            </w:r>
          </w:p>
        </w:tc>
        <w:tc>
          <w:tcPr>
            <w:tcW w:w="19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b w:val="false"/>
                <w:b w:val="false"/>
                <w:bCs w:val="false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 w:val="false"/>
                <w:bCs w:val="false"/>
                <w:kern w:val="0"/>
                <w:sz w:val="24"/>
                <w:szCs w:val="22"/>
                <w:lang w:val="en-US" w:eastAsia="en-US" w:bidi="ar-SA"/>
              </w:rPr>
              <w:t>2025</w:t>
            </w:r>
          </w:p>
        </w:tc>
        <w:tc>
          <w:tcPr>
            <w:tcW w:w="194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b w:val="false"/>
                <w:b w:val="false"/>
                <w:bCs w:val="false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 w:val="false"/>
                <w:bCs w:val="false"/>
                <w:kern w:val="0"/>
                <w:sz w:val="24"/>
                <w:szCs w:val="22"/>
                <w:lang w:val="en-US" w:eastAsia="en-US" w:bidi="ar-SA"/>
              </w:rPr>
              <w:t>2026</w:t>
            </w:r>
          </w:p>
        </w:tc>
        <w:tc>
          <w:tcPr>
            <w:tcW w:w="19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b w:val="false"/>
                <w:b w:val="false"/>
                <w:bCs w:val="false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 w:val="false"/>
                <w:bCs w:val="false"/>
                <w:kern w:val="0"/>
                <w:sz w:val="24"/>
                <w:szCs w:val="22"/>
                <w:lang w:val="en-US" w:eastAsia="en-US" w:bidi="ar-SA"/>
              </w:rPr>
              <w:t>Итого</w:t>
            </w:r>
          </w:p>
        </w:tc>
      </w:tr>
      <w:tr>
        <w:trPr/>
        <w:tc>
          <w:tcPr>
            <w:tcW w:w="19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4"/>
                <w:szCs w:val="22"/>
                <w:lang w:val="en-US" w:eastAsia="en-US" w:bidi="ar-SA"/>
              </w:rPr>
              <w:t>Количество образователь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4"/>
                <w:szCs w:val="22"/>
                <w:lang w:val="en-US" w:eastAsia="en-US" w:bidi="ar-SA"/>
              </w:rPr>
              <w:t>ных организаций</w:t>
            </w:r>
          </w:p>
        </w:tc>
        <w:tc>
          <w:tcPr>
            <w:tcW w:w="18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4"/>
                <w:szCs w:val="22"/>
                <w:lang w:val="en-US" w:eastAsia="en-US" w:bidi="ar-SA"/>
              </w:rPr>
              <w:t>13 из 6 муниципалите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4"/>
                <w:szCs w:val="22"/>
                <w:lang w:val="en-US" w:eastAsia="en-US" w:bidi="ar-SA"/>
              </w:rPr>
              <w:t>тов</w:t>
            </w:r>
          </w:p>
        </w:tc>
        <w:tc>
          <w:tcPr>
            <w:tcW w:w="19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4"/>
                <w:szCs w:val="22"/>
                <w:lang w:val="en-US" w:eastAsia="en-US" w:bidi="ar-SA"/>
              </w:rPr>
              <w:t>21 из 14 муниципалите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4"/>
                <w:szCs w:val="22"/>
                <w:lang w:val="en-US" w:eastAsia="en-US" w:bidi="ar-SA"/>
              </w:rPr>
              <w:t>тов</w:t>
            </w:r>
          </w:p>
        </w:tc>
        <w:tc>
          <w:tcPr>
            <w:tcW w:w="194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4"/>
                <w:szCs w:val="22"/>
                <w:lang w:val="en-US" w:eastAsia="en-US" w:bidi="ar-SA"/>
              </w:rPr>
              <w:t>36 из 24 муниципалите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4"/>
                <w:szCs w:val="22"/>
                <w:lang w:val="en-US" w:eastAsia="en-US" w:bidi="ar-SA"/>
              </w:rPr>
              <w:t>тов</w:t>
            </w:r>
          </w:p>
        </w:tc>
        <w:tc>
          <w:tcPr>
            <w:tcW w:w="19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4"/>
                <w:szCs w:val="22"/>
                <w:lang w:val="en-US" w:eastAsia="en-US" w:bidi="ar-SA"/>
              </w:rPr>
              <w:t>36 из 24 муниципалите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4"/>
                <w:szCs w:val="22"/>
                <w:lang w:val="en-US" w:eastAsia="en-US" w:bidi="ar-SA"/>
              </w:rPr>
              <w:t>тов</w:t>
            </w:r>
          </w:p>
        </w:tc>
      </w:tr>
      <w:tr>
        <w:trPr/>
        <w:tc>
          <w:tcPr>
            <w:tcW w:w="19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4"/>
                <w:szCs w:val="22"/>
                <w:lang w:val="en-US" w:eastAsia="en-US" w:bidi="ar-SA"/>
              </w:rPr>
              <w:t>Количество участников</w:t>
            </w:r>
          </w:p>
        </w:tc>
        <w:tc>
          <w:tcPr>
            <w:tcW w:w="18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4"/>
                <w:szCs w:val="22"/>
                <w:lang w:val="en-US" w:eastAsia="en-US" w:bidi="ar-SA"/>
              </w:rPr>
              <w:t>5073</w:t>
            </w:r>
          </w:p>
        </w:tc>
        <w:tc>
          <w:tcPr>
            <w:tcW w:w="19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4"/>
                <w:szCs w:val="22"/>
                <w:lang w:val="en-US" w:eastAsia="en-US" w:bidi="ar-SA"/>
              </w:rPr>
              <w:t>7318</w:t>
            </w:r>
          </w:p>
        </w:tc>
        <w:tc>
          <w:tcPr>
            <w:tcW w:w="194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4"/>
                <w:szCs w:val="22"/>
                <w:lang w:val="en-US" w:eastAsia="en-US" w:bidi="ar-SA"/>
              </w:rPr>
              <w:t>9854</w:t>
            </w:r>
          </w:p>
        </w:tc>
        <w:tc>
          <w:tcPr>
            <w:tcW w:w="19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4"/>
                <w:szCs w:val="22"/>
                <w:lang w:val="en-US" w:eastAsia="en-US" w:bidi="ar-SA"/>
              </w:rPr>
              <w:t>22 245</w:t>
            </w:r>
          </w:p>
        </w:tc>
      </w:tr>
      <w:tr>
        <w:trPr/>
        <w:tc>
          <w:tcPr>
            <w:tcW w:w="19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4"/>
                <w:szCs w:val="22"/>
                <w:lang w:val="en-US" w:eastAsia="en-US" w:bidi="ar-SA"/>
              </w:rPr>
              <w:t>Количество мероприятий</w:t>
            </w:r>
          </w:p>
        </w:tc>
        <w:tc>
          <w:tcPr>
            <w:tcW w:w="18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4"/>
                <w:szCs w:val="22"/>
                <w:lang w:val="en-US" w:eastAsia="en-US" w:bidi="ar-SA"/>
              </w:rPr>
              <w:t>200</w:t>
            </w:r>
          </w:p>
        </w:tc>
        <w:tc>
          <w:tcPr>
            <w:tcW w:w="19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4"/>
                <w:szCs w:val="22"/>
                <w:lang w:val="en-US" w:eastAsia="en-US" w:bidi="ar-SA"/>
              </w:rPr>
              <w:t>329</w:t>
            </w:r>
          </w:p>
        </w:tc>
        <w:tc>
          <w:tcPr>
            <w:tcW w:w="194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4"/>
                <w:szCs w:val="22"/>
                <w:lang w:val="en-US" w:eastAsia="en-US" w:bidi="ar-SA"/>
              </w:rPr>
              <w:t>580</w:t>
            </w:r>
          </w:p>
        </w:tc>
        <w:tc>
          <w:tcPr>
            <w:tcW w:w="19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kern w:val="0"/>
                <w:sz w:val="24"/>
                <w:szCs w:val="22"/>
                <w:lang w:val="en-US" w:eastAsia="en-US" w:bidi="ar-SA"/>
              </w:rPr>
              <w:t>1109</w:t>
            </w:r>
          </w:p>
        </w:tc>
      </w:tr>
      <w:tr>
        <w:trPr/>
        <w:tc>
          <w:tcPr>
            <w:tcW w:w="19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b w:val="false"/>
                <w:b w:val="false"/>
                <w:bCs w:val="false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 w:val="false"/>
                <w:bCs w:val="false"/>
                <w:kern w:val="0"/>
                <w:sz w:val="24"/>
                <w:szCs w:val="22"/>
                <w:lang w:val="en-US" w:eastAsia="en-US" w:bidi="ar-SA"/>
              </w:rPr>
              <w:t>Количество организаций-партнёров</w:t>
            </w:r>
          </w:p>
        </w:tc>
        <w:tc>
          <w:tcPr>
            <w:tcW w:w="18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b w:val="false"/>
                <w:b w:val="false"/>
                <w:bCs w:val="false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 w:val="false"/>
                <w:bCs w:val="false"/>
                <w:kern w:val="0"/>
                <w:sz w:val="24"/>
                <w:szCs w:val="22"/>
                <w:lang w:val="en-US" w:eastAsia="en-US" w:bidi="ar-SA"/>
              </w:rPr>
              <w:t>18</w:t>
            </w:r>
          </w:p>
        </w:tc>
        <w:tc>
          <w:tcPr>
            <w:tcW w:w="19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b w:val="false"/>
                <w:b w:val="false"/>
                <w:bCs w:val="false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 w:val="false"/>
                <w:bCs w:val="false"/>
                <w:kern w:val="0"/>
                <w:sz w:val="24"/>
                <w:szCs w:val="22"/>
                <w:lang w:val="en-US" w:eastAsia="en-US" w:bidi="ar-SA"/>
              </w:rPr>
              <w:t>31</w:t>
            </w:r>
          </w:p>
        </w:tc>
        <w:tc>
          <w:tcPr>
            <w:tcW w:w="194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b w:val="false"/>
                <w:b w:val="false"/>
                <w:bCs w:val="false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 w:val="false"/>
                <w:bCs w:val="false"/>
                <w:kern w:val="0"/>
                <w:sz w:val="24"/>
                <w:szCs w:val="22"/>
                <w:lang w:val="en-US" w:eastAsia="en-US" w:bidi="ar-SA"/>
              </w:rPr>
              <w:t>34</w:t>
            </w:r>
          </w:p>
        </w:tc>
        <w:tc>
          <w:tcPr>
            <w:tcW w:w="19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"/>
                <w:b w:val="false"/>
                <w:b w:val="false"/>
                <w:bCs w:val="false"/>
                <w:kern w:val="0"/>
                <w:szCs w:val="22"/>
                <w:lang w:val="en-US" w:eastAsia="en-US" w:bidi="ar-SA"/>
              </w:rPr>
            </w:pPr>
            <w:r>
              <w:rPr>
                <w:rFonts w:cs=""/>
                <w:b w:val="false"/>
                <w:bCs w:val="false"/>
                <w:kern w:val="0"/>
                <w:sz w:val="24"/>
                <w:szCs w:val="22"/>
                <w:lang w:val="en-US" w:eastAsia="en-US" w:bidi="ar-SA"/>
              </w:rPr>
              <w:t>83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lineRule="auto" w:line="360" w:before="0" w:after="0"/>
        <w:jc w:val="both"/>
        <w:rPr>
          <w:b w:val="false"/>
          <w:b w:val="false"/>
          <w:bCs w:val="false"/>
        </w:rPr>
      </w:pPr>
      <w:r>
        <w:rPr>
          <w:rFonts w:cs="Times New Roman"/>
          <w:b w:val="false"/>
          <w:bCs w:val="false"/>
          <w:sz w:val="24"/>
          <w:szCs w:val="24"/>
          <w:lang w:val="ru-RU"/>
        </w:rPr>
        <w:tab/>
      </w:r>
      <w:r>
        <w:rPr>
          <w:rFonts w:cs="Times New Roman"/>
          <w:b w:val="false"/>
          <w:bCs w:val="false"/>
          <w:sz w:val="28"/>
          <w:szCs w:val="28"/>
          <w:lang w:val="ru-RU"/>
        </w:rPr>
        <w:t xml:space="preserve">Проведённые образовательные форумы для молодёжи </w:t>
      </w:r>
      <w:r>
        <w:rPr>
          <w:rFonts w:cs="Times New Roman"/>
          <w:b w:val="false"/>
          <w:bCs w:val="false"/>
          <w:sz w:val="28"/>
          <w:szCs w:val="28"/>
          <w:lang w:val="ru-RU"/>
        </w:rPr>
        <w:t>(</w:t>
      </w:r>
      <w:r>
        <w:rPr>
          <w:rFonts w:cs="Times New Roman"/>
          <w:b w:val="false"/>
          <w:bCs w:val="false"/>
          <w:sz w:val="28"/>
          <w:szCs w:val="28"/>
          <w:lang w:val="en-US"/>
        </w:rPr>
        <w:t>городс</w:t>
      </w:r>
      <w:r>
        <w:rPr>
          <w:rFonts w:cs="Times New Roman"/>
          <w:b w:val="false"/>
          <w:bCs w:val="false"/>
          <w:sz w:val="28"/>
          <w:szCs w:val="28"/>
          <w:lang w:val="ru-RU"/>
        </w:rPr>
        <w:t>кой форум</w:t>
      </w:r>
      <w:r>
        <w:rPr>
          <w:rFonts w:cs="Times New Roman"/>
          <w:b w:val="false"/>
          <w:bCs w:val="false"/>
          <w:sz w:val="28"/>
          <w:szCs w:val="28"/>
          <w:lang w:val="ru-RU"/>
        </w:rPr>
        <w:t xml:space="preserve"> «Мой зеленый Новосибирск: экологические задачи решаем вместе», Межрегиональный этнокультурный форум «Сибирь многоликая: диалоги культур и поколений», </w:t>
      </w:r>
      <w:r>
        <w:rPr>
          <w:rFonts w:cs="Times New Roman"/>
          <w:b w:val="false"/>
          <w:bCs w:val="false"/>
          <w:sz w:val="28"/>
          <w:szCs w:val="28"/>
          <w:lang w:val="ru-RU"/>
        </w:rPr>
        <w:t>Региональный форум «Ученые Сибири: наука и творчество», Региональный профориентационный форум «Поиск. Призвание. Профессия: профессиональное самоопределение в области культуры и креативных индустрий») стали</w:t>
      </w:r>
      <w:r>
        <w:rPr>
          <w:rFonts w:cs="Times New Roman"/>
          <w:b w:val="false"/>
          <w:bCs w:val="false"/>
          <w:sz w:val="28"/>
          <w:szCs w:val="28"/>
          <w:lang w:val="ru-RU"/>
        </w:rPr>
        <w:t xml:space="preserve"> площадк</w:t>
      </w:r>
      <w:r>
        <w:rPr>
          <w:rFonts w:cs="Times New Roman"/>
          <w:b w:val="false"/>
          <w:bCs w:val="false"/>
          <w:sz w:val="28"/>
          <w:szCs w:val="28"/>
          <w:lang w:val="ru-RU"/>
        </w:rPr>
        <w:t>ами</w:t>
      </w:r>
      <w:r>
        <w:rPr>
          <w:rFonts w:cs="Times New Roman"/>
          <w:b w:val="false"/>
          <w:bCs w:val="false"/>
          <w:sz w:val="28"/>
          <w:szCs w:val="28"/>
          <w:lang w:val="ru-RU"/>
        </w:rPr>
        <w:t xml:space="preserve"> для диалога, обмена знаниями и поддержки инициатив. Их цели многогранны и направлены как на развитие участников, так и на ре</w:t>
      </w:r>
      <w:r>
        <w:rPr>
          <w:rFonts w:cs="Times New Roman"/>
          <w:b w:val="false"/>
          <w:bCs w:val="false"/>
          <w:sz w:val="28"/>
          <w:szCs w:val="28"/>
          <w:lang w:val="ru-RU"/>
        </w:rPr>
        <w:t>ш</w:t>
      </w:r>
      <w:r>
        <w:rPr>
          <w:rFonts w:cs="Times New Roman"/>
          <w:b w:val="false"/>
          <w:bCs w:val="false"/>
          <w:sz w:val="28"/>
          <w:szCs w:val="28"/>
          <w:lang w:val="ru-RU"/>
        </w:rPr>
        <w:t xml:space="preserve">ение актуальных задач в науке, образовании и обществе. </w:t>
      </w:r>
    </w:p>
    <w:p>
      <w:pPr>
        <w:pStyle w:val="Normal"/>
        <w:spacing w:lineRule="auto" w:line="360" w:before="0" w:after="0"/>
        <w:jc w:val="left"/>
        <w:rPr>
          <w:b w:val="false"/>
          <w:b w:val="false"/>
          <w:bCs w:val="false"/>
          <w:sz w:val="28"/>
          <w:szCs w:val="28"/>
        </w:rPr>
      </w:pPr>
      <w:r>
        <w:rPr>
          <w:rFonts w:cs="Times New Roman"/>
          <w:b w:val="false"/>
          <w:bCs w:val="false"/>
          <w:sz w:val="28"/>
          <w:szCs w:val="28"/>
          <w:lang w:val="ru-RU"/>
        </w:rPr>
        <w:tab/>
        <w:t>Основные цели и задачи для обучающихся:</w:t>
      </w:r>
    </w:p>
    <w:p>
      <w:pPr>
        <w:pStyle w:val="Normal"/>
        <w:spacing w:lineRule="auto" w:line="360" w:before="0" w:after="0"/>
        <w:jc w:val="both"/>
        <w:rPr>
          <w:b w:val="false"/>
          <w:b w:val="false"/>
          <w:bCs w:val="false"/>
          <w:sz w:val="28"/>
          <w:szCs w:val="28"/>
        </w:rPr>
      </w:pPr>
      <w:r>
        <w:rPr>
          <w:rFonts w:cs="Times New Roman"/>
          <w:b w:val="false"/>
          <w:bCs w:val="false"/>
          <w:sz w:val="28"/>
          <w:szCs w:val="28"/>
          <w:lang w:val="ru-RU"/>
        </w:rPr>
        <w:t>- </w:t>
      </w:r>
      <w:r>
        <w:rPr>
          <w:rFonts w:cs="Times New Roman"/>
          <w:b w:val="false"/>
          <w:bCs w:val="false"/>
          <w:sz w:val="28"/>
          <w:szCs w:val="28"/>
          <w:lang w:val="ru-RU"/>
        </w:rPr>
        <w:t>С</w:t>
      </w:r>
      <w:r>
        <w:rPr>
          <w:rFonts w:cs="Times New Roman"/>
          <w:b w:val="false"/>
          <w:bCs w:val="false"/>
          <w:sz w:val="28"/>
          <w:szCs w:val="28"/>
          <w:lang w:val="ru-RU"/>
        </w:rPr>
        <w:t xml:space="preserve">амореализция и развитие потенциала. </w:t>
      </w:r>
      <w:r>
        <w:rPr>
          <w:rFonts w:cs="Times New Roman"/>
          <w:b w:val="false"/>
          <w:bCs w:val="false"/>
          <w:sz w:val="28"/>
          <w:szCs w:val="28"/>
          <w:lang w:val="ru-RU"/>
        </w:rPr>
        <w:t>Э</w:t>
      </w:r>
      <w:r>
        <w:rPr>
          <w:rFonts w:cs="Times New Roman"/>
          <w:b w:val="false"/>
          <w:bCs w:val="false"/>
          <w:sz w:val="28"/>
          <w:szCs w:val="28"/>
          <w:lang w:val="ru-RU"/>
        </w:rPr>
        <w:t>то среда для раскрытия личностного и профессионального потенциала молодых людей, помощь в формировании компетенций, востребованных в современных условиях;</w:t>
      </w:r>
    </w:p>
    <w:p>
      <w:pPr>
        <w:pStyle w:val="Normal"/>
        <w:spacing w:lineRule="auto" w:line="360" w:before="0" w:after="0"/>
        <w:jc w:val="both"/>
        <w:rPr>
          <w:b w:val="false"/>
          <w:b w:val="false"/>
          <w:bCs w:val="false"/>
          <w:sz w:val="28"/>
          <w:szCs w:val="28"/>
        </w:rPr>
      </w:pPr>
      <w:r>
        <w:rPr>
          <w:rFonts w:cs="Times New Roman"/>
          <w:b w:val="false"/>
          <w:bCs w:val="false"/>
          <w:sz w:val="28"/>
          <w:szCs w:val="28"/>
          <w:lang w:val="ru-RU"/>
        </w:rPr>
        <w:t>- </w:t>
      </w:r>
      <w:r>
        <w:rPr>
          <w:rFonts w:cs="Times New Roman"/>
          <w:b w:val="false"/>
          <w:bCs w:val="false"/>
          <w:sz w:val="28"/>
          <w:szCs w:val="28"/>
          <w:lang w:val="ru-RU"/>
        </w:rPr>
        <w:t>П</w:t>
      </w:r>
      <w:r>
        <w:rPr>
          <w:rFonts w:cs="Times New Roman"/>
          <w:b w:val="false"/>
          <w:bCs w:val="false"/>
          <w:sz w:val="28"/>
          <w:szCs w:val="28"/>
          <w:lang w:val="ru-RU"/>
        </w:rPr>
        <w:t xml:space="preserve">олучение новых  знаний и навыков. Школьники форумов слушали лекции, </w:t>
      </w:r>
      <w:r>
        <w:rPr>
          <w:rFonts w:cs="Times New Roman"/>
          <w:b w:val="false"/>
          <w:bCs w:val="false"/>
          <w:strike/>
          <w:sz w:val="28"/>
          <w:szCs w:val="28"/>
          <w:u w:val="none"/>
          <w:lang w:val="ru-RU"/>
        </w:rPr>
        <w:t xml:space="preserve">участвовали в мастер- </w:t>
      </w:r>
      <w:r>
        <w:rPr>
          <w:rFonts w:cs="Times New Roman"/>
          <w:b w:val="false"/>
          <w:bCs w:val="false"/>
          <w:strike w:val="false"/>
          <w:dstrike w:val="false"/>
          <w:sz w:val="28"/>
          <w:szCs w:val="28"/>
          <w:u w:val="none"/>
          <w:lang w:val="ru-RU"/>
        </w:rPr>
        <w:t>классах и дискуссиях с ведущими экспертами, осваивали проектный подход. Учились работать и презентовать идеи;</w:t>
      </w:r>
    </w:p>
    <w:p>
      <w:pPr>
        <w:pStyle w:val="Normal"/>
        <w:spacing w:lineRule="auto" w:line="360" w:before="0" w:after="0"/>
        <w:jc w:val="both"/>
        <w:rPr>
          <w:b w:val="false"/>
          <w:b w:val="false"/>
          <w:bCs w:val="false"/>
          <w:sz w:val="28"/>
          <w:szCs w:val="28"/>
        </w:rPr>
      </w:pPr>
      <w:r>
        <w:rPr>
          <w:rFonts w:cs="Times New Roman"/>
          <w:b w:val="false"/>
          <w:bCs w:val="false"/>
          <w:strike w:val="false"/>
          <w:dstrike w:val="false"/>
          <w:sz w:val="28"/>
          <w:szCs w:val="28"/>
          <w:u w:val="none"/>
          <w:lang w:val="ru-RU"/>
        </w:rPr>
        <w:t>- </w:t>
      </w:r>
      <w:r>
        <w:rPr>
          <w:rFonts w:cs="Times New Roman"/>
          <w:b w:val="false"/>
          <w:bCs w:val="false"/>
          <w:strike w:val="false"/>
          <w:dstrike w:val="false"/>
          <w:sz w:val="28"/>
          <w:szCs w:val="28"/>
          <w:u w:val="none"/>
          <w:lang w:val="ru-RU"/>
        </w:rPr>
        <w:t xml:space="preserve">Профориентация и выбор карьеры. Обучающиеся получили информацию о возможностях в науке и технологиях, </w:t>
      </w:r>
      <w:r>
        <w:rPr>
          <w:rFonts w:cs="Times New Roman"/>
          <w:b w:val="false"/>
          <w:bCs w:val="false"/>
          <w:strike w:val="false"/>
          <w:dstrike w:val="false"/>
          <w:sz w:val="28"/>
          <w:szCs w:val="28"/>
          <w:u w:val="none"/>
          <w:lang w:val="ru-RU"/>
        </w:rPr>
        <w:t>для них были представлены</w:t>
      </w:r>
      <w:r>
        <w:rPr>
          <w:rFonts w:cs="Times New Roman"/>
          <w:b w:val="false"/>
          <w:bCs w:val="false"/>
          <w:strike w:val="false"/>
          <w:dstrike w:val="false"/>
          <w:sz w:val="28"/>
          <w:szCs w:val="28"/>
          <w:u w:val="none"/>
          <w:lang w:val="ru-RU"/>
        </w:rPr>
        <w:t xml:space="preserve"> перспективы академической карьеры и наукоёмкого предпринимательства;</w:t>
      </w:r>
    </w:p>
    <w:p>
      <w:pPr>
        <w:pStyle w:val="Normal"/>
        <w:spacing w:lineRule="auto" w:line="360" w:before="0" w:after="0"/>
        <w:jc w:val="both"/>
        <w:rPr>
          <w:b w:val="false"/>
          <w:b w:val="false"/>
          <w:bCs w:val="false"/>
          <w:sz w:val="28"/>
          <w:szCs w:val="28"/>
        </w:rPr>
      </w:pPr>
      <w:r>
        <w:rPr>
          <w:rFonts w:cs="Times New Roman"/>
          <w:b w:val="false"/>
          <w:bCs w:val="false"/>
          <w:strike w:val="false"/>
          <w:dstrike w:val="false"/>
          <w:sz w:val="28"/>
          <w:szCs w:val="28"/>
          <w:u w:val="none"/>
          <w:lang w:val="ru-RU"/>
        </w:rPr>
        <w:t>- </w:t>
      </w:r>
      <w:r>
        <w:rPr>
          <w:rFonts w:cs="Times New Roman"/>
          <w:b w:val="false"/>
          <w:bCs w:val="false"/>
          <w:strike w:val="false"/>
          <w:dstrike w:val="false"/>
          <w:sz w:val="28"/>
          <w:szCs w:val="28"/>
          <w:u w:val="none"/>
          <w:lang w:val="ru-RU"/>
        </w:rPr>
        <w:t>П</w:t>
      </w:r>
      <w:r>
        <w:rPr>
          <w:rFonts w:cs="Times New Roman"/>
          <w:b w:val="false"/>
          <w:bCs w:val="false"/>
          <w:strike w:val="false"/>
          <w:dstrike w:val="false"/>
          <w:sz w:val="28"/>
          <w:szCs w:val="28"/>
          <w:u w:val="none"/>
          <w:lang w:val="ru-RU"/>
        </w:rPr>
        <w:t>редставление и экспертиза проектов;</w:t>
      </w:r>
    </w:p>
    <w:p>
      <w:pPr>
        <w:pStyle w:val="Normal"/>
        <w:spacing w:lineRule="auto" w:line="360" w:before="0" w:after="0"/>
        <w:jc w:val="both"/>
        <w:rPr>
          <w:b w:val="false"/>
          <w:b w:val="false"/>
          <w:bCs w:val="false"/>
          <w:sz w:val="28"/>
          <w:szCs w:val="28"/>
        </w:rPr>
      </w:pPr>
      <w:r>
        <w:rPr>
          <w:rFonts w:cs="Times New Roman"/>
          <w:b w:val="false"/>
          <w:bCs w:val="false"/>
          <w:strike w:val="false"/>
          <w:dstrike w:val="false"/>
          <w:sz w:val="28"/>
          <w:szCs w:val="28"/>
          <w:u w:val="none"/>
          <w:lang w:val="ru-RU"/>
        </w:rPr>
        <w:t>- </w:t>
      </w:r>
      <w:r>
        <w:rPr>
          <w:rFonts w:cs="Times New Roman"/>
          <w:b w:val="false"/>
          <w:bCs w:val="false"/>
          <w:strike w:val="false"/>
          <w:dstrike w:val="false"/>
          <w:sz w:val="28"/>
          <w:szCs w:val="28"/>
          <w:u w:val="none"/>
          <w:lang w:val="ru-RU"/>
        </w:rPr>
        <w:t>Возможности получения п</w:t>
      </w:r>
      <w:r>
        <w:rPr>
          <w:rFonts w:cs="Times New Roman"/>
          <w:b w:val="false"/>
          <w:bCs w:val="false"/>
          <w:strike w:val="false"/>
          <w:dstrike w:val="false"/>
          <w:sz w:val="28"/>
          <w:szCs w:val="28"/>
          <w:u w:val="none"/>
          <w:lang w:val="ru-RU"/>
        </w:rPr>
        <w:t>олезны</w:t>
      </w:r>
      <w:r>
        <w:rPr>
          <w:rFonts w:cs="Times New Roman"/>
          <w:b w:val="false"/>
          <w:bCs w:val="false"/>
          <w:strike w:val="false"/>
          <w:dstrike w:val="false"/>
          <w:sz w:val="28"/>
          <w:szCs w:val="28"/>
          <w:u w:val="none"/>
          <w:lang w:val="ru-RU"/>
        </w:rPr>
        <w:t>х</w:t>
      </w:r>
      <w:r>
        <w:rPr>
          <w:rFonts w:cs="Times New Roman"/>
          <w:b w:val="false"/>
          <w:bCs w:val="false"/>
          <w:strike w:val="false"/>
          <w:dstrike w:val="false"/>
          <w:sz w:val="28"/>
          <w:szCs w:val="28"/>
          <w:u w:val="none"/>
          <w:lang w:val="ru-RU"/>
        </w:rPr>
        <w:t xml:space="preserve"> профессиональны</w:t>
      </w:r>
      <w:r>
        <w:rPr>
          <w:rFonts w:cs="Times New Roman"/>
          <w:b w:val="false"/>
          <w:bCs w:val="false"/>
          <w:strike w:val="false"/>
          <w:dstrike w:val="false"/>
          <w:sz w:val="28"/>
          <w:szCs w:val="28"/>
          <w:u w:val="none"/>
          <w:lang w:val="ru-RU"/>
        </w:rPr>
        <w:t>х</w:t>
      </w:r>
      <w:r>
        <w:rPr>
          <w:rFonts w:cs="Times New Roman"/>
          <w:b w:val="false"/>
          <w:bCs w:val="false"/>
          <w:strike w:val="false"/>
          <w:dstrike w:val="false"/>
          <w:sz w:val="28"/>
          <w:szCs w:val="28"/>
          <w:u w:val="none"/>
          <w:lang w:val="ru-RU"/>
        </w:rPr>
        <w:t xml:space="preserve"> контакт</w:t>
      </w:r>
      <w:r>
        <w:rPr>
          <w:rFonts w:cs="Times New Roman"/>
          <w:b w:val="false"/>
          <w:bCs w:val="false"/>
          <w:strike w:val="false"/>
          <w:dstrike w:val="false"/>
          <w:sz w:val="28"/>
          <w:szCs w:val="28"/>
          <w:u w:val="none"/>
          <w:lang w:val="ru-RU"/>
        </w:rPr>
        <w:t>ов</w:t>
      </w:r>
      <w:r>
        <w:rPr>
          <w:rFonts w:cs="Times New Roman"/>
          <w:b w:val="false"/>
          <w:bCs w:val="false"/>
          <w:strike w:val="false"/>
          <w:dstrike w:val="false"/>
          <w:sz w:val="28"/>
          <w:szCs w:val="28"/>
          <w:u w:val="none"/>
          <w:lang w:val="ru-RU"/>
        </w:rPr>
        <w:t xml:space="preserve">, </w:t>
      </w:r>
      <w:r>
        <w:rPr>
          <w:rFonts w:cs="Times New Roman"/>
          <w:b w:val="false"/>
          <w:bCs w:val="false"/>
          <w:strike w:val="false"/>
          <w:dstrike w:val="false"/>
          <w:sz w:val="28"/>
          <w:szCs w:val="28"/>
          <w:u w:val="none"/>
          <w:lang w:val="ru-RU"/>
        </w:rPr>
        <w:t>объединения</w:t>
      </w:r>
      <w:r>
        <w:rPr>
          <w:rFonts w:cs="Times New Roman"/>
          <w:b w:val="false"/>
          <w:bCs w:val="false"/>
          <w:strike w:val="false"/>
          <w:dstrike w:val="false"/>
          <w:sz w:val="28"/>
          <w:szCs w:val="28"/>
          <w:u w:val="none"/>
          <w:lang w:val="ru-RU"/>
        </w:rPr>
        <w:t xml:space="preserve"> единомышленников и наставников </w:t>
      </w:r>
      <w:r>
        <w:rPr>
          <w:rFonts w:cs="Times New Roman"/>
          <w:b w:val="false"/>
          <w:bCs w:val="false"/>
          <w:strike w:val="false"/>
          <w:dstrike w:val="false"/>
          <w:sz w:val="28"/>
          <w:szCs w:val="28"/>
          <w:u w:val="none"/>
          <w:lang w:val="ru-RU"/>
        </w:rPr>
        <w:t>для реализации инновационных идей и проектов</w:t>
      </w:r>
      <w:r>
        <w:rPr>
          <w:rFonts w:cs="Times New Roman"/>
          <w:b w:val="false"/>
          <w:bCs w:val="false"/>
          <w:strike w:val="false"/>
          <w:dstrike w:val="false"/>
          <w:sz w:val="28"/>
          <w:szCs w:val="28"/>
          <w:u w:val="none"/>
          <w:lang w:val="ru-RU"/>
        </w:rPr>
        <w:t>.</w:t>
      </w:r>
    </w:p>
    <w:p>
      <w:pPr>
        <w:pStyle w:val="Normal"/>
        <w:spacing w:lineRule="auto" w:line="360" w:before="0" w:after="0"/>
        <w:jc w:val="left"/>
        <w:rPr>
          <w:b w:val="false"/>
          <w:b w:val="false"/>
          <w:bCs w:val="false"/>
          <w:strike/>
          <w:sz w:val="28"/>
          <w:szCs w:val="28"/>
          <w:u w:val="none"/>
        </w:rPr>
      </w:pPr>
      <w:r>
        <w:rPr>
          <w:rFonts w:cs="Times New Roman"/>
          <w:b w:val="false"/>
          <w:bCs w:val="false"/>
          <w:strike w:val="false"/>
          <w:dstrike w:val="false"/>
          <w:sz w:val="28"/>
          <w:szCs w:val="28"/>
          <w:u w:val="none"/>
          <w:lang w:val="ru-RU"/>
        </w:rPr>
        <w:tab/>
      </w:r>
      <w:r>
        <w:rPr>
          <w:rFonts w:cs="Times New Roman"/>
          <w:b w:val="false"/>
          <w:bCs w:val="false"/>
          <w:strike w:val="false"/>
          <w:dstrike w:val="false"/>
          <w:sz w:val="28"/>
          <w:szCs w:val="28"/>
          <w:u w:val="none"/>
          <w:lang w:val="ru-RU"/>
        </w:rPr>
        <w:t>Т</w:t>
      </w:r>
      <w:r>
        <w:rPr>
          <w:rFonts w:cs="Times New Roman"/>
          <w:b w:val="false"/>
          <w:bCs w:val="false"/>
          <w:strike w:val="false"/>
          <w:dstrike w:val="false"/>
          <w:sz w:val="28"/>
          <w:szCs w:val="28"/>
          <w:u w:val="none"/>
          <w:lang w:val="ru-RU"/>
        </w:rPr>
        <w:t xml:space="preserve">акие формы организации </w:t>
      </w:r>
      <w:r>
        <w:rPr>
          <w:rFonts w:cs="Times New Roman"/>
          <w:b w:val="false"/>
          <w:bCs w:val="false"/>
          <w:strike w:val="false"/>
          <w:dstrike w:val="false"/>
          <w:sz w:val="28"/>
          <w:szCs w:val="28"/>
          <w:u w:val="none"/>
          <w:lang w:val="ru-RU"/>
        </w:rPr>
        <w:t>образовательных мероприятий</w:t>
      </w:r>
      <w:r>
        <w:rPr>
          <w:rFonts w:cs="Times New Roman"/>
          <w:b w:val="false"/>
          <w:bCs w:val="false"/>
          <w:strike w:val="false"/>
          <w:dstrike w:val="false"/>
          <w:sz w:val="28"/>
          <w:szCs w:val="28"/>
          <w:u w:val="none"/>
          <w:lang w:val="ru-RU"/>
        </w:rPr>
        <w:t xml:space="preserve"> способствуют укреплению научного и кадрового потенциала, содействию технологического суверенитета, развитию науки, технологий и общества в целом.</w:t>
      </w:r>
    </w:p>
    <w:p>
      <w:pPr>
        <w:pStyle w:val="Normal"/>
        <w:spacing w:lineRule="auto" w:line="360" w:before="0" w:after="0"/>
        <w:jc w:val="both"/>
        <w:rPr>
          <w:b w:val="false"/>
          <w:b w:val="false"/>
          <w:bCs w:val="false"/>
          <w:strike/>
          <w:sz w:val="28"/>
          <w:szCs w:val="28"/>
          <w:u w:val="none"/>
        </w:rPr>
      </w:pPr>
      <w:r>
        <w:rPr>
          <w:rFonts w:cs="Times New Roman"/>
          <w:b w:val="false"/>
          <w:bCs w:val="false"/>
          <w:strike w:val="false"/>
          <w:dstrike w:val="false"/>
          <w:sz w:val="28"/>
          <w:szCs w:val="28"/>
          <w:u w:val="none"/>
          <w:lang w:val="ru-RU"/>
        </w:rPr>
        <w:tab/>
        <w:t>Реализация проекта «Я и моё отечественное кино» позволило решить комплекс задач: от приобщения к искусству до воспитания ценностных ориентиров и укрепления связи поколений. Кино - это важный инструмент образования и формирования идентичности. В таблице № 3 представлены количественные показатели об участии школьников и педагогов, а организаций — партнёров.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/>
          <w:sz w:val="24"/>
          <w:szCs w:val="24"/>
          <w:lang w:val="ru-RU"/>
        </w:rPr>
      </w:pPr>
      <w:r>
        <w:rPr/>
      </w:r>
    </w:p>
    <w:p>
      <w:pPr>
        <w:pStyle w:val="Normal"/>
        <w:spacing w:lineRule="auto" w:line="276" w:before="0" w:after="0"/>
        <w:jc w:val="center"/>
        <w:rPr>
          <w:b w:val="false"/>
          <w:b w:val="false"/>
          <w:bCs w:val="false"/>
          <w:sz w:val="28"/>
          <w:szCs w:val="28"/>
        </w:rPr>
      </w:pPr>
      <w:r>
        <w:rPr>
          <w:rFonts w:cs="Times New Roman"/>
          <w:b w:val="false"/>
          <w:bCs w:val="false"/>
          <w:sz w:val="28"/>
          <w:szCs w:val="28"/>
          <w:lang w:val="ru-RU"/>
        </w:rPr>
        <w:t>Таблица 3 Количество участников научно-творческих и социокультурных образовательных мероприятий (2024-2026)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tbl>
      <w:tblPr>
        <w:tblW w:w="992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226"/>
        <w:gridCol w:w="1135"/>
        <w:gridCol w:w="2267"/>
        <w:gridCol w:w="1560"/>
        <w:gridCol w:w="1735"/>
      </w:tblGrid>
      <w:tr>
        <w:trPr/>
        <w:tc>
          <w:tcPr>
            <w:tcW w:w="99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  <w:sz w:val="20"/>
                <w:szCs w:val="20"/>
              </w:rPr>
              <w:t>Городской молодежный форум «Мой зеленый Новосибирск: экологические задачи решаем вместе»</w:t>
            </w:r>
          </w:p>
        </w:tc>
      </w:tr>
      <w:tr>
        <w:trPr/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Показатели участия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2024г.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2025г.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2026г.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Итого</w:t>
            </w:r>
          </w:p>
        </w:tc>
      </w:tr>
      <w:tr>
        <w:trPr/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/>
            </w:pPr>
            <w:r>
              <w:rPr>
                <w:rFonts w:cs="Times New Roman"/>
                <w:sz w:val="20"/>
                <w:szCs w:val="20"/>
              </w:rPr>
              <w:t>Количество образовательных организаций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8</w:t>
            </w:r>
          </w:p>
        </w:tc>
      </w:tr>
      <w:tr>
        <w:trPr/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/>
            </w:pPr>
            <w:r>
              <w:rPr>
                <w:rFonts w:cs="Times New Roman"/>
                <w:sz w:val="20"/>
                <w:szCs w:val="20"/>
              </w:rPr>
              <w:t xml:space="preserve">Количество участников,   из них: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125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125</w:t>
            </w:r>
          </w:p>
        </w:tc>
      </w:tr>
      <w:tr>
        <w:trPr/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/>
            </w:pPr>
            <w:r>
              <w:rPr>
                <w:rFonts w:cs="Times New Roman"/>
                <w:sz w:val="20"/>
                <w:szCs w:val="20"/>
              </w:rPr>
              <w:t>педагогов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12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12</w:t>
            </w:r>
          </w:p>
        </w:tc>
      </w:tr>
      <w:tr>
        <w:trPr/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/>
            </w:pPr>
            <w:r>
              <w:rPr>
                <w:rFonts w:cs="Times New Roman"/>
                <w:sz w:val="20"/>
                <w:szCs w:val="20"/>
              </w:rPr>
              <w:t>учащихся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113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113</w:t>
            </w:r>
          </w:p>
        </w:tc>
      </w:tr>
      <w:tr>
        <w:trPr/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/>
            </w:pPr>
            <w:r>
              <w:rPr>
                <w:rFonts w:cs="Times New Roman"/>
                <w:sz w:val="20"/>
                <w:szCs w:val="20"/>
              </w:rPr>
              <w:t>Количество мероприятий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7</w:t>
            </w:r>
          </w:p>
        </w:tc>
      </w:tr>
      <w:tr>
        <w:trPr/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/>
            </w:pPr>
            <w:r>
              <w:rPr>
                <w:rFonts w:cs="Times New Roman"/>
                <w:sz w:val="20"/>
                <w:szCs w:val="20"/>
              </w:rPr>
              <w:t xml:space="preserve">Количество </w:t>
            </w:r>
          </w:p>
          <w:p>
            <w:pPr>
              <w:pStyle w:val="Normal"/>
              <w:widowControl w:val="false"/>
              <w:spacing w:lineRule="auto" w:line="276" w:before="0" w:after="0"/>
              <w:rPr/>
            </w:pPr>
            <w:r>
              <w:rPr>
                <w:rFonts w:cs="Times New Roman"/>
                <w:sz w:val="20"/>
                <w:szCs w:val="20"/>
              </w:rPr>
              <w:t>Организаций-партнеров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12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12</w:t>
            </w:r>
          </w:p>
        </w:tc>
      </w:tr>
      <w:tr>
        <w:trPr/>
        <w:tc>
          <w:tcPr>
            <w:tcW w:w="99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2D050" w:val="clear"/>
          </w:tcPr>
          <w:p>
            <w:pPr>
              <w:pStyle w:val="Normal"/>
              <w:widowControl w:val="false"/>
              <w:snapToGrid w:val="false"/>
              <w:spacing w:lineRule="auto" w:line="276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</w:tr>
      <w:tr>
        <w:trPr/>
        <w:tc>
          <w:tcPr>
            <w:tcW w:w="99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  <w:sz w:val="20"/>
                <w:szCs w:val="20"/>
              </w:rPr>
              <w:t>Межрегиональный этнокультурный форум «Сибирь многоликая: диалоги культур и поколений»</w:t>
            </w:r>
          </w:p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(20-е числа сентября)</w:t>
            </w:r>
          </w:p>
        </w:tc>
      </w:tr>
      <w:tr>
        <w:trPr/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Показатели участия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2024г.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2025г.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2026г.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Итого</w:t>
            </w:r>
          </w:p>
        </w:tc>
      </w:tr>
      <w:tr>
        <w:trPr/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/>
            </w:pPr>
            <w:r>
              <w:rPr>
                <w:rFonts w:cs="Times New Roman"/>
                <w:sz w:val="20"/>
                <w:szCs w:val="20"/>
              </w:rPr>
              <w:t>Количество образовательных организаций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12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76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23</w:t>
            </w:r>
          </w:p>
        </w:tc>
      </w:tr>
      <w:tr>
        <w:trPr/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/>
            </w:pPr>
            <w:r>
              <w:rPr>
                <w:rFonts w:cs="Times New Roman"/>
                <w:sz w:val="20"/>
                <w:szCs w:val="20"/>
              </w:rPr>
              <w:t xml:space="preserve">Количество участников,                     из них: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176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413</w:t>
            </w:r>
          </w:p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(очно и дистанционно)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76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589</w:t>
            </w:r>
          </w:p>
        </w:tc>
      </w:tr>
      <w:tr>
        <w:trPr/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/>
            </w:pPr>
            <w:r>
              <w:rPr>
                <w:rFonts w:cs="Times New Roman"/>
                <w:sz w:val="20"/>
                <w:szCs w:val="20"/>
              </w:rPr>
              <w:t>педагогов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15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/>
            </w:pPr>
            <w:r>
              <w:rPr>
                <w:rFonts w:cs="Times New Roman"/>
                <w:sz w:val="20"/>
                <w:szCs w:val="20"/>
              </w:rPr>
              <w:t>14 – очно</w:t>
            </w:r>
          </w:p>
          <w:p>
            <w:pPr>
              <w:pStyle w:val="Normal"/>
              <w:widowControl w:val="false"/>
              <w:spacing w:lineRule="auto" w:line="276" w:before="0" w:after="0"/>
              <w:rPr/>
            </w:pPr>
            <w:r>
              <w:rPr>
                <w:rFonts w:cs="Times New Roman"/>
                <w:sz w:val="20"/>
                <w:szCs w:val="20"/>
              </w:rPr>
              <w:t>13 - заочно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76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42</w:t>
            </w:r>
          </w:p>
        </w:tc>
      </w:tr>
      <w:tr>
        <w:trPr/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/>
            </w:pPr>
            <w:r>
              <w:rPr>
                <w:rFonts w:cs="Times New Roman"/>
                <w:sz w:val="20"/>
                <w:szCs w:val="20"/>
              </w:rPr>
              <w:t>учащихся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161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/>
            </w:pPr>
            <w:r>
              <w:rPr>
                <w:rFonts w:cs="Times New Roman"/>
                <w:sz w:val="20"/>
                <w:szCs w:val="20"/>
              </w:rPr>
              <w:t>151 – очно</w:t>
            </w:r>
          </w:p>
          <w:p>
            <w:pPr>
              <w:pStyle w:val="Normal"/>
              <w:widowControl w:val="false"/>
              <w:spacing w:lineRule="auto" w:line="276" w:before="0" w:after="0"/>
              <w:rPr/>
            </w:pPr>
            <w:r>
              <w:rPr>
                <w:rFonts w:cs="Times New Roman"/>
                <w:sz w:val="20"/>
                <w:szCs w:val="20"/>
              </w:rPr>
              <w:t>213 - заочно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76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525</w:t>
            </w:r>
          </w:p>
        </w:tc>
      </w:tr>
      <w:tr>
        <w:trPr/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/>
            </w:pPr>
            <w:r>
              <w:rPr>
                <w:rFonts w:cs="Times New Roman"/>
                <w:sz w:val="20"/>
                <w:szCs w:val="20"/>
              </w:rPr>
              <w:t>Количество мероприятий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76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16</w:t>
            </w:r>
          </w:p>
        </w:tc>
      </w:tr>
      <w:tr>
        <w:trPr/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/>
            </w:pPr>
            <w:r>
              <w:rPr>
                <w:rFonts w:cs="Times New Roman"/>
                <w:sz w:val="20"/>
                <w:szCs w:val="20"/>
              </w:rPr>
              <w:t xml:space="preserve">Количество </w:t>
            </w:r>
          </w:p>
          <w:p>
            <w:pPr>
              <w:pStyle w:val="Normal"/>
              <w:widowControl w:val="false"/>
              <w:spacing w:lineRule="auto" w:line="276" w:before="0" w:after="0"/>
              <w:rPr/>
            </w:pPr>
            <w:r>
              <w:rPr>
                <w:rFonts w:cs="Times New Roman"/>
                <w:sz w:val="20"/>
                <w:szCs w:val="20"/>
              </w:rPr>
              <w:t>Организаций-партнеров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17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16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76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33</w:t>
            </w:r>
          </w:p>
        </w:tc>
      </w:tr>
      <w:tr>
        <w:trPr/>
        <w:tc>
          <w:tcPr>
            <w:tcW w:w="99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2D050" w:val="clear"/>
          </w:tcPr>
          <w:p>
            <w:pPr>
              <w:pStyle w:val="Normal"/>
              <w:widowControl w:val="false"/>
              <w:snapToGrid w:val="false"/>
              <w:spacing w:lineRule="auto" w:line="276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</w:tr>
      <w:tr>
        <w:trPr/>
        <w:tc>
          <w:tcPr>
            <w:tcW w:w="99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b w:val="false"/>
                <w:bCs w:val="false"/>
                <w:sz w:val="20"/>
                <w:szCs w:val="20"/>
              </w:rPr>
              <w:t>Региональный форум «Ученые Сибири: наука и творчество»</w:t>
            </w:r>
            <w:r>
              <w:rPr>
                <w:rFonts w:cs="Times New Roman"/>
                <w:sz w:val="20"/>
                <w:szCs w:val="20"/>
              </w:rPr>
              <w:t xml:space="preserve"> (ноябрь)</w:t>
            </w:r>
          </w:p>
        </w:tc>
      </w:tr>
      <w:tr>
        <w:trPr/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Показатели участия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2024г.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2025г.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2026г.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Итого</w:t>
            </w:r>
          </w:p>
        </w:tc>
      </w:tr>
      <w:tr>
        <w:trPr/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/>
            </w:pPr>
            <w:r>
              <w:rPr>
                <w:rFonts w:cs="Times New Roman"/>
                <w:sz w:val="20"/>
                <w:szCs w:val="20"/>
              </w:rPr>
              <w:t>Количество образовательных организаций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76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17</w:t>
            </w:r>
          </w:p>
        </w:tc>
      </w:tr>
      <w:tr>
        <w:trPr/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/>
            </w:pPr>
            <w:r>
              <w:rPr>
                <w:rFonts w:cs="Times New Roman"/>
                <w:sz w:val="20"/>
                <w:szCs w:val="20"/>
              </w:rPr>
              <w:t xml:space="preserve">Количество участников,                     из них: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179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185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264</w:t>
            </w:r>
          </w:p>
        </w:tc>
      </w:tr>
      <w:tr>
        <w:trPr/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/>
            </w:pPr>
            <w:r>
              <w:rPr>
                <w:rFonts w:cs="Times New Roman"/>
                <w:sz w:val="20"/>
                <w:szCs w:val="20"/>
              </w:rPr>
              <w:t>педагогов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14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24</w:t>
            </w:r>
          </w:p>
        </w:tc>
      </w:tr>
      <w:tr>
        <w:trPr/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/>
            </w:pPr>
            <w:r>
              <w:rPr>
                <w:rFonts w:cs="Times New Roman"/>
                <w:sz w:val="20"/>
                <w:szCs w:val="20"/>
              </w:rPr>
              <w:t>учащихся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169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171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240</w:t>
            </w:r>
          </w:p>
        </w:tc>
      </w:tr>
      <w:tr>
        <w:trPr/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/>
            </w:pPr>
            <w:r>
              <w:rPr>
                <w:rFonts w:cs="Times New Roman"/>
                <w:sz w:val="20"/>
                <w:szCs w:val="20"/>
              </w:rPr>
              <w:t>Количество мероприятий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16</w:t>
            </w:r>
          </w:p>
        </w:tc>
      </w:tr>
      <w:tr>
        <w:trPr/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/>
            </w:pPr>
            <w:r>
              <w:rPr>
                <w:rFonts w:cs="Times New Roman"/>
                <w:sz w:val="20"/>
                <w:szCs w:val="20"/>
              </w:rPr>
              <w:t xml:space="preserve">Количество </w:t>
            </w:r>
          </w:p>
          <w:p>
            <w:pPr>
              <w:pStyle w:val="Normal"/>
              <w:widowControl w:val="false"/>
              <w:spacing w:lineRule="auto" w:line="276" w:before="0" w:after="0"/>
              <w:rPr/>
            </w:pPr>
            <w:r>
              <w:rPr>
                <w:rFonts w:cs="Times New Roman"/>
                <w:sz w:val="20"/>
                <w:szCs w:val="20"/>
              </w:rPr>
              <w:t>Организаций-партнеров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16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17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33</w:t>
            </w:r>
          </w:p>
        </w:tc>
      </w:tr>
      <w:tr>
        <w:trPr/>
        <w:tc>
          <w:tcPr>
            <w:tcW w:w="99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2D050" w:val="clear"/>
          </w:tcPr>
          <w:p>
            <w:pPr>
              <w:pStyle w:val="Normal"/>
              <w:widowControl w:val="false"/>
              <w:snapToGrid w:val="false"/>
              <w:spacing w:lineRule="auto" w:line="276"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</w:r>
          </w:p>
        </w:tc>
      </w:tr>
      <w:tr>
        <w:trPr/>
        <w:tc>
          <w:tcPr>
            <w:tcW w:w="99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b w:val="false"/>
                <w:bCs w:val="false"/>
                <w:sz w:val="20"/>
                <w:szCs w:val="20"/>
              </w:rPr>
              <w:t>Региональный профориентационный форум «Поиск. Призвание. Профессия: профессиональное самоопределение в области культуры и креативных индустрий» (апре</w:t>
            </w:r>
            <w:r>
              <w:rPr>
                <w:rFonts w:cs="Times New Roman"/>
                <w:sz w:val="20"/>
                <w:szCs w:val="20"/>
              </w:rPr>
              <w:t>ль 2025-2026)</w:t>
            </w:r>
          </w:p>
        </w:tc>
      </w:tr>
      <w:tr>
        <w:trPr/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Показатели участия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2024г.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2025г.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2026г.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Итого</w:t>
            </w:r>
          </w:p>
        </w:tc>
      </w:tr>
      <w:tr>
        <w:trPr/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/>
            </w:pPr>
            <w:r>
              <w:rPr>
                <w:rFonts w:cs="Times New Roman"/>
                <w:sz w:val="20"/>
                <w:szCs w:val="20"/>
              </w:rPr>
              <w:t>Количество образовательных организаций (школ)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11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13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24</w:t>
            </w:r>
          </w:p>
        </w:tc>
      </w:tr>
      <w:tr>
        <w:trPr/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/>
            </w:pPr>
            <w:r>
              <w:rPr>
                <w:rFonts w:cs="Times New Roman"/>
                <w:sz w:val="20"/>
                <w:szCs w:val="20"/>
              </w:rPr>
              <w:t xml:space="preserve">Количество участников,                     из них: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253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258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411</w:t>
            </w:r>
          </w:p>
        </w:tc>
      </w:tr>
      <w:tr>
        <w:trPr/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/>
            </w:pPr>
            <w:r>
              <w:rPr>
                <w:rFonts w:cs="Times New Roman"/>
                <w:sz w:val="20"/>
                <w:szCs w:val="20"/>
              </w:rPr>
              <w:t>педагогов школ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76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12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13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25</w:t>
            </w:r>
          </w:p>
        </w:tc>
      </w:tr>
      <w:tr>
        <w:trPr/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/>
            </w:pPr>
            <w:r>
              <w:rPr>
                <w:rFonts w:cs="Times New Roman"/>
                <w:sz w:val="20"/>
                <w:szCs w:val="20"/>
              </w:rPr>
              <w:t>учащихся школ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76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141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152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293</w:t>
            </w:r>
          </w:p>
        </w:tc>
      </w:tr>
      <w:tr>
        <w:trPr/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/>
            </w:pPr>
            <w:r>
              <w:rPr>
                <w:rFonts w:cs="Times New Roman"/>
                <w:sz w:val="20"/>
                <w:szCs w:val="20"/>
              </w:rPr>
              <w:t>Количество мероприятий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13</w:t>
            </w:r>
          </w:p>
        </w:tc>
      </w:tr>
      <w:tr>
        <w:trPr/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/>
            </w:pPr>
            <w:r>
              <w:rPr>
                <w:rFonts w:cs="Times New Roman"/>
                <w:sz w:val="20"/>
                <w:szCs w:val="20"/>
              </w:rPr>
              <w:t xml:space="preserve">Количество </w:t>
            </w:r>
          </w:p>
          <w:p>
            <w:pPr>
              <w:pStyle w:val="Normal"/>
              <w:widowControl w:val="false"/>
              <w:spacing w:lineRule="auto" w:line="276" w:before="0" w:after="0"/>
              <w:rPr/>
            </w:pPr>
            <w:r>
              <w:rPr>
                <w:rFonts w:cs="Times New Roman"/>
                <w:sz w:val="20"/>
                <w:szCs w:val="20"/>
              </w:rPr>
              <w:t>организаций -партнеров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21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20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41</w:t>
            </w:r>
          </w:p>
        </w:tc>
      </w:tr>
      <w:tr>
        <w:trPr/>
        <w:tc>
          <w:tcPr>
            <w:tcW w:w="99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2D050" w:val="clear"/>
          </w:tcPr>
          <w:p>
            <w:pPr>
              <w:pStyle w:val="Normal"/>
              <w:widowControl w:val="false"/>
              <w:snapToGrid w:val="false"/>
              <w:spacing w:lineRule="auto" w:line="276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</w:tr>
      <w:tr>
        <w:trPr/>
        <w:tc>
          <w:tcPr>
            <w:tcW w:w="99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  <w:sz w:val="20"/>
                <w:szCs w:val="20"/>
              </w:rPr>
              <w:t>Районный проект «Я и мое отечественное кино»</w:t>
            </w:r>
          </w:p>
        </w:tc>
      </w:tr>
      <w:tr>
        <w:trPr/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Показатели участия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2024г.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2025г.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2026г.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Итого</w:t>
            </w:r>
          </w:p>
        </w:tc>
      </w:tr>
      <w:tr>
        <w:trPr/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/>
            </w:pPr>
            <w:r>
              <w:rPr>
                <w:rFonts w:cs="Times New Roman"/>
                <w:sz w:val="20"/>
                <w:szCs w:val="20"/>
              </w:rPr>
              <w:t>Количество образовательных организаций (школ)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9</w:t>
            </w:r>
          </w:p>
        </w:tc>
      </w:tr>
      <w:tr>
        <w:trPr/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/>
            </w:pPr>
            <w:r>
              <w:rPr>
                <w:rFonts w:cs="Times New Roman"/>
                <w:sz w:val="20"/>
                <w:szCs w:val="20"/>
              </w:rPr>
              <w:t xml:space="preserve">Количество участников,                     из них: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540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699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669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1908</w:t>
            </w:r>
          </w:p>
        </w:tc>
      </w:tr>
      <w:tr>
        <w:trPr/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/>
            </w:pPr>
            <w:r>
              <w:rPr>
                <w:rFonts w:cs="Times New Roman"/>
                <w:sz w:val="20"/>
                <w:szCs w:val="20"/>
              </w:rPr>
              <w:t>педагогов школ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19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24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24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67</w:t>
            </w:r>
          </w:p>
        </w:tc>
      </w:tr>
      <w:tr>
        <w:trPr/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/>
            </w:pPr>
            <w:r>
              <w:rPr>
                <w:rFonts w:cs="Times New Roman"/>
                <w:sz w:val="20"/>
                <w:szCs w:val="20"/>
              </w:rPr>
              <w:t>учащихся школ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521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675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645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1841</w:t>
            </w:r>
          </w:p>
        </w:tc>
      </w:tr>
      <w:tr>
        <w:trPr/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/>
            </w:pPr>
            <w:r>
              <w:rPr>
                <w:rFonts w:cs="Times New Roman"/>
                <w:sz w:val="20"/>
                <w:szCs w:val="20"/>
              </w:rPr>
              <w:t>Количество мероприятий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19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25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24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67</w:t>
            </w:r>
          </w:p>
        </w:tc>
      </w:tr>
      <w:tr>
        <w:trPr/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rPr/>
            </w:pPr>
            <w:r>
              <w:rPr>
                <w:rFonts w:cs="Times New Roman"/>
                <w:sz w:val="20"/>
                <w:szCs w:val="20"/>
              </w:rPr>
              <w:t xml:space="preserve">Количество </w:t>
            </w:r>
          </w:p>
          <w:p>
            <w:pPr>
              <w:pStyle w:val="Normal"/>
              <w:widowControl w:val="false"/>
              <w:spacing w:lineRule="auto" w:line="276" w:before="0" w:after="0"/>
              <w:rPr/>
            </w:pPr>
            <w:r>
              <w:rPr>
                <w:rFonts w:cs="Times New Roman"/>
                <w:sz w:val="20"/>
                <w:szCs w:val="20"/>
              </w:rPr>
              <w:t>организаций - партнеров</w:t>
            </w:r>
          </w:p>
          <w:p>
            <w:pPr>
              <w:pStyle w:val="Normal"/>
              <w:widowControl w:val="false"/>
              <w:spacing w:lineRule="auto" w:line="276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76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76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76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76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lineRule="auto" w:line="276" w:before="0" w:after="0"/>
              <w:jc w:val="center"/>
              <w:rPr/>
            </w:pPr>
            <w:r>
              <w:rPr>
                <w:rFonts w:cs="Times New Roman"/>
                <w:sz w:val="20"/>
                <w:szCs w:val="20"/>
              </w:rPr>
              <w:t>14</w:t>
            </w:r>
          </w:p>
        </w:tc>
      </w:tr>
    </w:tbl>
    <w:p>
      <w:pPr>
        <w:pStyle w:val="Default"/>
        <w:spacing w:lineRule="auto" w:line="276"/>
        <w:jc w:val="right"/>
        <w:rPr/>
      </w:pPr>
      <w:r>
        <w:rPr/>
      </w:r>
    </w:p>
    <w:p>
      <w:pPr>
        <w:pStyle w:val="Normal"/>
        <w:spacing w:lineRule="auto" w:line="276"/>
        <w:ind w:firstLine="709"/>
        <w:jc w:val="both"/>
        <w:rPr/>
      </w:pPr>
      <w:bookmarkStart w:id="0" w:name="_GoBack"/>
      <w:bookmarkEnd w:id="0"/>
      <w:r>
        <w:rPr>
          <w:lang w:val="ru-RU"/>
        </w:rPr>
        <w:t xml:space="preserve">Транслируемость опыта обеспечивается системой открытых мероприятий: для учителей и администраторов школ-партнёров проведены девять семинаров и семинаров-практикумов, вебинар, мастер-классы, областная открытая методическая школа по английскому языку, в которых приняли участие 441 педагог и администратор из школ Новосибирской области; всего по теме РИП проведено 24 открытых региональных и муниципальных мероприятия. Опыт проекта представлен в публикации в сборнике Министерства образования Новосибирской области (2024), в стендовом докладе в сборнике ГКУ НСО НИМРО «От инновационной идеи к практическим результатам региональных инновационных площадок» (2025), отмечен дипломом </w:t>
      </w:r>
      <w:r>
        <w:rPr/>
        <w:t>I</w:t>
      </w:r>
      <w:r>
        <w:rPr>
          <w:lang w:val="ru-RU"/>
        </w:rPr>
        <w:t xml:space="preserve"> степени </w:t>
      </w:r>
      <w:r>
        <w:rPr/>
        <w:t>III</w:t>
      </w:r>
      <w:r>
        <w:rPr>
          <w:lang w:val="ru-RU"/>
        </w:rPr>
        <w:t xml:space="preserve"> Международного конкурса лучших практик образования «</w:t>
      </w:r>
      <w:r>
        <w:rPr/>
        <w:t>PRO</w:t>
      </w:r>
      <w:r>
        <w:rPr>
          <w:lang w:val="ru-RU"/>
        </w:rPr>
        <w:t>обучение-2024». Общий охват участников системы образования региона мероприятиями школы составил около 23 000 человек.</w:t>
      </w:r>
    </w:p>
    <w:p>
      <w:pPr>
        <w:pStyle w:val="Normal"/>
        <w:spacing w:lineRule="auto" w:line="276"/>
        <w:ind w:firstLine="709"/>
        <w:jc w:val="both"/>
        <w:rPr>
          <w:lang w:val="ru-RU"/>
        </w:rPr>
      </w:pPr>
      <w:r>
        <w:rPr>
          <w:lang w:val="ru-RU"/>
        </w:rPr>
        <w:t>В управлении проектом внедрена матричная структура: созданы временные творческие коллективы с участием специалистов организаций-партнёров – десять в школах-партнёрах и пять проектных групп в школе РИП. Разработаны и внедрены единые отчётные шаблоны и регламенты взаимодействия, рационализировавшие временные затраты школ-партнёров при обработке данных. Оперативное взаимодействие участников организовано с использованием национального мессенджера МАХ и электронной почты; на официальном сайте школы в разделе «РИП» обеспечен открытый доступ к образовательным программам, дорожным картам, мероприятиям, нормативным актам и аналитическим материалам. Внедрены цифровые инструменты (опросники, мониторинговые таблицы) для оперативного сбора и анализа данных о динамике образовательных результатов.</w:t>
      </w:r>
    </w:p>
    <w:p>
      <w:pPr>
        <w:pStyle w:val="Normal"/>
        <w:spacing w:before="0" w:after="80"/>
        <w:ind w:firstLine="709"/>
        <w:jc w:val="both"/>
        <w:rPr>
          <w:lang w:val="ru-RU"/>
        </w:rPr>
      </w:pPr>
      <w:r>
        <w:rPr>
          <w:lang w:val="ru-RU"/>
        </w:rPr>
        <w:t>Полученные эффекты реализации проекта можно систематизировать следующим образом:</w:t>
      </w:r>
    </w:p>
    <w:p>
      <w:pPr>
        <w:pStyle w:val="Normal"/>
        <w:ind w:left="709" w:hanging="283"/>
        <w:jc w:val="both"/>
        <w:rPr>
          <w:lang w:val="ru-RU"/>
        </w:rPr>
      </w:pPr>
      <w:r>
        <w:rPr>
          <w:lang w:val="ru-RU"/>
        </w:rPr>
        <w:t xml:space="preserve">– </w:t>
      </w:r>
      <w:r>
        <w:rPr>
          <w:lang w:val="ru-RU"/>
        </w:rPr>
        <w:t>для обучающихся – увеличение числа школьников, участвующих в мероприятиях РИП, занимающихся проектной и исследовательской деятельностью; развитие индивидуальных способностей, коммуникативных умений, расширение опыта добровольческой деятельности;</w:t>
      </w:r>
    </w:p>
    <w:p>
      <w:pPr>
        <w:pStyle w:val="Normal"/>
        <w:ind w:left="709" w:hanging="283"/>
        <w:jc w:val="both"/>
        <w:rPr>
          <w:lang w:val="ru-RU"/>
        </w:rPr>
      </w:pPr>
      <w:r>
        <w:rPr>
          <w:lang w:val="ru-RU"/>
        </w:rPr>
        <w:t xml:space="preserve">– </w:t>
      </w:r>
      <w:r>
        <w:rPr>
          <w:lang w:val="ru-RU"/>
        </w:rPr>
        <w:t>для учителей – повышение уровня профессиональной компетентности педагогических коллективов школы РИП и школ-участниц сетевого взаимодействия: 18 педагогов школы прошли повышение квалификации по тематике РИП, восемь повысили или подтвердили высшую квалификационную категорию; создан банк методических материалов;</w:t>
      </w:r>
    </w:p>
    <w:p>
      <w:pPr>
        <w:pStyle w:val="Normal"/>
        <w:ind w:left="709" w:hanging="283"/>
        <w:jc w:val="both"/>
        <w:rPr>
          <w:lang w:val="ru-RU"/>
        </w:rPr>
      </w:pPr>
      <w:r>
        <w:rPr>
          <w:lang w:val="ru-RU"/>
        </w:rPr>
        <w:t xml:space="preserve">– </w:t>
      </w:r>
      <w:r>
        <w:rPr>
          <w:lang w:val="ru-RU"/>
        </w:rPr>
        <w:t>для образовательных организаций – усиление роли системно-деятельностного подхода в педагогической практике, рост эффективности внутриучрежденческого менеджмента и межорганизационных взаимодействий, систематическая организационно-методическая дистанционная поддержка школ-участниц проекта;</w:t>
      </w:r>
    </w:p>
    <w:p>
      <w:pPr>
        <w:pStyle w:val="Normal"/>
        <w:ind w:left="709" w:hanging="283"/>
        <w:jc w:val="both"/>
        <w:rPr>
          <w:lang w:val="ru-RU"/>
        </w:rPr>
      </w:pPr>
      <w:r>
        <w:rPr>
          <w:lang w:val="ru-RU"/>
        </w:rPr>
        <w:t xml:space="preserve">– </w:t>
      </w:r>
      <w:r>
        <w:rPr>
          <w:lang w:val="ru-RU"/>
        </w:rPr>
        <w:t>для родителей (законных представителей) – созданы условия для качественного образования обучающихся.</w:t>
      </w:r>
    </w:p>
    <w:p>
      <w:pPr>
        <w:pStyle w:val="Normal"/>
        <w:spacing w:before="80" w:after="0"/>
        <w:ind w:firstLine="709"/>
        <w:jc w:val="both"/>
        <w:rPr>
          <w:lang w:val="ru-RU"/>
        </w:rPr>
      </w:pPr>
      <w:r>
        <w:rPr>
          <w:lang w:val="ru-RU"/>
        </w:rPr>
        <w:t>За счёт привлечения целевого финансирования (900 тыс. рублей за период 2024–2026 гг.) и оптимизации внутренних ресурсов проведена модернизация четырёх учебных зон – кабинетов и лабораторий химии, биологии, физики, информатики, закуплено современное интерактивное, лабораторное и ИТ-оборудование.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Участие в инновационной деятельности сопровождается высокими качественными показателями работы гимназии. Школа входит в ТОП-300 лучших школ России по конкурентоспособности выпускников, улучшив позиции со 177-го места в 2024 году до 112-го в 2026 году, и в ТОП-500 лучших школ России по количеству выпускников, поступивших в ведущие вузы страны (137-е место в 2026 году против 233-го в 2024-м), в ТОП-20 лучших школ Сибири и ТОП-5 лучших школ города Новосибирска по итогам ГИА и Всероссийской олимпиады школьников. В 2026 году пять выпускников получили 100 баллов на ЕГЭ, 19 выпускников 11-х классов награждены медалями. В среднем 98 % выпускников ежегодно поступают в вузы, из них около 40–50 % – в Новосибирский государственный университет и другие ведущие вузы страны.</w:t>
      </w:r>
    </w:p>
    <w:p>
      <w:pPr>
        <w:pStyle w:val="Normal"/>
        <w:ind w:firstLine="709"/>
        <w:jc w:val="both"/>
        <w:rPr>
          <w:lang w:val="ru-RU"/>
        </w:rPr>
      </w:pPr>
      <w:r>
        <w:rPr>
          <w:lang w:val="ru-RU"/>
        </w:rPr>
        <w:t>Таким образом, реализация инновационного проекта в режиме региональной инновационной площадки в 2024–2026 гг. позволила гимназии перейти от локального проектирования к устойчивому сетевому взаимодействию не только со школами-партнёрами, но и с организациями науки, культуры, высшего и дополнительного профессионального образования. Разработанные и апробированные модели образовательных и воспитательных программ доказали свою актуальность: повысилась доступность качественного вариативного образования для обучающихся, минимизированы инфраструктурные дефициты организации, а интеграция кадрового потенциала позволила повысить мотивацию педагогов, расширить информационную поддержку коллективов школ-партнёров, повысить профессиональную компетентность педагогов и администраторов. Продукты инновационной деятельности – нормативно-правовые пакеты, методические материалы, образовательные и воспитательные программы – полностью готовы к широкому тиражированию и масштабированию в системе образования Новосибирской области.</w:t>
      </w:r>
    </w:p>
    <w:sectPr>
      <w:type w:val="nextPage"/>
      <w:pgSz w:w="12240" w:h="15840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mbria">
    <w:charset w:val="cc"/>
    <w:family w:val="roman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  <w:font w:name="Courier">
    <w:altName w:val="Courier New"/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4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c693f"/>
    <w:pPr>
      <w:widowControl/>
      <w:bidi w:val="0"/>
      <w:spacing w:lineRule="auto" w:line="360" w:before="0" w:after="0"/>
      <w:jc w:val="left"/>
    </w:pPr>
    <w:rPr>
      <w:rFonts w:ascii="Times New Roman" w:hAnsi="Times New Roman" w:eastAsia="Times New Roman" w:cs="" w:cstheme="minorBidi"/>
      <w:color w:val="auto"/>
      <w:kern w:val="0"/>
      <w:sz w:val="28"/>
      <w:szCs w:val="22"/>
      <w:lang w:val="en-US" w:eastAsia="en-US" w:bidi="ar-SA"/>
    </w:rPr>
  </w:style>
  <w:style w:type="paragraph" w:styleId="1">
    <w:name w:val="Heading 1"/>
    <w:basedOn w:val="Normal"/>
    <w:next w:val="Normal"/>
    <w:link w:val="11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Cs w:val="28"/>
    </w:rPr>
  </w:style>
  <w:style w:type="paragraph" w:styleId="2">
    <w:name w:val="Heading 2"/>
    <w:basedOn w:val="Normal"/>
    <w:next w:val="Normal"/>
    <w:link w:val="21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3">
    <w:name w:val="Heading 3"/>
    <w:basedOn w:val="Normal"/>
    <w:next w:val="Normal"/>
    <w:link w:val="31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paragraph" w:styleId="4">
    <w:name w:val="Heading 4"/>
    <w:basedOn w:val="Normal"/>
    <w:next w:val="Normal"/>
    <w:link w:val="41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5">
    <w:name w:val="Heading 5"/>
    <w:basedOn w:val="Normal"/>
    <w:next w:val="Normal"/>
    <w:link w:val="51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6">
    <w:name w:val="Heading 6"/>
    <w:basedOn w:val="Normal"/>
    <w:next w:val="Normal"/>
    <w:link w:val="61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7">
    <w:name w:val="Heading 7"/>
    <w:basedOn w:val="Normal"/>
    <w:next w:val="Normal"/>
    <w:link w:val="71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8">
    <w:name w:val="Heading 8"/>
    <w:basedOn w:val="Normal"/>
    <w:next w:val="Normal"/>
    <w:link w:val="81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9">
    <w:name w:val="Heading 9"/>
    <w:basedOn w:val="Normal"/>
    <w:next w:val="Normal"/>
    <w:link w:val="91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Верхний колонтитул Знак"/>
    <w:basedOn w:val="DefaultParagraphFont"/>
    <w:uiPriority w:val="99"/>
    <w:qFormat/>
    <w:rsid w:val="00e618bf"/>
    <w:rPr/>
  </w:style>
  <w:style w:type="character" w:styleId="Style6" w:customStyle="1">
    <w:name w:val="Нижний колонтитул Знак"/>
    <w:basedOn w:val="DefaultParagraphFont"/>
    <w:uiPriority w:val="99"/>
    <w:qFormat/>
    <w:rsid w:val="00e618bf"/>
    <w:rPr/>
  </w:style>
  <w:style w:type="character" w:styleId="11" w:customStyle="1">
    <w:name w:val="Заголовок 1 Знак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21" w:customStyle="1">
    <w:name w:val="Заголовок 2 Знак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31" w:customStyle="1">
    <w:name w:val="Заголовок 3 Знак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Style7" w:customStyle="1">
    <w:name w:val="Название Знак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tyle8" w:customStyle="1">
    <w:name w:val="Подзаголовок Знак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tyle9" w:customStyle="1">
    <w:name w:val="Основной текст Знак"/>
    <w:basedOn w:val="DefaultParagraphFont"/>
    <w:uiPriority w:val="99"/>
    <w:qFormat/>
    <w:rsid w:val="00aa1d8d"/>
    <w:rPr/>
  </w:style>
  <w:style w:type="character" w:styleId="22" w:customStyle="1">
    <w:name w:val="Основной текст 2 Знак"/>
    <w:basedOn w:val="DefaultParagraphFont"/>
    <w:link w:val="BodyText2"/>
    <w:uiPriority w:val="99"/>
    <w:qFormat/>
    <w:rsid w:val="00aa1d8d"/>
    <w:rPr/>
  </w:style>
  <w:style w:type="character" w:styleId="32" w:customStyle="1">
    <w:name w:val="Основной текст 3 Знак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Style10" w:customStyle="1">
    <w:name w:val="Текст макроса Знак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23" w:customStyle="1">
    <w:name w:val="Цитата 2 Знак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41" w:customStyle="1">
    <w:name w:val="Заголовок 4 Знак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51" w:customStyle="1">
    <w:name w:val="Заголовок 5 Знак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61" w:customStyle="1">
    <w:name w:val="Заголовок 6 Знак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71" w:customStyle="1">
    <w:name w:val="Заголовок 7 Знак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81" w:customStyle="1">
    <w:name w:val="Заголовок 8 Знак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91" w:customStyle="1">
    <w:name w:val="Заголовок 9 Знак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Style11">
    <w:name w:val="Выделение"/>
    <w:basedOn w:val="DefaultParagraphFont"/>
    <w:uiPriority w:val="20"/>
    <w:qFormat/>
    <w:rsid w:val="00fc693f"/>
    <w:rPr>
      <w:i/>
      <w:iCs/>
    </w:rPr>
  </w:style>
  <w:style w:type="character" w:styleId="Style12" w:customStyle="1">
    <w:name w:val="Выделенная цитата Знак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4">
    <w:name w:val="Body Text"/>
    <w:basedOn w:val="Normal"/>
    <w:link w:val="Style9"/>
    <w:uiPriority w:val="99"/>
    <w:unhideWhenUsed/>
    <w:rsid w:val="00aa1d8d"/>
    <w:pPr>
      <w:spacing w:before="0" w:after="120"/>
    </w:pPr>
    <w:rPr/>
  </w:style>
  <w:style w:type="paragraph" w:styleId="Style15">
    <w:name w:val="List"/>
    <w:basedOn w:val="Normal"/>
    <w:uiPriority w:val="99"/>
    <w:unhideWhenUsed/>
    <w:rsid w:val="00aa1d8d"/>
    <w:pPr>
      <w:spacing w:before="0" w:after="0"/>
      <w:ind w:left="360" w:hanging="360"/>
      <w:contextualSpacing/>
    </w:pPr>
    <w:rPr/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Style18">
    <w:name w:val="Колонтитул"/>
    <w:basedOn w:val="Normal"/>
    <w:qFormat/>
    <w:pPr/>
    <w:rPr/>
  </w:style>
  <w:style w:type="paragraph" w:styleId="Style19">
    <w:name w:val="Header"/>
    <w:basedOn w:val="Normal"/>
    <w:link w:val="Style5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/>
    </w:pPr>
    <w:rPr/>
  </w:style>
  <w:style w:type="paragraph" w:styleId="Style20">
    <w:name w:val="Footer"/>
    <w:basedOn w:val="Normal"/>
    <w:link w:val="Style6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Style21">
    <w:name w:val="Title"/>
    <w:basedOn w:val="Normal"/>
    <w:next w:val="Normal"/>
    <w:link w:val="Style7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Style22">
    <w:name w:val="Subtitle"/>
    <w:basedOn w:val="Normal"/>
    <w:next w:val="Normal"/>
    <w:link w:val="Style8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0"/>
      <w:ind w:left="720" w:hanging="0"/>
      <w:contextualSpacing/>
    </w:pPr>
    <w:rPr/>
  </w:style>
  <w:style w:type="paragraph" w:styleId="BodyText2">
    <w:name w:val="Body Text 2"/>
    <w:basedOn w:val="Normal"/>
    <w:link w:val="22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32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24">
    <w:name w:val="List Bullet 3"/>
    <w:basedOn w:val="Normal"/>
    <w:uiPriority w:val="99"/>
    <w:unhideWhenUsed/>
    <w:rsid w:val="00326f90"/>
    <w:pPr>
      <w:spacing w:before="0" w:after="0"/>
      <w:ind w:left="720" w:hanging="360"/>
      <w:contextualSpacing/>
    </w:pPr>
    <w:rPr/>
  </w:style>
  <w:style w:type="paragraph" w:styleId="33">
    <w:name w:val="List Bullet 4"/>
    <w:basedOn w:val="Normal"/>
    <w:uiPriority w:val="99"/>
    <w:unhideWhenUsed/>
    <w:rsid w:val="00326f90"/>
    <w:pPr>
      <w:spacing w:before="0" w:after="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numPr>
        <w:ilvl w:val="0"/>
        <w:numId w:val="1"/>
      </w:numPr>
      <w:spacing w:before="0" w:after="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numPr>
        <w:ilvl w:val="0"/>
        <w:numId w:val="2"/>
      </w:numPr>
      <w:spacing w:before="0" w:after="0"/>
      <w:contextualSpacing/>
    </w:pPr>
    <w:rPr/>
  </w:style>
  <w:style w:type="paragraph" w:styleId="ListBullet3">
    <w:name w:val="List Bullet 3"/>
    <w:basedOn w:val="Normal"/>
    <w:uiPriority w:val="99"/>
    <w:unhideWhenUsed/>
    <w:qFormat/>
    <w:rsid w:val="00326f90"/>
    <w:pPr>
      <w:numPr>
        <w:ilvl w:val="0"/>
        <w:numId w:val="3"/>
      </w:numPr>
      <w:spacing w:before="0" w:after="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numPr>
        <w:ilvl w:val="0"/>
        <w:numId w:val="4"/>
      </w:numPr>
      <w:spacing w:before="0" w:after="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numPr>
        <w:ilvl w:val="0"/>
        <w:numId w:val="5"/>
      </w:numPr>
      <w:spacing w:before="0" w:after="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numPr>
        <w:ilvl w:val="0"/>
        <w:numId w:val="6"/>
      </w:numPr>
      <w:spacing w:before="0" w:after="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Style10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23"/>
    <w:uiPriority w:val="29"/>
    <w:qFormat/>
    <w:rsid w:val="00fc693f"/>
    <w:pPr/>
    <w:rPr>
      <w:i/>
      <w:iCs/>
      <w:color w:val="000000" w:themeColor="tex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Style12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Style23">
    <w:name w:val="Index Heading"/>
    <w:basedOn w:val="Style13"/>
    <w:pPr/>
    <w:rPr/>
  </w:style>
  <w:style w:type="paragraph" w:styleId="Style24">
    <w:name w:val="TOC Heading"/>
    <w:basedOn w:val="1"/>
    <w:next w:val="Normal"/>
    <w:uiPriority w:val="39"/>
    <w:semiHidden/>
    <w:unhideWhenUsed/>
    <w:qFormat/>
    <w:rsid w:val="00fc693f"/>
    <w:pPr>
      <w:outlineLvl w:val="9"/>
    </w:pPr>
    <w:rPr/>
  </w:style>
  <w:style w:type="paragraph" w:styleId="Default">
    <w:name w:val="Default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eastAsia="zh-CN" w:val="en-US" w:bidi="ar-SA"/>
    </w:rPr>
  </w:style>
  <w:style w:type="paragraph" w:styleId="Style25">
    <w:name w:val="Содержимое таблицы"/>
    <w:basedOn w:val="Normal"/>
    <w:qFormat/>
    <w:pPr>
      <w:widowControl w:val="false"/>
      <w:suppressLineNumbers/>
    </w:pPr>
    <w:rPr/>
  </w:style>
  <w:style w:type="paragraph" w:styleId="Style26">
    <w:name w:val="Заголовок таблицы"/>
    <w:basedOn w:val="Style25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1EC9EE8-B566-497B-A153-1439D87AE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Application>LibreOffice/7.3.4.2$Windows_X86_64 LibreOffice_project/728fec16bd5f605073805c3c9e7c4212a0120dc5</Application>
  <AppVersion>15.0000</AppVersion>
  <Pages>8</Pages>
  <Words>1788</Words>
  <Characters>10192</Characters>
  <CharactersWithSpaces>11957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2026-09-08T12:45:00Z</dcterms:created>
  <dc:creator>python-docx</dc:creator>
  <dc:description>generated by python-docx</dc:description>
  <dc:language>ru-RU</dc:language>
  <cp:lastModifiedBy/>
  <dcterms:modified xsi:type="dcterms:W3CDTF">2026-09-15T11:53:06Z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