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1750F" w14:textId="77777777" w:rsidR="003149FD" w:rsidRPr="00127156" w:rsidRDefault="003149FD" w:rsidP="003149FD">
      <w:pPr>
        <w:spacing w:after="0" w:line="360" w:lineRule="auto"/>
        <w:ind w:firstLine="567"/>
        <w:rPr>
          <w:rFonts w:ascii="Times New Roman" w:eastAsia="Calibri" w:hAnsi="Times New Roman" w:cs="Times New Roman"/>
          <w:b/>
          <w:sz w:val="28"/>
          <w:szCs w:val="28"/>
        </w:rPr>
      </w:pPr>
      <w:r w:rsidRPr="00127156">
        <w:rPr>
          <w:rFonts w:ascii="Times New Roman" w:eastAsia="Calibri" w:hAnsi="Times New Roman" w:cs="Times New Roman"/>
          <w:b/>
          <w:sz w:val="28"/>
          <w:szCs w:val="28"/>
        </w:rPr>
        <w:t xml:space="preserve">УДК </w:t>
      </w:r>
      <w:r w:rsidRPr="0056029D">
        <w:rPr>
          <w:rFonts w:ascii="Times New Roman" w:eastAsia="Calibri" w:hAnsi="Times New Roman" w:cs="Times New Roman"/>
          <w:b/>
          <w:sz w:val="28"/>
          <w:szCs w:val="28"/>
        </w:rPr>
        <w:t>378.147</w:t>
      </w:r>
    </w:p>
    <w:p w14:paraId="5B1B2760" w14:textId="303C192C" w:rsidR="003149FD" w:rsidRDefault="003149FD" w:rsidP="003149FD">
      <w:pPr>
        <w:spacing w:after="0" w:line="360" w:lineRule="auto"/>
        <w:ind w:firstLine="567"/>
        <w:jc w:val="center"/>
        <w:rPr>
          <w:rFonts w:ascii="Times New Roman" w:hAnsi="Times New Roman" w:cs="Times New Roman"/>
          <w:b/>
          <w:bCs/>
          <w:sz w:val="28"/>
          <w:szCs w:val="28"/>
        </w:rPr>
      </w:pPr>
      <w:r w:rsidRPr="003149FD">
        <w:rPr>
          <w:rFonts w:ascii="Times New Roman" w:hAnsi="Times New Roman" w:cs="Times New Roman"/>
          <w:b/>
          <w:bCs/>
          <w:sz w:val="28"/>
          <w:szCs w:val="28"/>
        </w:rPr>
        <w:t>ЦИФРОВАЯ РЕКОНСТРУКЦИЯ КАК УЧЕБНЫЙ ИСТОЧНИК</w:t>
      </w:r>
    </w:p>
    <w:p w14:paraId="460A3A05" w14:textId="25AC3933" w:rsidR="003149FD" w:rsidRPr="00127156" w:rsidRDefault="003149FD" w:rsidP="003149FD">
      <w:pPr>
        <w:spacing w:after="0" w:line="360" w:lineRule="auto"/>
        <w:ind w:firstLine="567"/>
        <w:jc w:val="center"/>
        <w:rPr>
          <w:rFonts w:ascii="Times New Roman" w:eastAsia="Calibri" w:hAnsi="Times New Roman" w:cs="Times New Roman"/>
          <w:b/>
          <w:sz w:val="28"/>
          <w:szCs w:val="28"/>
        </w:rPr>
      </w:pPr>
      <w:r w:rsidRPr="00127156">
        <w:rPr>
          <w:rFonts w:ascii="Times New Roman" w:eastAsia="Calibri" w:hAnsi="Times New Roman" w:cs="Times New Roman"/>
          <w:b/>
          <w:sz w:val="28"/>
          <w:szCs w:val="28"/>
        </w:rPr>
        <w:t>Е.В. Калач</w:t>
      </w:r>
    </w:p>
    <w:p w14:paraId="1160BA6B" w14:textId="77777777" w:rsidR="003149FD" w:rsidRPr="00127156" w:rsidRDefault="003149FD" w:rsidP="003149FD">
      <w:pPr>
        <w:spacing w:after="0" w:line="360" w:lineRule="auto"/>
        <w:ind w:firstLine="567"/>
        <w:jc w:val="center"/>
        <w:rPr>
          <w:rFonts w:ascii="Times New Roman" w:eastAsia="Calibri" w:hAnsi="Times New Roman" w:cs="Times New Roman"/>
          <w:b/>
          <w:i/>
          <w:sz w:val="28"/>
          <w:szCs w:val="28"/>
        </w:rPr>
      </w:pPr>
      <w:r w:rsidRPr="00127156">
        <w:rPr>
          <w:rFonts w:ascii="Times New Roman" w:eastAsia="Calibri" w:hAnsi="Times New Roman" w:cs="Times New Roman"/>
          <w:b/>
          <w:i/>
          <w:sz w:val="28"/>
          <w:szCs w:val="28"/>
        </w:rPr>
        <w:t>Федеральное государственное бюджетное образовательное учреждение высшего образования Воронежская государственная академия спорта</w:t>
      </w:r>
    </w:p>
    <w:p w14:paraId="46DC643A" w14:textId="77777777" w:rsidR="003149FD" w:rsidRPr="0056029D" w:rsidRDefault="003149FD" w:rsidP="003149FD">
      <w:pPr>
        <w:spacing w:after="0" w:line="360" w:lineRule="auto"/>
        <w:ind w:firstLine="567"/>
        <w:jc w:val="both"/>
        <w:rPr>
          <w:rFonts w:ascii="Times New Roman" w:hAnsi="Times New Roman" w:cs="Times New Roman"/>
          <w:i/>
          <w:iCs/>
          <w:sz w:val="24"/>
          <w:szCs w:val="24"/>
        </w:rPr>
      </w:pPr>
      <w:r w:rsidRPr="0056029D">
        <w:rPr>
          <w:rFonts w:ascii="Times New Roman" w:hAnsi="Times New Roman" w:cs="Times New Roman"/>
          <w:b/>
          <w:bCs/>
          <w:sz w:val="24"/>
          <w:szCs w:val="24"/>
        </w:rPr>
        <w:t xml:space="preserve">Аннотация: </w:t>
      </w:r>
      <w:r w:rsidRPr="0056029D">
        <w:rPr>
          <w:rFonts w:ascii="Times New Roman" w:hAnsi="Times New Roman" w:cs="Times New Roman"/>
          <w:i/>
          <w:iCs/>
          <w:sz w:val="24"/>
          <w:szCs w:val="24"/>
        </w:rPr>
        <w:t>В статье разбирается, как можно применять цифровой двойник в преподавании истории в вузе. Модель рассматривается как учебная реконструкция исторического объекта, которую нужно проверять по источникам и интерпретировать. Описан учебный кейс: цифровой двойник Воронежской адмиралтейской верфи конца XVII-начала XVIII вв. В эксперименте участвовали 60 студентов Воронежской государственной академии спорта. Контрольная группа 16 недель изучала курс «История России» по традиционной методике, экспериментальная работала с цифровым двойником и выполняла медиапроекты. Сильнее всего группы разошлись по медиакомпетентности и системному мышлению. В конце обсуждаются ограничения метода и то, насколько далеко можно обобщать результаты.</w:t>
      </w:r>
    </w:p>
    <w:p w14:paraId="0FFDD83E" w14:textId="77777777" w:rsidR="003149FD" w:rsidRPr="0056029D" w:rsidRDefault="003149FD" w:rsidP="003149FD">
      <w:pPr>
        <w:spacing w:after="0" w:line="360" w:lineRule="auto"/>
        <w:ind w:firstLine="567"/>
        <w:jc w:val="both"/>
        <w:rPr>
          <w:rFonts w:ascii="Times New Roman" w:hAnsi="Times New Roman" w:cs="Times New Roman"/>
          <w:i/>
          <w:iCs/>
          <w:sz w:val="24"/>
          <w:szCs w:val="24"/>
        </w:rPr>
      </w:pPr>
      <w:r w:rsidRPr="0056029D">
        <w:rPr>
          <w:rFonts w:ascii="Times New Roman" w:hAnsi="Times New Roman" w:cs="Times New Roman"/>
          <w:b/>
          <w:bCs/>
          <w:sz w:val="24"/>
          <w:szCs w:val="24"/>
        </w:rPr>
        <w:t>Ключевые слова:</w:t>
      </w:r>
      <w:r w:rsidRPr="0056029D">
        <w:rPr>
          <w:rFonts w:ascii="Times New Roman" w:hAnsi="Times New Roman" w:cs="Times New Roman"/>
          <w:sz w:val="24"/>
          <w:szCs w:val="24"/>
        </w:rPr>
        <w:t xml:space="preserve"> </w:t>
      </w:r>
      <w:r w:rsidRPr="0056029D">
        <w:rPr>
          <w:rFonts w:ascii="Times New Roman" w:hAnsi="Times New Roman" w:cs="Times New Roman"/>
          <w:i/>
          <w:iCs/>
          <w:sz w:val="24"/>
          <w:szCs w:val="24"/>
        </w:rPr>
        <w:t>цифровой двойник, гуманитарное образование, преподавание истории, историческая реконструкция, медиакомпетентность, критическое мышление, цифровой провенанс, педагогический эксперимент.</w:t>
      </w:r>
    </w:p>
    <w:p w14:paraId="185D8DD4" w14:textId="77777777" w:rsidR="003149FD" w:rsidRPr="0056029D" w:rsidRDefault="003149FD" w:rsidP="003149FD">
      <w:pPr>
        <w:spacing w:after="0" w:line="360" w:lineRule="auto"/>
        <w:ind w:firstLine="567"/>
        <w:jc w:val="both"/>
        <w:rPr>
          <w:rFonts w:ascii="Times New Roman" w:hAnsi="Times New Roman" w:cs="Times New Roman"/>
          <w:i/>
          <w:iCs/>
          <w:sz w:val="24"/>
          <w:szCs w:val="24"/>
          <w:lang w:val="en-US"/>
        </w:rPr>
      </w:pPr>
      <w:r w:rsidRPr="0056029D">
        <w:rPr>
          <w:rFonts w:ascii="Times New Roman" w:hAnsi="Times New Roman" w:cs="Times New Roman"/>
          <w:b/>
          <w:bCs/>
          <w:sz w:val="24"/>
          <w:szCs w:val="24"/>
          <w:lang w:val="en-US"/>
        </w:rPr>
        <w:t>Abstract:</w:t>
      </w:r>
      <w:r w:rsidRPr="0056029D">
        <w:rPr>
          <w:rFonts w:ascii="Times New Roman" w:hAnsi="Times New Roman" w:cs="Times New Roman"/>
          <w:sz w:val="24"/>
          <w:szCs w:val="24"/>
          <w:lang w:val="en-US"/>
        </w:rPr>
        <w:t xml:space="preserve"> </w:t>
      </w:r>
      <w:r w:rsidRPr="0056029D">
        <w:rPr>
          <w:rFonts w:ascii="Times New Roman" w:hAnsi="Times New Roman" w:cs="Times New Roman"/>
          <w:i/>
          <w:iCs/>
          <w:sz w:val="24"/>
          <w:szCs w:val="24"/>
          <w:lang w:val="en-US"/>
        </w:rPr>
        <w:t>The article examines how a digital twin can be used in teaching history at a university. The model is considered a pedagogical reconstruction of a historical object, which needs to be verified using sources and interpreted. A teaching case is described: a digital twin of the Voronezh Admiralty Shipyard from the late 17th to early 18th centuries. Sixty students from the Voronezh State Academy of Sports participated in the experiment. The control group studied the course “History of Russia” using traditional methods for 16 weeks, while the experimental group worked with a digital twin and carried out media projects. The groups diverged most strongly in terms of media competence and systems thinking. At the end, the limitations of the method and how far the results can be generalized are discussed.</w:t>
      </w:r>
    </w:p>
    <w:p w14:paraId="5816C68C" w14:textId="77777777" w:rsidR="003149FD" w:rsidRPr="0056029D" w:rsidRDefault="003149FD" w:rsidP="003149FD">
      <w:pPr>
        <w:spacing w:after="0" w:line="360" w:lineRule="auto"/>
        <w:ind w:firstLine="567"/>
        <w:jc w:val="both"/>
        <w:rPr>
          <w:rFonts w:ascii="Times New Roman" w:hAnsi="Times New Roman" w:cs="Times New Roman"/>
          <w:i/>
          <w:iCs/>
          <w:sz w:val="24"/>
          <w:szCs w:val="24"/>
          <w:lang w:val="en-US"/>
        </w:rPr>
      </w:pPr>
      <w:r w:rsidRPr="0056029D">
        <w:rPr>
          <w:rFonts w:ascii="Times New Roman" w:hAnsi="Times New Roman" w:cs="Times New Roman"/>
          <w:b/>
          <w:bCs/>
          <w:sz w:val="24"/>
          <w:szCs w:val="24"/>
          <w:lang w:val="en-US"/>
        </w:rPr>
        <w:t>Keywords:</w:t>
      </w:r>
      <w:r w:rsidRPr="0056029D">
        <w:rPr>
          <w:rFonts w:ascii="Times New Roman" w:hAnsi="Times New Roman" w:cs="Times New Roman"/>
          <w:sz w:val="24"/>
          <w:szCs w:val="24"/>
          <w:lang w:val="en-US"/>
        </w:rPr>
        <w:t xml:space="preserve"> </w:t>
      </w:r>
      <w:r w:rsidRPr="0056029D">
        <w:rPr>
          <w:rFonts w:ascii="Times New Roman" w:hAnsi="Times New Roman" w:cs="Times New Roman"/>
          <w:i/>
          <w:iCs/>
          <w:sz w:val="24"/>
          <w:szCs w:val="24"/>
          <w:lang w:val="en-US"/>
        </w:rPr>
        <w:t>digital twin, humanities education, history teaching, historical reconstruction, media competence, critical thinking, digital provenance, pedagogical experiment.</w:t>
      </w:r>
    </w:p>
    <w:p w14:paraId="7CCBBC1A"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 xml:space="preserve">«Цифровой двойник» пришел в педагогику из промышленности. Термин сложился, когда цифровыми копиями начали сопровождать жизненный цикл промышленных изделий, и только потом его перенесли на транспорт, </w:t>
      </w:r>
      <w:r w:rsidRPr="0056029D">
        <w:rPr>
          <w:rFonts w:ascii="Times New Roman" w:hAnsi="Times New Roman" w:cs="Times New Roman"/>
          <w:sz w:val="28"/>
          <w:szCs w:val="28"/>
        </w:rPr>
        <w:lastRenderedPageBreak/>
        <w:t>медицину, строительство и сельское хозяйство. В образовании его тоже сначала связывали с инженерными дисциплинами и цифровыми лабораториями. Гуманитарный курс в этой системе долго выглядел чужим. Причина понятна. Промышленный объект описывается параметрами: размерами, нагрузками, температурами. В образовании формализовать данные заметно труднее, потому что оно относится к социальной сфере, а ее процессы плохо укладываются в алгоритмы. [2; 73] С историей еще сложнее. Прошлое нельзя подключить к датчикам. Его можно только реконструировать по источникам, а они неполны, противоречат друг другу и всегда кем-то написаны.</w:t>
      </w:r>
    </w:p>
    <w:p w14:paraId="2EFC2A15"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Именно в этом и есть педагогический смысл. Цифровой двойник исторического объекта не может быть «точной копией», поэтому студенту приходится выяснять, на чем держится каждая деталь модели. Для исторического образования это главный навык. Изучать историю – значит понимать смысл событий, видеть логику процесса и устанавливать причинно-следственные связи, а не заучивать факты. Модель, в которой видно, где документ, а где догадка реконструктора, тренирует это лучше пересказа параграфа. Есть и внешний фактор. В открытом интернете много антинаучных и искаженных версий прошлого, которые деформируют историческую память. [8; 86] Студенты все чаще обращаются к медиатекстам со скрытой манипуляцией и дезинформацией. [9; 380] Яркая 3D-реконструкция может ввести в заблуждение сильнее любого текста: ее убедительность почти не зависит от ее достоверности. Поэтому работу с цифровым двойником в историческом курсе мы считаем частью медиаобразования, а не только технологическим новшеством.</w:t>
      </w:r>
    </w:p>
    <w:p w14:paraId="1AE72C31"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 xml:space="preserve">В российской практике понятие «цифровой двойник» закреплено стандартом ГОСТ Р 57700.37-2021 «Компьютерные модели и моделирование. Цифровые двойники изделий». [2; 74] Если обобщить определения стандарта, цифровая модель – это система математических и компьютерных моделей и электронных документов, которая описывает структуру, функции и поведение </w:t>
      </w:r>
      <w:r w:rsidRPr="0056029D">
        <w:rPr>
          <w:rFonts w:ascii="Times New Roman" w:hAnsi="Times New Roman" w:cs="Times New Roman"/>
          <w:sz w:val="28"/>
          <w:szCs w:val="28"/>
        </w:rPr>
        <w:lastRenderedPageBreak/>
        <w:t>объекта на разных стадиях жизненного цикла. Цифровой двойник отличается от модели двусторонней информационной связью между физическим и цифровым объектом.</w:t>
      </w:r>
    </w:p>
    <w:p w14:paraId="31970EFF"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У прошлого двусторонней связи в инженерном смысле нет. Верфь, которой больше не существует, не передает данных. Буквальный перенос термина поэтому не работает, и это видно по литературе. В исторической науке термин «цифровой двойник» пока мало распространен, хотя в смежных социальных науках его используют. Л.К. Каримова и А.А. Селезнева при этом считают концепцию универсальной: ею можно описывать разные формы цифровой реконструкции исторических объектов, включая исторические личности. [5; 146] Их работа дает удобную рамку для педагогики. Цифровой двойник исторической личности авторы определяют как цифровую модель человека, которая воспроизводит его черты на основе данных исторических источников. По технологической сложности они выделяют три типа. Первый адекватно передает черты реконструируемой личности в виртуальном виде. Второй добавляет адаптивный интерфейс для взаимодействия с пользователем. Третий, интеллектуальный, может сам обучаться на потоке данных. Еще один тип авторы относят к будущему: когнитивные двойники на основе графов знаний, которые поддерживают принятие решений исходя из опыта и ценностей исторической личности. [5; 148]</w:t>
      </w:r>
    </w:p>
    <w:p w14:paraId="0B271326"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 xml:space="preserve">Классификация полезна преподавателю по простой причине: ее критерии совпадают с тем, что студент должен уметь оценивать. Авторы предлагают учитывать степень детализации объекта, уровень интерактивности, способность модели обучаться и адаптироваться, интеграцию с другими технологиями. Другой взгляд на проблему предлагает музеология. А.В. Молодин предлагает видеть в цифровом двойнике не вторичную «копию», а «контейнер ответственности», то есть самостоятельную единицу охраны утраченного наследия. [6; 62] В его понимании двойник состоит из нескольких слоев: описательного, доказательного, процедурного и правового. Знание об утраченном предмете становится легитимным благодаря цифровому </w:t>
      </w:r>
      <w:r w:rsidRPr="0056029D">
        <w:rPr>
          <w:rFonts w:ascii="Times New Roman" w:hAnsi="Times New Roman" w:cs="Times New Roman"/>
          <w:sz w:val="28"/>
          <w:szCs w:val="28"/>
        </w:rPr>
        <w:lastRenderedPageBreak/>
        <w:t>провенансу (истории происхождения сведений) и журналу изменений. История правок – это форма институциональной памяти, которая делает ответственность наблюдаемой.</w:t>
      </w:r>
    </w:p>
    <w:p w14:paraId="7516495B"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Для преподавателя истории это почти готовая методическая схема. Двойник, у которого есть доказательный слой и журнал изменений, нельзя просто «посмотреть». Его можно проверить. А.В. Молодин делает вывод, что цифровой двойник обеспечивает проверяемость знания об утраченном артефакте. [6; 63] Ради этого гуманитарному курсу и нужна такая модель.</w:t>
      </w:r>
    </w:p>
    <w:p w14:paraId="73091CDE"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Педагогическая литература смотрит на цифровых двойников шире, чем историческая реконструкция. В.В. Вихман и М.В. Ромм в 2021 году писали о методологии цифровых двойников в образовании. Они предупреждали, что со временем может сложиться сеть двойников разных социальных акторов образования, и ставили вопрос о социальных последствиях этого процесса. [1; 26] Там же обсуждались управленческий потенциал методологии и трудности ее практического применения.</w:t>
      </w:r>
    </w:p>
    <w:p w14:paraId="3FA577BF"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Т.Н. Гурьева, Л.Ю. Шарабаева и А.М. Атаян предложили структурную модель цифровых двойников дисциплины, преподавателя и студента на основе пятиэлементной схемы. [2; 75] Ее виртуальный элемент воспроизводит функции объекта и использует моделирование процессов обучения, поведения и представления знаний. Генеральный источник данных отвечает за их очистку, интеграцию, хранение, анализ, визуализацию и проверку целостности. Похожую логику К.М. Бондарь, В.С. Дунин и А.В. Кантышева применили к электронному обучению в вузах системы МВД России. Они наметили несколько уровней моделирования: учебные дисциплины, межпредметный набор компетенций и другие формы интеграции. [7; 28]</w:t>
      </w:r>
    </w:p>
    <w:p w14:paraId="49EFA10B"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 xml:space="preserve">Оптимизм в литературе сочетается с осторожностью. С.И. Черных в редакционной статье о цифровых двойниках говорит не только о новых возможностях для образовательных практик, но и о рисках [3; 381]. О.В. Фотина называет конкретный риск. Цифровая личность позволяет экспериментировать с разными сторонами идентичности, а цифровой двойник </w:t>
      </w:r>
      <w:r w:rsidRPr="0056029D">
        <w:rPr>
          <w:rFonts w:ascii="Times New Roman" w:hAnsi="Times New Roman" w:cs="Times New Roman"/>
          <w:sz w:val="28"/>
          <w:szCs w:val="28"/>
        </w:rPr>
        <w:lastRenderedPageBreak/>
        <w:t>дает инструменты для анализа и прогнозирования поведения. [4; 22] При этом разрыв между реальной и цифровой личностью может исказить идентичность.</w:t>
      </w:r>
    </w:p>
    <w:p w14:paraId="090207DA"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Для истории это предупреждение звучит особенно остро. Исторический курс формирует историческое сознание, а его концепция преподавания называет важнейшей составляющей гражданской и национальной идентичности. [8; 86] Если интерактивный Петр I отвечает студенту фразами, которых исторический Петр никогда не говорил, он вредит учебной задаче. Граница между реконструкцией и вымыслом должна быть видна в самой модели. Отсюда первое требование к учебному двойнику. Это не тренажер, где можно безопасно ошибиться, как в инженерном курсе, а объект критического анализа. Студент работает с ним и одновременно постоянно спрашивает себя, откуда модель «знает» то, что показывает.</w:t>
      </w:r>
    </w:p>
    <w:p w14:paraId="2DF3FC68"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Цифровой двойник не появляется в историческом курсе на пустом месте. Цифровизация уже дала дисциплине электронные коллекции источников, сетевые просветительские платформы, базы данных и методы компьютерной обработки исторической информации. Сложилось междисциплинарное направление – цифровые гуманитарные науки. [8; 88] В практике преподавания используют виртуальные музеи, онлайн-архивы, интерактивные временные шкалы и исторические карты с динамическими слоями. При этом проблемы применения цифровых технологий в социально-гуманитарных дисциплинах изучены слабее, чем в точных. История среди гуманитарных наук выделяется комплексным подходом к изучению общества, а комплексность плохо сочетается с простыми цифровыми форматами вроде теста с одним правильным ответом.</w:t>
      </w:r>
    </w:p>
    <w:p w14:paraId="0426DCD4"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Инновационные методы преподавания истории – это еще и проблемное обучение на исторических кейсах, дебаты, проектная работа от презентаций до подкастов, элементы геймификации. Цифровой двойник собирает многие из этих форм вместе. Карта становится пространством модели, временная шкала – ее динамикой, источник – доказательным слоем, а проект – способом рассказать о модели публично.</w:t>
      </w:r>
    </w:p>
    <w:p w14:paraId="61F26996"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lastRenderedPageBreak/>
        <w:t xml:space="preserve">Студент встречается с прошлым в основном через медиа. Цифровой двойник – тоже медиатекст, причем очень убедительный. Он визуален, интерактивен и выглядит как само прошлое. Поэтому разбирать его нужно с той же строгостью, что и публицистическую статью. Работа с медиатекстами требует аналитических, интерпретационных, оценочных и рефлексивных умений. Эмпирические данные показывают, что эти составляющие развиваются с разной скоростью. Аналитический компонент критического мышления дает значимые сдвиги уже за один семестр, а рефлексивный при коротком вмешательстве почти не меняется. Методический вывод из этого: вопрос «почему я доверяю этой детали модели» нужно задавать регулярно, на протяжении всего курса. Уровень критического мышления студентов положительно связан с тем, насколько активно они пользуются цифровыми образовательными ресурсами и участвуют в онлайн-дискуссиях. Но активность сама не гарантирует результата. </w:t>
      </w:r>
    </w:p>
    <w:p w14:paraId="2BC97EA7"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Для кейса выбрали воронежский материал. Студентам академии город знаком, а петровское кораблестроение – одна из сквозных тем курса истории России. Местный объект снимает дистанцию: события 1690-х годов происходили там, где студенты живут сейчас.</w:t>
      </w:r>
    </w:p>
    <w:p w14:paraId="6C0C9A5E"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 xml:space="preserve">Мы выделили четыре компетенции, формированию которых способствует учебный двойник. </w:t>
      </w:r>
    </w:p>
    <w:p w14:paraId="3A8AEFDA"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1. Исторические знания – понимание событий в их связях. Студент объясняет причины, ход и последствия, а не перечисляет даты, и опирается на историческую методологию.</w:t>
      </w:r>
    </w:p>
    <w:p w14:paraId="7F2040A7"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2. Работа с источниками. Студент отличает документ от пересказа, выясняет происхождение и назначение источника, сопоставляет свидетельства. В модели этому соответствует доказательный слой, который выделяет А.В. Молодин.</w:t>
      </w:r>
    </w:p>
    <w:p w14:paraId="135D4B4B"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 xml:space="preserve">3. Системное мышление. Строительство флота на реке Воронеж связано с внешней политикой, с мобилизацией работников, с лесными ресурсами края, </w:t>
      </w:r>
      <w:r w:rsidRPr="0056029D">
        <w:rPr>
          <w:rFonts w:ascii="Times New Roman" w:hAnsi="Times New Roman" w:cs="Times New Roman"/>
          <w:sz w:val="28"/>
          <w:szCs w:val="28"/>
        </w:rPr>
        <w:lastRenderedPageBreak/>
        <w:t>с повседневной жизнью города. Модель, где все эти линии видны одновременно, учит удерживать их вместе.</w:t>
      </w:r>
    </w:p>
    <w:p w14:paraId="7D1E4333"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4. Медиакомпетентность. Студент оценивает цифровую реконструкцию как сообщение: отличает установленное от предположенного, замечает, где визуальная убедительность подменяет доказательство. Сама по себе эта компетенция не возникает, ее нужно формировать заданиями.</w:t>
      </w:r>
    </w:p>
    <w:p w14:paraId="0D04FC42"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Цифровой двойник Воронежской адмиралтейской верфи предполагает наличие четырех элементов: 1) описательный – пространственная реконструкция верфи и прилегающей части города с привязкой к современной карте. Это то, что студент видит первым. 2) доказательный – каждый элемент модели связан с документом, планом, изобразительным источником или аналогией. Элементы разделены на три уровня: «подтверждено источником», «реконструировано по аналогии», «гипотеза». Студент в любой момент видит, к какому уровню относится объект. 3) процедурный – журнал изменений. Когда студенческая группа находит источник, уточняющий деталь, она предлагает правку, обосновывает ее и фиксирует в журнале. Правку утверждает преподаватель. Так студенты сами создают ту «историю правок», которую А.В. Молодин считает формой институциональной памяти. [6; 63] 4) событийный – временная шкала. Можно переключаться между этапами: начало строительства, спуск кораблей, перенос центра кораблестроения. Модель показывает процесс, а не застывший кадр.</w:t>
      </w:r>
    </w:p>
    <w:p w14:paraId="134E25DA"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Финальным результатом работы может быть создание медиапроекта, т.е. публичный рассказ о модели: подкаст, видеоролик или интерактивная лента. В нем обязательно должен быть фрагмент о том, что в реконструкции известно точно, а что остаётся предположением.</w:t>
      </w:r>
    </w:p>
    <w:p w14:paraId="380EE6AD"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 xml:space="preserve">Подход проверяли в педагогическом эксперименте по схеме «контрольная группа – экспериментальная группа» с замерами до и после обучения. Участвовали 60 студентов Воронежской государственной академии спорта направления подготовки </w:t>
      </w:r>
      <w:r w:rsidRPr="0056029D">
        <w:rPr>
          <w:rFonts w:ascii="Times New Roman" w:eastAsia="Times New Roman" w:hAnsi="Times New Roman" w:cs="Times New Roman"/>
          <w:sz w:val="28"/>
          <w:szCs w:val="28"/>
          <w:lang w:eastAsia="ru-RU"/>
        </w:rPr>
        <w:t>49.03.04. «Спорт» и 49.03.03 «Рекреация и спортивно-оздоровительный туризм»</w:t>
      </w:r>
      <w:r w:rsidRPr="0056029D">
        <w:rPr>
          <w:rFonts w:ascii="Times New Roman" w:hAnsi="Times New Roman" w:cs="Times New Roman"/>
          <w:sz w:val="28"/>
          <w:szCs w:val="28"/>
        </w:rPr>
        <w:t xml:space="preserve"> по 30 человек в группе. Обе группы </w:t>
      </w:r>
      <w:r w:rsidRPr="0056029D">
        <w:rPr>
          <w:rFonts w:ascii="Times New Roman" w:hAnsi="Times New Roman" w:cs="Times New Roman"/>
          <w:sz w:val="28"/>
          <w:szCs w:val="28"/>
        </w:rPr>
        <w:lastRenderedPageBreak/>
        <w:t>изучали дисциплину «История», одинаковыми были объем часов и тематический план.</w:t>
      </w:r>
    </w:p>
    <w:p w14:paraId="2EB44374"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 xml:space="preserve">Контрольная группа (КГ) занималась традиционно: лекции, семинары, анализ источников, устные опросы и письменные работы. В экспериментальной группе (ЭГ) в курс включили цифровой двойник Воронежской адмиралтейской верфи. Студенты проходили четыре учебных сценария, вели журнал изменений модели и готовили медиапроекты. Преподаватель регулярно комментировал предложенные правки. До и после обучения результаты оценивали по 100-балльной шкале по четырем критериям: исторические знания, работа с источниками, системное мышление и медиакомпетентность. Отдельный критерий медиакомпетентности позволил проверить, меняется ли умение критически читать цифровую реконструкцию, а не только знание материала. </w:t>
      </w:r>
    </w:p>
    <w:p w14:paraId="548C935A"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До начала обучения группы почти не различались ни по одному критерию. Через несколько недель баллы выросли в обеих, но в экспериментальной сильнее по каждой строке таблицы. Средний прирост в ЭГ – 27,3 балла, в КГ – 9,8. Различия приростов статистически значимы по t-критерию Стьюдента (*p* &lt; 0,001).</w:t>
      </w:r>
    </w:p>
    <w:p w14:paraId="2FFDD836"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Самая большая разница – по медиакомпетентности. В ЭГ средний балл вырос с 39,9 до 73,1, в КГ – с 40,1 до 43,5. Контрольная группа прибавила лишь 3,4 балла. Это ожидаемо: в традиционном курсе не было заданий, где цифровую реконструкцию нужно было разбирать как сообщение. Этот результат согласуется с данными о том, что аналитическое чтение медиатекстов развивается при специально организованной работе. [10; 392]</w:t>
      </w:r>
    </w:p>
    <w:p w14:paraId="385C5467"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Системное мышление в ЭГ выросло на 29,7 балла, в КГ – на 11,1 (d = 3,98). Скорее всего, сработал событийный слой и третий сценарий. Достраивая линию обеспечения верфи, студент вынужден связывать ее с политикой, экономикой и жизнью города. Таблица, однако, не показывает, что именно дало эффект: модель, задания или комментарии преподавателя.</w:t>
      </w:r>
    </w:p>
    <w:p w14:paraId="491EC384"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lastRenderedPageBreak/>
        <w:t xml:space="preserve">По работе с источниками разница d = 2,89. Здесь, видимо, важна повторяемость: характеристика элемента и каждая правка в журнале требовали восстановить цепочку оснований. </w:t>
      </w:r>
    </w:p>
    <w:p w14:paraId="3C3F7F76"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Меньше всего различаются исторические знания: +20,1 в ЭГ против +12,3 в КГ (d = 1,48). Лекции и семинары и без модели хорошо передают фактологию. Цифровые инструменты повышают интерес и вовлечённость, но основу знаний по-прежнему закладывают традиционные формы работы.</w:t>
      </w:r>
    </w:p>
    <w:p w14:paraId="6B09A9E8" w14:textId="77777777" w:rsidR="003149FD" w:rsidRPr="0056029D" w:rsidRDefault="003149FD" w:rsidP="003149FD">
      <w:pPr>
        <w:spacing w:after="0" w:line="360" w:lineRule="auto"/>
        <w:ind w:firstLine="567"/>
        <w:jc w:val="both"/>
        <w:rPr>
          <w:rFonts w:ascii="Times New Roman" w:hAnsi="Times New Roman" w:cs="Times New Roman"/>
          <w:sz w:val="28"/>
          <w:szCs w:val="28"/>
        </w:rPr>
      </w:pPr>
    </w:p>
    <w:tbl>
      <w:tblPr>
        <w:tblStyle w:val="a3"/>
        <w:tblW w:w="0" w:type="auto"/>
        <w:tblLook w:val="04A0" w:firstRow="1" w:lastRow="0" w:firstColumn="1" w:lastColumn="0" w:noHBand="0" w:noVBand="1"/>
      </w:tblPr>
      <w:tblGrid>
        <w:gridCol w:w="2532"/>
        <w:gridCol w:w="931"/>
        <w:gridCol w:w="1025"/>
        <w:gridCol w:w="1010"/>
        <w:gridCol w:w="932"/>
        <w:gridCol w:w="1025"/>
        <w:gridCol w:w="772"/>
        <w:gridCol w:w="1118"/>
      </w:tblGrid>
      <w:tr w:rsidR="003149FD" w:rsidRPr="0056029D" w14:paraId="5D36E2D9" w14:textId="77777777" w:rsidTr="004F6128">
        <w:tc>
          <w:tcPr>
            <w:tcW w:w="2531" w:type="dxa"/>
          </w:tcPr>
          <w:p w14:paraId="6CC81387"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Критерий</w:t>
            </w:r>
          </w:p>
        </w:tc>
        <w:tc>
          <w:tcPr>
            <w:tcW w:w="941" w:type="dxa"/>
          </w:tcPr>
          <w:p w14:paraId="52A211C3"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КГ до</w:t>
            </w:r>
          </w:p>
        </w:tc>
        <w:tc>
          <w:tcPr>
            <w:tcW w:w="1033" w:type="dxa"/>
          </w:tcPr>
          <w:p w14:paraId="2E903916"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КГ после</w:t>
            </w:r>
          </w:p>
        </w:tc>
        <w:tc>
          <w:tcPr>
            <w:tcW w:w="1018" w:type="dxa"/>
          </w:tcPr>
          <w:p w14:paraId="6DEAD343"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Δ КГ</w:t>
            </w:r>
          </w:p>
        </w:tc>
        <w:tc>
          <w:tcPr>
            <w:tcW w:w="942" w:type="dxa"/>
          </w:tcPr>
          <w:p w14:paraId="64B79C1C"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ЭГ до</w:t>
            </w:r>
          </w:p>
        </w:tc>
        <w:tc>
          <w:tcPr>
            <w:tcW w:w="1033" w:type="dxa"/>
          </w:tcPr>
          <w:p w14:paraId="72ECD83A"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ЭГ после</w:t>
            </w:r>
          </w:p>
        </w:tc>
        <w:tc>
          <w:tcPr>
            <w:tcW w:w="719" w:type="dxa"/>
          </w:tcPr>
          <w:p w14:paraId="03302528"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Δ ЭГ</w:t>
            </w:r>
          </w:p>
        </w:tc>
        <w:tc>
          <w:tcPr>
            <w:tcW w:w="1128" w:type="dxa"/>
          </w:tcPr>
          <w:p w14:paraId="690E1B36"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d Коэна</w:t>
            </w:r>
          </w:p>
        </w:tc>
      </w:tr>
      <w:tr w:rsidR="003149FD" w:rsidRPr="0056029D" w14:paraId="606BB7B1" w14:textId="77777777" w:rsidTr="004F6128">
        <w:tc>
          <w:tcPr>
            <w:tcW w:w="2531" w:type="dxa"/>
          </w:tcPr>
          <w:p w14:paraId="1DA995D2"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Исторические знания</w:t>
            </w:r>
          </w:p>
        </w:tc>
        <w:tc>
          <w:tcPr>
            <w:tcW w:w="941" w:type="dxa"/>
          </w:tcPr>
          <w:p w14:paraId="0DE55DDA"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51,8</w:t>
            </w:r>
          </w:p>
        </w:tc>
        <w:tc>
          <w:tcPr>
            <w:tcW w:w="1033" w:type="dxa"/>
          </w:tcPr>
          <w:p w14:paraId="334E2F64"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64,1</w:t>
            </w:r>
          </w:p>
        </w:tc>
        <w:tc>
          <w:tcPr>
            <w:tcW w:w="1018" w:type="dxa"/>
          </w:tcPr>
          <w:p w14:paraId="597CD5D6"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+12,3</w:t>
            </w:r>
          </w:p>
        </w:tc>
        <w:tc>
          <w:tcPr>
            <w:tcW w:w="942" w:type="dxa"/>
          </w:tcPr>
          <w:p w14:paraId="252449A9"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52,3</w:t>
            </w:r>
          </w:p>
        </w:tc>
        <w:tc>
          <w:tcPr>
            <w:tcW w:w="1033" w:type="dxa"/>
          </w:tcPr>
          <w:p w14:paraId="7C2AA6D7"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72,4</w:t>
            </w:r>
          </w:p>
        </w:tc>
        <w:tc>
          <w:tcPr>
            <w:tcW w:w="719" w:type="dxa"/>
          </w:tcPr>
          <w:p w14:paraId="0B4F8D21"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+20,1</w:t>
            </w:r>
          </w:p>
        </w:tc>
        <w:tc>
          <w:tcPr>
            <w:tcW w:w="1128" w:type="dxa"/>
          </w:tcPr>
          <w:p w14:paraId="05E5EAC2"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1,48</w:t>
            </w:r>
          </w:p>
        </w:tc>
      </w:tr>
      <w:tr w:rsidR="003149FD" w:rsidRPr="0056029D" w14:paraId="41EFD3EE" w14:textId="77777777" w:rsidTr="004F6128">
        <w:tc>
          <w:tcPr>
            <w:tcW w:w="2531" w:type="dxa"/>
          </w:tcPr>
          <w:p w14:paraId="1F72E961"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Работа с источниками</w:t>
            </w:r>
          </w:p>
        </w:tc>
        <w:tc>
          <w:tcPr>
            <w:tcW w:w="941" w:type="dxa"/>
          </w:tcPr>
          <w:p w14:paraId="166FED2E"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48,1</w:t>
            </w:r>
          </w:p>
        </w:tc>
        <w:tc>
          <w:tcPr>
            <w:tcW w:w="1033" w:type="dxa"/>
          </w:tcPr>
          <w:p w14:paraId="5EEAC75D"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60,6</w:t>
            </w:r>
          </w:p>
        </w:tc>
        <w:tc>
          <w:tcPr>
            <w:tcW w:w="1018" w:type="dxa"/>
          </w:tcPr>
          <w:p w14:paraId="6FEF29D4"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+12,5</w:t>
            </w:r>
          </w:p>
        </w:tc>
        <w:tc>
          <w:tcPr>
            <w:tcW w:w="942" w:type="dxa"/>
          </w:tcPr>
          <w:p w14:paraId="45248B33"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47,9</w:t>
            </w:r>
          </w:p>
        </w:tc>
        <w:tc>
          <w:tcPr>
            <w:tcW w:w="1033" w:type="dxa"/>
          </w:tcPr>
          <w:p w14:paraId="25FCEDA2"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74,0</w:t>
            </w:r>
          </w:p>
        </w:tc>
        <w:tc>
          <w:tcPr>
            <w:tcW w:w="719" w:type="dxa"/>
          </w:tcPr>
          <w:p w14:paraId="73352BFA"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+26,1</w:t>
            </w:r>
          </w:p>
        </w:tc>
        <w:tc>
          <w:tcPr>
            <w:tcW w:w="1128" w:type="dxa"/>
          </w:tcPr>
          <w:p w14:paraId="59E504A3"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2,89</w:t>
            </w:r>
          </w:p>
        </w:tc>
      </w:tr>
      <w:tr w:rsidR="003149FD" w:rsidRPr="0056029D" w14:paraId="2A64285A" w14:textId="77777777" w:rsidTr="004F6128">
        <w:tc>
          <w:tcPr>
            <w:tcW w:w="2531" w:type="dxa"/>
          </w:tcPr>
          <w:p w14:paraId="28A22ED3"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Системное мышление</w:t>
            </w:r>
          </w:p>
        </w:tc>
        <w:tc>
          <w:tcPr>
            <w:tcW w:w="941" w:type="dxa"/>
          </w:tcPr>
          <w:p w14:paraId="70EB1490"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45,2</w:t>
            </w:r>
          </w:p>
        </w:tc>
        <w:tc>
          <w:tcPr>
            <w:tcW w:w="1033" w:type="dxa"/>
          </w:tcPr>
          <w:p w14:paraId="0580D632"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56,3</w:t>
            </w:r>
          </w:p>
        </w:tc>
        <w:tc>
          <w:tcPr>
            <w:tcW w:w="1018" w:type="dxa"/>
          </w:tcPr>
          <w:p w14:paraId="3AA5F5A2"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+11,1</w:t>
            </w:r>
          </w:p>
        </w:tc>
        <w:tc>
          <w:tcPr>
            <w:tcW w:w="942" w:type="dxa"/>
          </w:tcPr>
          <w:p w14:paraId="0BCD2DE8"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44,8</w:t>
            </w:r>
          </w:p>
        </w:tc>
        <w:tc>
          <w:tcPr>
            <w:tcW w:w="1033" w:type="dxa"/>
          </w:tcPr>
          <w:p w14:paraId="5966DFE4"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74,5</w:t>
            </w:r>
          </w:p>
        </w:tc>
        <w:tc>
          <w:tcPr>
            <w:tcW w:w="719" w:type="dxa"/>
          </w:tcPr>
          <w:p w14:paraId="5AA81A06"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+29,7</w:t>
            </w:r>
          </w:p>
        </w:tc>
        <w:tc>
          <w:tcPr>
            <w:tcW w:w="1128" w:type="dxa"/>
          </w:tcPr>
          <w:p w14:paraId="7DFB3D1B"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3,98</w:t>
            </w:r>
          </w:p>
        </w:tc>
      </w:tr>
      <w:tr w:rsidR="003149FD" w:rsidRPr="0056029D" w14:paraId="1989AE44" w14:textId="77777777" w:rsidTr="004F6128">
        <w:tc>
          <w:tcPr>
            <w:tcW w:w="2531" w:type="dxa"/>
          </w:tcPr>
          <w:p w14:paraId="5F6CBBC4"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Медиакомпетентность</w:t>
            </w:r>
          </w:p>
        </w:tc>
        <w:tc>
          <w:tcPr>
            <w:tcW w:w="941" w:type="dxa"/>
          </w:tcPr>
          <w:p w14:paraId="696C3B72"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40,1</w:t>
            </w:r>
          </w:p>
        </w:tc>
        <w:tc>
          <w:tcPr>
            <w:tcW w:w="1033" w:type="dxa"/>
          </w:tcPr>
          <w:p w14:paraId="78317E2B"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43,5</w:t>
            </w:r>
          </w:p>
        </w:tc>
        <w:tc>
          <w:tcPr>
            <w:tcW w:w="1018" w:type="dxa"/>
          </w:tcPr>
          <w:p w14:paraId="1DC23E32"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+3,4</w:t>
            </w:r>
          </w:p>
        </w:tc>
        <w:tc>
          <w:tcPr>
            <w:tcW w:w="942" w:type="dxa"/>
          </w:tcPr>
          <w:p w14:paraId="3FD8C055"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39,9</w:t>
            </w:r>
          </w:p>
        </w:tc>
        <w:tc>
          <w:tcPr>
            <w:tcW w:w="1033" w:type="dxa"/>
          </w:tcPr>
          <w:p w14:paraId="7957513F"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73,1</w:t>
            </w:r>
          </w:p>
        </w:tc>
        <w:tc>
          <w:tcPr>
            <w:tcW w:w="719" w:type="dxa"/>
          </w:tcPr>
          <w:p w14:paraId="25D4CBF5"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+33,2</w:t>
            </w:r>
          </w:p>
        </w:tc>
        <w:tc>
          <w:tcPr>
            <w:tcW w:w="1128" w:type="dxa"/>
          </w:tcPr>
          <w:p w14:paraId="6FA14966"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7,31</w:t>
            </w:r>
          </w:p>
        </w:tc>
      </w:tr>
      <w:tr w:rsidR="003149FD" w:rsidRPr="0056029D" w14:paraId="6CE37C2D" w14:textId="77777777" w:rsidTr="004F6128">
        <w:tc>
          <w:tcPr>
            <w:tcW w:w="2531" w:type="dxa"/>
          </w:tcPr>
          <w:p w14:paraId="51EF22DF"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Среднее</w:t>
            </w:r>
          </w:p>
        </w:tc>
        <w:tc>
          <w:tcPr>
            <w:tcW w:w="941" w:type="dxa"/>
          </w:tcPr>
          <w:p w14:paraId="5E199961"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46,3</w:t>
            </w:r>
          </w:p>
        </w:tc>
        <w:tc>
          <w:tcPr>
            <w:tcW w:w="1033" w:type="dxa"/>
          </w:tcPr>
          <w:p w14:paraId="171E0C50"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56,1</w:t>
            </w:r>
          </w:p>
        </w:tc>
        <w:tc>
          <w:tcPr>
            <w:tcW w:w="1018" w:type="dxa"/>
          </w:tcPr>
          <w:p w14:paraId="76CB0604"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+9,8</w:t>
            </w:r>
          </w:p>
        </w:tc>
        <w:tc>
          <w:tcPr>
            <w:tcW w:w="942" w:type="dxa"/>
          </w:tcPr>
          <w:p w14:paraId="65B2C70E"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46,2</w:t>
            </w:r>
          </w:p>
        </w:tc>
        <w:tc>
          <w:tcPr>
            <w:tcW w:w="1033" w:type="dxa"/>
          </w:tcPr>
          <w:p w14:paraId="168B4AD1"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73,5</w:t>
            </w:r>
          </w:p>
        </w:tc>
        <w:tc>
          <w:tcPr>
            <w:tcW w:w="719" w:type="dxa"/>
          </w:tcPr>
          <w:p w14:paraId="78C1E886"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+27,3</w:t>
            </w:r>
          </w:p>
        </w:tc>
        <w:tc>
          <w:tcPr>
            <w:tcW w:w="1128" w:type="dxa"/>
          </w:tcPr>
          <w:p w14:paraId="42024A26" w14:textId="77777777" w:rsidR="003149FD" w:rsidRPr="0056029D" w:rsidRDefault="003149FD" w:rsidP="004F6128">
            <w:pPr>
              <w:spacing w:line="360" w:lineRule="auto"/>
              <w:jc w:val="both"/>
              <w:rPr>
                <w:rFonts w:ascii="Times New Roman" w:hAnsi="Times New Roman" w:cs="Times New Roman"/>
                <w:sz w:val="24"/>
                <w:szCs w:val="24"/>
              </w:rPr>
            </w:pPr>
            <w:r w:rsidRPr="0056029D">
              <w:rPr>
                <w:rFonts w:ascii="Times New Roman" w:hAnsi="Times New Roman" w:cs="Times New Roman"/>
                <w:sz w:val="24"/>
                <w:szCs w:val="24"/>
              </w:rPr>
              <w:t>3,92</w:t>
            </w:r>
          </w:p>
        </w:tc>
      </w:tr>
    </w:tbl>
    <w:p w14:paraId="6E1FCB86" w14:textId="77777777" w:rsidR="003149FD" w:rsidRPr="0056029D" w:rsidRDefault="003149FD" w:rsidP="003149FD">
      <w:pPr>
        <w:spacing w:after="0" w:line="360" w:lineRule="auto"/>
        <w:ind w:firstLine="567"/>
        <w:jc w:val="both"/>
        <w:rPr>
          <w:rFonts w:ascii="Times New Roman" w:hAnsi="Times New Roman" w:cs="Times New Roman"/>
          <w:sz w:val="24"/>
          <w:szCs w:val="24"/>
        </w:rPr>
      </w:pPr>
      <w:r w:rsidRPr="0056029D">
        <w:rPr>
          <w:rFonts w:ascii="Times New Roman" w:hAnsi="Times New Roman" w:cs="Times New Roman"/>
          <w:sz w:val="24"/>
          <w:szCs w:val="24"/>
        </w:rPr>
        <w:t>Таблица 1. Средние баллы по критериям до и после обучения (КГ – контрольная группа; ЭГ – экспериментальная группа; Δ – изменение среднего балла за период обучения).</w:t>
      </w:r>
    </w:p>
    <w:p w14:paraId="54CFB336"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Ценность модели в историческом курсе не в наглядности, а в проверяемости. Если у модели есть уровни достоверности и журнал правок, студент учится отделять установленное от реконструированного. В среде, где много псевдонаучных версий прошлого, это умение нужно не меньше знания фактов.</w:t>
      </w:r>
    </w:p>
    <w:p w14:paraId="3F1B0F3C"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В эксперименте с 60 студентами Воронежской государственной академии спорта прирост в экспериментальной группе был выше по всем четырем критериям (*p* &lt; 0,001). Самые большие эффекты – по медиакомпетентности и системному мышлению. Эти результаты описывают действие программы в целом, а не изолированный вклад модели.</w:t>
      </w:r>
    </w:p>
    <w:p w14:paraId="0C244ADD" w14:textId="77777777" w:rsidR="003149FD" w:rsidRPr="0056029D" w:rsidRDefault="003149FD" w:rsidP="003149FD">
      <w:pPr>
        <w:spacing w:after="0" w:line="360" w:lineRule="auto"/>
        <w:ind w:firstLine="567"/>
        <w:jc w:val="both"/>
        <w:rPr>
          <w:rFonts w:ascii="Times New Roman" w:hAnsi="Times New Roman" w:cs="Times New Roman"/>
          <w:sz w:val="28"/>
          <w:szCs w:val="28"/>
        </w:rPr>
      </w:pPr>
    </w:p>
    <w:p w14:paraId="6758C07F" w14:textId="77777777" w:rsidR="003149FD" w:rsidRPr="0056029D" w:rsidRDefault="003149FD" w:rsidP="003149FD">
      <w:pPr>
        <w:spacing w:after="0" w:line="360" w:lineRule="auto"/>
        <w:ind w:firstLine="567"/>
        <w:jc w:val="center"/>
        <w:rPr>
          <w:rFonts w:ascii="Times New Roman" w:eastAsia="Calibri" w:hAnsi="Times New Roman" w:cs="Times New Roman"/>
          <w:bCs/>
          <w:iCs/>
          <w:sz w:val="28"/>
          <w:szCs w:val="28"/>
        </w:rPr>
      </w:pPr>
      <w:r w:rsidRPr="0056029D">
        <w:rPr>
          <w:rFonts w:ascii="Times New Roman" w:eastAsia="Calibri" w:hAnsi="Times New Roman" w:cs="Times New Roman"/>
          <w:bCs/>
          <w:iCs/>
          <w:sz w:val="28"/>
          <w:szCs w:val="28"/>
        </w:rPr>
        <w:t>ЛИТЕРАТУРА</w:t>
      </w:r>
    </w:p>
    <w:p w14:paraId="52DDBB87"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lastRenderedPageBreak/>
        <w:t>1. Вихман В.В., Ромм М.В. «Цифровые двойники» в образовании: перспективы и реальность / В.В. Вихман, М.В. Ромм // Высшее образование в России.</w:t>
      </w:r>
      <w:r w:rsidRPr="0056029D">
        <w:rPr>
          <w:rFonts w:ascii="Times New Roman" w:eastAsia="Calibri" w:hAnsi="Times New Roman" w:cs="Times New Roman"/>
          <w:bCs/>
          <w:iCs/>
          <w:sz w:val="28"/>
          <w:szCs w:val="28"/>
        </w:rPr>
        <w:t xml:space="preserve"> –</w:t>
      </w:r>
      <w:r w:rsidRPr="0056029D">
        <w:rPr>
          <w:rFonts w:ascii="Times New Roman" w:hAnsi="Times New Roman" w:cs="Times New Roman"/>
          <w:sz w:val="28"/>
          <w:szCs w:val="28"/>
        </w:rPr>
        <w:t xml:space="preserve"> 2021. </w:t>
      </w:r>
      <w:r w:rsidRPr="0056029D">
        <w:rPr>
          <w:rFonts w:ascii="Times New Roman" w:eastAsia="Calibri" w:hAnsi="Times New Roman" w:cs="Times New Roman"/>
          <w:bCs/>
          <w:iCs/>
          <w:sz w:val="28"/>
          <w:szCs w:val="28"/>
        </w:rPr>
        <w:t xml:space="preserve">– </w:t>
      </w:r>
      <w:r w:rsidRPr="0056029D">
        <w:rPr>
          <w:rFonts w:ascii="Times New Roman" w:hAnsi="Times New Roman" w:cs="Times New Roman"/>
          <w:sz w:val="28"/>
          <w:szCs w:val="28"/>
        </w:rPr>
        <w:t xml:space="preserve">№ 2. </w:t>
      </w:r>
      <w:r w:rsidRPr="0056029D">
        <w:rPr>
          <w:rFonts w:ascii="Times New Roman" w:eastAsia="Calibri" w:hAnsi="Times New Roman" w:cs="Times New Roman"/>
          <w:bCs/>
          <w:iCs/>
          <w:sz w:val="28"/>
          <w:szCs w:val="28"/>
        </w:rPr>
        <w:t xml:space="preserve">– </w:t>
      </w:r>
      <w:r w:rsidRPr="0056029D">
        <w:rPr>
          <w:rFonts w:ascii="Times New Roman" w:hAnsi="Times New Roman" w:cs="Times New Roman"/>
          <w:sz w:val="28"/>
          <w:szCs w:val="28"/>
        </w:rPr>
        <w:t>С. 22-32. DOI: 10.31992/0869-3617-2021-30-2-22-32.</w:t>
      </w:r>
    </w:p>
    <w:p w14:paraId="1F6FF965"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2. Гурьева Т.Н., Шарабаева Л.Ю., Атаян А.М. О возможности использования цифровых двойников в высшем образовании / Т.Н. Гурьева, Л.Ю. Шарабаева, А.М. Атаян // Современные проблемы науки и образования.</w:t>
      </w:r>
      <w:r w:rsidRPr="0056029D">
        <w:rPr>
          <w:rFonts w:ascii="Times New Roman" w:eastAsia="Calibri" w:hAnsi="Times New Roman" w:cs="Times New Roman"/>
          <w:bCs/>
          <w:iCs/>
          <w:sz w:val="28"/>
          <w:szCs w:val="28"/>
        </w:rPr>
        <w:t xml:space="preserve"> –</w:t>
      </w:r>
      <w:r w:rsidRPr="0056029D">
        <w:rPr>
          <w:rFonts w:ascii="Times New Roman" w:hAnsi="Times New Roman" w:cs="Times New Roman"/>
          <w:sz w:val="28"/>
          <w:szCs w:val="28"/>
        </w:rPr>
        <w:t xml:space="preserve"> 2023.</w:t>
      </w:r>
      <w:r w:rsidRPr="0056029D">
        <w:rPr>
          <w:rFonts w:ascii="Times New Roman" w:eastAsia="Calibri" w:hAnsi="Times New Roman" w:cs="Times New Roman"/>
          <w:bCs/>
          <w:iCs/>
          <w:sz w:val="28"/>
          <w:szCs w:val="28"/>
        </w:rPr>
        <w:t xml:space="preserve"> –</w:t>
      </w:r>
      <w:r w:rsidRPr="0056029D">
        <w:rPr>
          <w:rFonts w:ascii="Times New Roman" w:hAnsi="Times New Roman" w:cs="Times New Roman"/>
          <w:sz w:val="28"/>
          <w:szCs w:val="28"/>
        </w:rPr>
        <w:t xml:space="preserve"> № 5. – С. 72-79. DOI: 10.17513/spno.32986</w:t>
      </w:r>
    </w:p>
    <w:p w14:paraId="25BF58E2"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3. Черных С.И. «Цифровые двойники»: новые возможности и риски для образовательных практик / С.И. Черных // Профессиональное образование в современном мире. – 2024. – № 3. – С. 380–382. DOI: 10.20913/2618-7515-2024-3-1.</w:t>
      </w:r>
    </w:p>
    <w:p w14:paraId="38C18AA1"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4. Фотина О.В. К вопросу о цифровой личности и цифровом двойнике в формировании идентичности в дистанционном образовании / О.В. Фотина // Информатика и образование. – 2025. – № 4. – С. 18-27. DOI: 10.32517/0234-0453-2025-40-4-18-27.</w:t>
      </w:r>
    </w:p>
    <w:p w14:paraId="73F002A0"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 xml:space="preserve">5. Каримова Л.К., Селезнева А.А. Реконструкция исторической личности через призму концепции цифрового двойника: от баз данных к нейросетевым моделям / Л.К. Каримова, А.А.Селезнева // Историческая информатика. – 2025. – № 2. </w:t>
      </w:r>
      <w:bookmarkStart w:id="0" w:name="_Hlk243921777"/>
      <w:r w:rsidRPr="0056029D">
        <w:rPr>
          <w:rFonts w:ascii="Times New Roman" w:hAnsi="Times New Roman" w:cs="Times New Roman"/>
          <w:sz w:val="28"/>
          <w:szCs w:val="28"/>
        </w:rPr>
        <w:t>–</w:t>
      </w:r>
      <w:bookmarkEnd w:id="0"/>
      <w:r w:rsidRPr="0056029D">
        <w:rPr>
          <w:rFonts w:ascii="Times New Roman" w:hAnsi="Times New Roman" w:cs="Times New Roman"/>
          <w:sz w:val="28"/>
          <w:szCs w:val="28"/>
        </w:rPr>
        <w:t xml:space="preserve"> С. 143-163. DOI: 10.7256/2585-7797.2025.2.73666 EDN: GVBNHJ URL:</w:t>
      </w:r>
    </w:p>
    <w:p w14:paraId="59A1A08C"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 xml:space="preserve">6. Молодин А.В. Цифровой двойник как объект охраны утраченного наследия / А.В. Молодин // Журнал Института Наследия. </w:t>
      </w:r>
      <w:bookmarkStart w:id="1" w:name="_Hlk243923519"/>
      <w:r w:rsidRPr="0056029D">
        <w:rPr>
          <w:rFonts w:ascii="Times New Roman" w:hAnsi="Times New Roman" w:cs="Times New Roman"/>
          <w:sz w:val="28"/>
          <w:szCs w:val="28"/>
        </w:rPr>
        <w:t>–</w:t>
      </w:r>
      <w:bookmarkEnd w:id="1"/>
      <w:r w:rsidRPr="0056029D">
        <w:rPr>
          <w:rFonts w:ascii="Times New Roman" w:hAnsi="Times New Roman" w:cs="Times New Roman"/>
          <w:sz w:val="28"/>
          <w:szCs w:val="28"/>
        </w:rPr>
        <w:t xml:space="preserve"> 2026. – № 3. – С. 57-66. DOI: 10.34685/HI.2026.75.89.006.</w:t>
      </w:r>
    </w:p>
    <w:p w14:paraId="2898EE68"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 xml:space="preserve">7. </w:t>
      </w:r>
      <w:bookmarkStart w:id="2" w:name="_Hlk243923294"/>
      <w:r w:rsidRPr="0056029D">
        <w:rPr>
          <w:rFonts w:ascii="Times New Roman" w:hAnsi="Times New Roman" w:cs="Times New Roman"/>
          <w:sz w:val="28"/>
          <w:szCs w:val="28"/>
        </w:rPr>
        <w:t xml:space="preserve">Бондарь К.М., Дунин В.С., Кантышева А.В. </w:t>
      </w:r>
      <w:bookmarkEnd w:id="2"/>
      <w:r w:rsidRPr="0056029D">
        <w:rPr>
          <w:rFonts w:ascii="Times New Roman" w:hAnsi="Times New Roman" w:cs="Times New Roman"/>
          <w:sz w:val="28"/>
          <w:szCs w:val="28"/>
        </w:rPr>
        <w:t>Использование инструментов цифрового двойника в построении образовательного пространства электронного обучения и дистанционных образовательных технологий (концептуальный подход) / К.М. Бондарь, В.С. Дунин, А.В. Кантышева // Мир науки, культуры, образования. – 2024. – № 6.– С. 27-31. DOI: 10.24412/1991-5497-2024-6109-27-31</w:t>
      </w:r>
    </w:p>
    <w:p w14:paraId="0DFED391" w14:textId="77777777" w:rsidR="003149FD" w:rsidRPr="0056029D" w:rsidRDefault="003149FD" w:rsidP="003149FD">
      <w:pPr>
        <w:spacing w:after="0" w:line="360" w:lineRule="auto"/>
        <w:ind w:firstLine="567"/>
        <w:jc w:val="both"/>
        <w:rPr>
          <w:rFonts w:ascii="Times New Roman" w:hAnsi="Times New Roman" w:cs="Times New Roman"/>
          <w:sz w:val="28"/>
          <w:szCs w:val="28"/>
        </w:rPr>
      </w:pPr>
      <w:r w:rsidRPr="0056029D">
        <w:rPr>
          <w:rFonts w:ascii="Times New Roman" w:hAnsi="Times New Roman" w:cs="Times New Roman"/>
          <w:sz w:val="28"/>
          <w:szCs w:val="28"/>
        </w:rPr>
        <w:t xml:space="preserve">8. </w:t>
      </w:r>
      <w:bookmarkStart w:id="3" w:name="_Hlk243919750"/>
      <w:r w:rsidRPr="0056029D">
        <w:rPr>
          <w:rFonts w:ascii="Times New Roman" w:hAnsi="Times New Roman" w:cs="Times New Roman"/>
          <w:sz w:val="28"/>
          <w:szCs w:val="28"/>
        </w:rPr>
        <w:t xml:space="preserve">Коломейцева М.А. </w:t>
      </w:r>
      <w:bookmarkEnd w:id="3"/>
      <w:r w:rsidRPr="0056029D">
        <w:rPr>
          <w:rFonts w:ascii="Times New Roman" w:hAnsi="Times New Roman" w:cs="Times New Roman"/>
          <w:sz w:val="28"/>
          <w:szCs w:val="28"/>
        </w:rPr>
        <w:t xml:space="preserve">Применение цифровых технологий в процессе преподавания истории в высшей школе / М.А. Коломейцева // Высшее </w:t>
      </w:r>
      <w:r w:rsidRPr="0056029D">
        <w:rPr>
          <w:rFonts w:ascii="Times New Roman" w:hAnsi="Times New Roman" w:cs="Times New Roman"/>
          <w:sz w:val="28"/>
          <w:szCs w:val="28"/>
        </w:rPr>
        <w:lastRenderedPageBreak/>
        <w:t>образование сегодня.</w:t>
      </w:r>
      <w:r w:rsidRPr="0056029D">
        <w:rPr>
          <w:rFonts w:ascii="Times New Roman" w:eastAsia="Calibri" w:hAnsi="Times New Roman" w:cs="Times New Roman"/>
          <w:bCs/>
          <w:iCs/>
          <w:sz w:val="28"/>
          <w:szCs w:val="28"/>
        </w:rPr>
        <w:t xml:space="preserve"> –</w:t>
      </w:r>
      <w:r w:rsidRPr="0056029D">
        <w:rPr>
          <w:rFonts w:ascii="Times New Roman" w:hAnsi="Times New Roman" w:cs="Times New Roman"/>
          <w:sz w:val="28"/>
          <w:szCs w:val="28"/>
        </w:rPr>
        <w:t xml:space="preserve"> 2025.</w:t>
      </w:r>
      <w:r w:rsidRPr="0056029D">
        <w:rPr>
          <w:rFonts w:ascii="Times New Roman" w:eastAsia="Calibri" w:hAnsi="Times New Roman" w:cs="Times New Roman"/>
          <w:bCs/>
          <w:iCs/>
          <w:sz w:val="28"/>
          <w:szCs w:val="28"/>
        </w:rPr>
        <w:t xml:space="preserve"> –</w:t>
      </w:r>
      <w:r w:rsidRPr="0056029D">
        <w:rPr>
          <w:rFonts w:ascii="Times New Roman" w:hAnsi="Times New Roman" w:cs="Times New Roman"/>
          <w:sz w:val="28"/>
          <w:szCs w:val="28"/>
        </w:rPr>
        <w:t xml:space="preserve"> № 3. – С. 84-90. DOI: 10.18137/RNU.HET.25.03.P.084.</w:t>
      </w:r>
    </w:p>
    <w:p w14:paraId="1ED48A11" w14:textId="2D5613CA" w:rsidR="003149FD" w:rsidRPr="0056029D" w:rsidRDefault="003149FD" w:rsidP="00A84D1B">
      <w:pPr>
        <w:spacing w:after="0" w:line="360" w:lineRule="auto"/>
        <w:ind w:firstLine="567"/>
        <w:jc w:val="both"/>
      </w:pPr>
      <w:r w:rsidRPr="0056029D">
        <w:rPr>
          <w:rFonts w:ascii="Times New Roman" w:hAnsi="Times New Roman" w:cs="Times New Roman"/>
          <w:sz w:val="28"/>
          <w:szCs w:val="28"/>
        </w:rPr>
        <w:t xml:space="preserve">9. </w:t>
      </w:r>
      <w:bookmarkStart w:id="4" w:name="_Hlk243920790"/>
      <w:r w:rsidRPr="0056029D">
        <w:rPr>
          <w:rFonts w:ascii="Times New Roman" w:hAnsi="Times New Roman" w:cs="Times New Roman"/>
          <w:sz w:val="28"/>
          <w:szCs w:val="28"/>
        </w:rPr>
        <w:t xml:space="preserve">Николаева Е.А., Кашурина И.А., Савела С.В., Меркулова Н.В. </w:t>
      </w:r>
      <w:bookmarkEnd w:id="4"/>
      <w:r w:rsidRPr="0056029D">
        <w:rPr>
          <w:rFonts w:ascii="Times New Roman" w:hAnsi="Times New Roman" w:cs="Times New Roman"/>
          <w:sz w:val="28"/>
          <w:szCs w:val="28"/>
        </w:rPr>
        <w:t>Формирование критического мышления студентов в процессе анализа манипулятивных цифровых медиатекстов / Е.А. Николаева, И.А. Кашурина, С.В. Савела, Н.В. Меркулова // Russian Journal of Education and Psychology. –2026. – № 1. – С. 378-406. DOI: 10.12731/2658-4034-2026-17-1-978.</w:t>
      </w:r>
    </w:p>
    <w:p w14:paraId="7ED94B55" w14:textId="77777777" w:rsidR="00644D0F" w:rsidRDefault="00644D0F"/>
    <w:sectPr w:rsidR="00644D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9FD"/>
    <w:rsid w:val="003149FD"/>
    <w:rsid w:val="00644D0F"/>
    <w:rsid w:val="00A84D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ED642"/>
  <w15:chartTrackingRefBased/>
  <w15:docId w15:val="{BBCC7658-7D9C-41FA-B605-B3EF03D60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49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14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2934</Words>
  <Characters>16730</Characters>
  <Application>Microsoft Office Word</Application>
  <DocSecurity>0</DocSecurity>
  <Lines>139</Lines>
  <Paragraphs>39</Paragraphs>
  <ScaleCrop>false</ScaleCrop>
  <Company/>
  <LinksUpToDate>false</LinksUpToDate>
  <CharactersWithSpaces>19625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Мама Ванюши</dc:creator>
  <cp:keywords/>
  <dc:description/>
  <cp:lastModifiedBy>Мама Ванюши</cp:lastModifiedBy>
  <cp:revision>2</cp:revision>
  <dcterms:created xsi:type="dcterms:W3CDTF">2026-11-06T13:35:00Z</dcterms:created>
  <dcterms:modified xsi:type="dcterms:W3CDTF">2026-11-06T13:45:00Z</dcterms:modified>
</cp:coreProperties>
</file>